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header72.xml" ContentType="application/vnd.openxmlformats-officedocument.wordprocessingml.header+xml"/>
  <Override PartName="/word/footer72.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header75.xml" ContentType="application/vnd.openxmlformats-officedocument.wordprocessingml.header+xml"/>
  <Override PartName="/word/footer75.xml" ContentType="application/vnd.openxmlformats-officedocument.wordprocessingml.footer+xml"/>
  <Override PartName="/word/header76.xml" ContentType="application/vnd.openxmlformats-officedocument.wordprocessingml.header+xml"/>
  <Override PartName="/word/header77.xml" ContentType="application/vnd.openxmlformats-officedocument.wordprocessingml.header+xml"/>
  <Override PartName="/word/footer76.xml" ContentType="application/vnd.openxmlformats-officedocument.wordprocessingml.footer+xml"/>
  <Override PartName="/word/footer77.xml" ContentType="application/vnd.openxmlformats-officedocument.wordprocessingml.footer+xml"/>
  <Override PartName="/word/header78.xml" ContentType="application/vnd.openxmlformats-officedocument.wordprocessingml.header+xml"/>
  <Override PartName="/word/footer78.xml" ContentType="application/vnd.openxmlformats-officedocument.wordprocessingml.footer+xml"/>
  <Override PartName="/word/header79.xml" ContentType="application/vnd.openxmlformats-officedocument.wordprocessingml.header+xml"/>
  <Override PartName="/word/header80.xml" ContentType="application/vnd.openxmlformats-officedocument.wordprocessingml.header+xml"/>
  <Override PartName="/word/footer79.xml" ContentType="application/vnd.openxmlformats-officedocument.wordprocessingml.footer+xml"/>
  <Override PartName="/word/footer80.xml" ContentType="application/vnd.openxmlformats-officedocument.wordprocessingml.footer+xml"/>
  <Override PartName="/word/header81.xml" ContentType="application/vnd.openxmlformats-officedocument.wordprocessingml.header+xml"/>
  <Override PartName="/word/footer81.xml" ContentType="application/vnd.openxmlformats-officedocument.wordprocessingml.footer+xml"/>
  <Override PartName="/word/header82.xml" ContentType="application/vnd.openxmlformats-officedocument.wordprocessingml.header+xml"/>
  <Override PartName="/word/header83.xml" ContentType="application/vnd.openxmlformats-officedocument.wordprocessingml.header+xml"/>
  <Override PartName="/word/footer82.xml" ContentType="application/vnd.openxmlformats-officedocument.wordprocessingml.footer+xml"/>
  <Override PartName="/word/footer83.xml" ContentType="application/vnd.openxmlformats-officedocument.wordprocessingml.footer+xml"/>
  <Override PartName="/word/header84.xml" ContentType="application/vnd.openxmlformats-officedocument.wordprocessingml.header+xml"/>
  <Override PartName="/word/footer84.xml" ContentType="application/vnd.openxmlformats-officedocument.wordprocessingml.footer+xml"/>
  <Override PartName="/word/header85.xml" ContentType="application/vnd.openxmlformats-officedocument.wordprocessingml.header+xml"/>
  <Override PartName="/word/header86.xml" ContentType="application/vnd.openxmlformats-officedocument.wordprocessingml.header+xml"/>
  <Override PartName="/word/footer85.xml" ContentType="application/vnd.openxmlformats-officedocument.wordprocessingml.footer+xml"/>
  <Override PartName="/word/footer86.xml" ContentType="application/vnd.openxmlformats-officedocument.wordprocessingml.footer+xml"/>
  <Override PartName="/word/header87.xml" ContentType="application/vnd.openxmlformats-officedocument.wordprocessingml.header+xml"/>
  <Override PartName="/word/footer87.xml" ContentType="application/vnd.openxmlformats-officedocument.wordprocessingml.footer+xml"/>
  <Override PartName="/word/header88.xml" ContentType="application/vnd.openxmlformats-officedocument.wordprocessingml.header+xml"/>
  <Override PartName="/word/header89.xml" ContentType="application/vnd.openxmlformats-officedocument.wordprocessingml.header+xml"/>
  <Override PartName="/word/footer88.xml" ContentType="application/vnd.openxmlformats-officedocument.wordprocessingml.footer+xml"/>
  <Override PartName="/word/footer89.xml" ContentType="application/vnd.openxmlformats-officedocument.wordprocessingml.footer+xml"/>
  <Override PartName="/word/header90.xml" ContentType="application/vnd.openxmlformats-officedocument.wordprocessingml.header+xml"/>
  <Override PartName="/word/footer90.xml" ContentType="application/vnd.openxmlformats-officedocument.wordprocessingml.footer+xml"/>
  <Override PartName="/word/header91.xml" ContentType="application/vnd.openxmlformats-officedocument.wordprocessingml.header+xml"/>
  <Override PartName="/word/header92.xml" ContentType="application/vnd.openxmlformats-officedocument.wordprocessingml.header+xml"/>
  <Override PartName="/word/footer91.xml" ContentType="application/vnd.openxmlformats-officedocument.wordprocessingml.footer+xml"/>
  <Override PartName="/word/footer92.xml" ContentType="application/vnd.openxmlformats-officedocument.wordprocessingml.footer+xml"/>
  <Override PartName="/word/header93.xml" ContentType="application/vnd.openxmlformats-officedocument.wordprocessingml.header+xml"/>
  <Override PartName="/word/footer93.xml" ContentType="application/vnd.openxmlformats-officedocument.wordprocessingml.footer+xml"/>
  <Override PartName="/word/header94.xml" ContentType="application/vnd.openxmlformats-officedocument.wordprocessingml.header+xml"/>
  <Override PartName="/word/header95.xml" ContentType="application/vnd.openxmlformats-officedocument.wordprocessingml.header+xml"/>
  <Override PartName="/word/footer94.xml" ContentType="application/vnd.openxmlformats-officedocument.wordprocessingml.footer+xml"/>
  <Override PartName="/word/footer95.xml" ContentType="application/vnd.openxmlformats-officedocument.wordprocessingml.footer+xml"/>
  <Override PartName="/word/header96.xml" ContentType="application/vnd.openxmlformats-officedocument.wordprocessingml.header+xml"/>
  <Override PartName="/word/footer96.xml" ContentType="application/vnd.openxmlformats-officedocument.wordprocessingml.footer+xml"/>
  <Override PartName="/word/header97.xml" ContentType="application/vnd.openxmlformats-officedocument.wordprocessingml.header+xml"/>
  <Override PartName="/word/header98.xml" ContentType="application/vnd.openxmlformats-officedocument.wordprocessingml.header+xml"/>
  <Override PartName="/word/footer97.xml" ContentType="application/vnd.openxmlformats-officedocument.wordprocessingml.footer+xml"/>
  <Override PartName="/word/footer98.xml" ContentType="application/vnd.openxmlformats-officedocument.wordprocessingml.footer+xml"/>
  <Override PartName="/word/header99.xml" ContentType="application/vnd.openxmlformats-officedocument.wordprocessingml.header+xml"/>
  <Override PartName="/word/footer99.xml" ContentType="application/vnd.openxmlformats-officedocument.wordprocessingml.footer+xml"/>
  <Override PartName="/word/header100.xml" ContentType="application/vnd.openxmlformats-officedocument.wordprocessingml.header+xml"/>
  <Override PartName="/word/header101.xml" ContentType="application/vnd.openxmlformats-officedocument.wordprocessingml.header+xml"/>
  <Override PartName="/word/footer100.xml" ContentType="application/vnd.openxmlformats-officedocument.wordprocessingml.footer+xml"/>
  <Override PartName="/word/footer101.xml" ContentType="application/vnd.openxmlformats-officedocument.wordprocessingml.footer+xml"/>
  <Override PartName="/word/header102.xml" ContentType="application/vnd.openxmlformats-officedocument.wordprocessingml.header+xml"/>
  <Override PartName="/word/footer102.xml" ContentType="application/vnd.openxmlformats-officedocument.wordprocessingml.footer+xml"/>
  <Override PartName="/word/header103.xml" ContentType="application/vnd.openxmlformats-officedocument.wordprocessingml.header+xml"/>
  <Override PartName="/word/header104.xml" ContentType="application/vnd.openxmlformats-officedocument.wordprocessingml.header+xml"/>
  <Override PartName="/word/footer103.xml" ContentType="application/vnd.openxmlformats-officedocument.wordprocessingml.footer+xml"/>
  <Override PartName="/word/footer104.xml" ContentType="application/vnd.openxmlformats-officedocument.wordprocessingml.footer+xml"/>
  <Override PartName="/word/header105.xml" ContentType="application/vnd.openxmlformats-officedocument.wordprocessingml.header+xml"/>
  <Override PartName="/word/footer105.xml" ContentType="application/vnd.openxmlformats-officedocument.wordprocessingml.footer+xml"/>
  <Override PartName="/word/header106.xml" ContentType="application/vnd.openxmlformats-officedocument.wordprocessingml.header+xml"/>
  <Override PartName="/word/header107.xml" ContentType="application/vnd.openxmlformats-officedocument.wordprocessingml.header+xml"/>
  <Override PartName="/word/footer106.xml" ContentType="application/vnd.openxmlformats-officedocument.wordprocessingml.footer+xml"/>
  <Override PartName="/word/footer107.xml" ContentType="application/vnd.openxmlformats-officedocument.wordprocessingml.footer+xml"/>
  <Override PartName="/word/header108.xml" ContentType="application/vnd.openxmlformats-officedocument.wordprocessingml.header+xml"/>
  <Override PartName="/word/footer108.xml" ContentType="application/vnd.openxmlformats-officedocument.wordprocessingml.footer+xml"/>
  <Override PartName="/word/header109.xml" ContentType="application/vnd.openxmlformats-officedocument.wordprocessingml.header+xml"/>
  <Override PartName="/word/header110.xml" ContentType="application/vnd.openxmlformats-officedocument.wordprocessingml.header+xml"/>
  <Override PartName="/word/footer109.xml" ContentType="application/vnd.openxmlformats-officedocument.wordprocessingml.footer+xml"/>
  <Override PartName="/word/footer110.xml" ContentType="application/vnd.openxmlformats-officedocument.wordprocessingml.footer+xml"/>
  <Override PartName="/word/header111.xml" ContentType="application/vnd.openxmlformats-officedocument.wordprocessingml.header+xml"/>
  <Override PartName="/word/footer111.xml" ContentType="application/vnd.openxmlformats-officedocument.wordprocessingml.footer+xml"/>
  <Override PartName="/word/header112.xml" ContentType="application/vnd.openxmlformats-officedocument.wordprocessingml.header+xml"/>
  <Override PartName="/word/header113.xml" ContentType="application/vnd.openxmlformats-officedocument.wordprocessingml.header+xml"/>
  <Override PartName="/word/footer112.xml" ContentType="application/vnd.openxmlformats-officedocument.wordprocessingml.footer+xml"/>
  <Override PartName="/word/footer113.xml" ContentType="application/vnd.openxmlformats-officedocument.wordprocessingml.footer+xml"/>
  <Override PartName="/word/header114.xml" ContentType="application/vnd.openxmlformats-officedocument.wordprocessingml.header+xml"/>
  <Override PartName="/word/footer114.xml" ContentType="application/vnd.openxmlformats-officedocument.wordprocessingml.footer+xml"/>
  <Override PartName="/word/header115.xml" ContentType="application/vnd.openxmlformats-officedocument.wordprocessingml.header+xml"/>
  <Override PartName="/word/header116.xml" ContentType="application/vnd.openxmlformats-officedocument.wordprocessingml.header+xml"/>
  <Override PartName="/word/footer115.xml" ContentType="application/vnd.openxmlformats-officedocument.wordprocessingml.footer+xml"/>
  <Override PartName="/word/footer116.xml" ContentType="application/vnd.openxmlformats-officedocument.wordprocessingml.footer+xml"/>
  <Override PartName="/word/header117.xml" ContentType="application/vnd.openxmlformats-officedocument.wordprocessingml.header+xml"/>
  <Override PartName="/word/footer117.xml" ContentType="application/vnd.openxmlformats-officedocument.wordprocessingml.footer+xml"/>
  <Override PartName="/word/header118.xml" ContentType="application/vnd.openxmlformats-officedocument.wordprocessingml.header+xml"/>
  <Override PartName="/word/header119.xml" ContentType="application/vnd.openxmlformats-officedocument.wordprocessingml.header+xml"/>
  <Override PartName="/word/footer118.xml" ContentType="application/vnd.openxmlformats-officedocument.wordprocessingml.footer+xml"/>
  <Override PartName="/word/footer119.xml" ContentType="application/vnd.openxmlformats-officedocument.wordprocessingml.footer+xml"/>
  <Override PartName="/word/header120.xml" ContentType="application/vnd.openxmlformats-officedocument.wordprocessingml.header+xml"/>
  <Override PartName="/word/footer120.xml" ContentType="application/vnd.openxmlformats-officedocument.wordprocessingml.footer+xml"/>
  <Override PartName="/word/header121.xml" ContentType="application/vnd.openxmlformats-officedocument.wordprocessingml.header+xml"/>
  <Override PartName="/word/header122.xml" ContentType="application/vnd.openxmlformats-officedocument.wordprocessingml.header+xml"/>
  <Override PartName="/word/footer121.xml" ContentType="application/vnd.openxmlformats-officedocument.wordprocessingml.footer+xml"/>
  <Override PartName="/word/footer122.xml" ContentType="application/vnd.openxmlformats-officedocument.wordprocessingml.footer+xml"/>
  <Override PartName="/word/header123.xml" ContentType="application/vnd.openxmlformats-officedocument.wordprocessingml.header+xml"/>
  <Override PartName="/word/footer123.xml" ContentType="application/vnd.openxmlformats-officedocument.wordprocessingml.footer+xml"/>
  <Override PartName="/word/header124.xml" ContentType="application/vnd.openxmlformats-officedocument.wordprocessingml.header+xml"/>
  <Override PartName="/word/header125.xml" ContentType="application/vnd.openxmlformats-officedocument.wordprocessingml.header+xml"/>
  <Override PartName="/word/footer124.xml" ContentType="application/vnd.openxmlformats-officedocument.wordprocessingml.footer+xml"/>
  <Override PartName="/word/footer125.xml" ContentType="application/vnd.openxmlformats-officedocument.wordprocessingml.footer+xml"/>
  <Override PartName="/word/header126.xml" ContentType="application/vnd.openxmlformats-officedocument.wordprocessingml.header+xml"/>
  <Override PartName="/word/footer126.xml" ContentType="application/vnd.openxmlformats-officedocument.wordprocessingml.footer+xml"/>
  <Override PartName="/word/header127.xml" ContentType="application/vnd.openxmlformats-officedocument.wordprocessingml.header+xml"/>
  <Override PartName="/word/header128.xml" ContentType="application/vnd.openxmlformats-officedocument.wordprocessingml.header+xml"/>
  <Override PartName="/word/footer127.xml" ContentType="application/vnd.openxmlformats-officedocument.wordprocessingml.footer+xml"/>
  <Override PartName="/word/footer128.xml" ContentType="application/vnd.openxmlformats-officedocument.wordprocessingml.footer+xml"/>
  <Override PartName="/word/header129.xml" ContentType="application/vnd.openxmlformats-officedocument.wordprocessingml.header+xml"/>
  <Override PartName="/word/footer129.xml" ContentType="application/vnd.openxmlformats-officedocument.wordprocessingml.footer+xml"/>
  <Override PartName="/word/header130.xml" ContentType="application/vnd.openxmlformats-officedocument.wordprocessingml.header+xml"/>
  <Override PartName="/word/header131.xml" ContentType="application/vnd.openxmlformats-officedocument.wordprocessingml.header+xml"/>
  <Override PartName="/word/footer130.xml" ContentType="application/vnd.openxmlformats-officedocument.wordprocessingml.footer+xml"/>
  <Override PartName="/word/footer131.xml" ContentType="application/vnd.openxmlformats-officedocument.wordprocessingml.footer+xml"/>
  <Override PartName="/word/header132.xml" ContentType="application/vnd.openxmlformats-officedocument.wordprocessingml.header+xml"/>
  <Override PartName="/word/footer132.xml" ContentType="application/vnd.openxmlformats-officedocument.wordprocessingml.footer+xml"/>
  <Override PartName="/word/header133.xml" ContentType="application/vnd.openxmlformats-officedocument.wordprocessingml.header+xml"/>
  <Override PartName="/word/header134.xml" ContentType="application/vnd.openxmlformats-officedocument.wordprocessingml.header+xml"/>
  <Override PartName="/word/footer133.xml" ContentType="application/vnd.openxmlformats-officedocument.wordprocessingml.footer+xml"/>
  <Override PartName="/word/footer134.xml" ContentType="application/vnd.openxmlformats-officedocument.wordprocessingml.footer+xml"/>
  <Override PartName="/word/header135.xml" ContentType="application/vnd.openxmlformats-officedocument.wordprocessingml.header+xml"/>
  <Override PartName="/word/footer135.xml" ContentType="application/vnd.openxmlformats-officedocument.wordprocessingml.footer+xml"/>
  <Override PartName="/word/header136.xml" ContentType="application/vnd.openxmlformats-officedocument.wordprocessingml.header+xml"/>
  <Override PartName="/word/header137.xml" ContentType="application/vnd.openxmlformats-officedocument.wordprocessingml.header+xml"/>
  <Override PartName="/word/footer136.xml" ContentType="application/vnd.openxmlformats-officedocument.wordprocessingml.footer+xml"/>
  <Override PartName="/word/footer137.xml" ContentType="application/vnd.openxmlformats-officedocument.wordprocessingml.footer+xml"/>
  <Override PartName="/word/header138.xml" ContentType="application/vnd.openxmlformats-officedocument.wordprocessingml.header+xml"/>
  <Override PartName="/word/footer138.xml" ContentType="application/vnd.openxmlformats-officedocument.wordprocessingml.footer+xml"/>
  <Override PartName="/word/header139.xml" ContentType="application/vnd.openxmlformats-officedocument.wordprocessingml.header+xml"/>
  <Override PartName="/word/header140.xml" ContentType="application/vnd.openxmlformats-officedocument.wordprocessingml.header+xml"/>
  <Override PartName="/word/footer139.xml" ContentType="application/vnd.openxmlformats-officedocument.wordprocessingml.footer+xml"/>
  <Override PartName="/word/footer140.xml" ContentType="application/vnd.openxmlformats-officedocument.wordprocessingml.footer+xml"/>
  <Override PartName="/word/header141.xml" ContentType="application/vnd.openxmlformats-officedocument.wordprocessingml.header+xml"/>
  <Override PartName="/word/footer141.xml" ContentType="application/vnd.openxmlformats-officedocument.wordprocessingml.footer+xml"/>
  <Override PartName="/word/header142.xml" ContentType="application/vnd.openxmlformats-officedocument.wordprocessingml.header+xml"/>
  <Override PartName="/word/header143.xml" ContentType="application/vnd.openxmlformats-officedocument.wordprocessingml.header+xml"/>
  <Override PartName="/word/footer142.xml" ContentType="application/vnd.openxmlformats-officedocument.wordprocessingml.footer+xml"/>
  <Override PartName="/word/footer143.xml" ContentType="application/vnd.openxmlformats-officedocument.wordprocessingml.footer+xml"/>
  <Override PartName="/word/header144.xml" ContentType="application/vnd.openxmlformats-officedocument.wordprocessingml.header+xml"/>
  <Override PartName="/word/footer144.xml" ContentType="application/vnd.openxmlformats-officedocument.wordprocessingml.footer+xml"/>
  <Override PartName="/word/header145.xml" ContentType="application/vnd.openxmlformats-officedocument.wordprocessingml.header+xml"/>
  <Override PartName="/word/header146.xml" ContentType="application/vnd.openxmlformats-officedocument.wordprocessingml.header+xml"/>
  <Override PartName="/word/footer145.xml" ContentType="application/vnd.openxmlformats-officedocument.wordprocessingml.footer+xml"/>
  <Override PartName="/word/footer146.xml" ContentType="application/vnd.openxmlformats-officedocument.wordprocessingml.footer+xml"/>
  <Override PartName="/word/header147.xml" ContentType="application/vnd.openxmlformats-officedocument.wordprocessingml.header+xml"/>
  <Override PartName="/word/footer147.xml" ContentType="application/vnd.openxmlformats-officedocument.wordprocessingml.footer+xml"/>
  <Override PartName="/word/header148.xml" ContentType="application/vnd.openxmlformats-officedocument.wordprocessingml.header+xml"/>
  <Override PartName="/word/header149.xml" ContentType="application/vnd.openxmlformats-officedocument.wordprocessingml.header+xml"/>
  <Override PartName="/word/footer148.xml" ContentType="application/vnd.openxmlformats-officedocument.wordprocessingml.footer+xml"/>
  <Override PartName="/word/footer149.xml" ContentType="application/vnd.openxmlformats-officedocument.wordprocessingml.footer+xml"/>
  <Override PartName="/word/header150.xml" ContentType="application/vnd.openxmlformats-officedocument.wordprocessingml.header+xml"/>
  <Override PartName="/word/footer150.xml" ContentType="application/vnd.openxmlformats-officedocument.wordprocessingml.footer+xml"/>
  <Override PartName="/word/header151.xml" ContentType="application/vnd.openxmlformats-officedocument.wordprocessingml.header+xml"/>
  <Override PartName="/word/header152.xml" ContentType="application/vnd.openxmlformats-officedocument.wordprocessingml.header+xml"/>
  <Override PartName="/word/footer151.xml" ContentType="application/vnd.openxmlformats-officedocument.wordprocessingml.footer+xml"/>
  <Override PartName="/word/footer152.xml" ContentType="application/vnd.openxmlformats-officedocument.wordprocessingml.footer+xml"/>
  <Override PartName="/word/header153.xml" ContentType="application/vnd.openxmlformats-officedocument.wordprocessingml.header+xml"/>
  <Override PartName="/word/footer153.xml" ContentType="application/vnd.openxmlformats-officedocument.wordprocessingml.footer+xml"/>
  <Override PartName="/word/header154.xml" ContentType="application/vnd.openxmlformats-officedocument.wordprocessingml.header+xml"/>
  <Override PartName="/word/header155.xml" ContentType="application/vnd.openxmlformats-officedocument.wordprocessingml.header+xml"/>
  <Override PartName="/word/footer154.xml" ContentType="application/vnd.openxmlformats-officedocument.wordprocessingml.footer+xml"/>
  <Override PartName="/word/footer155.xml" ContentType="application/vnd.openxmlformats-officedocument.wordprocessingml.footer+xml"/>
  <Override PartName="/word/header156.xml" ContentType="application/vnd.openxmlformats-officedocument.wordprocessingml.header+xml"/>
  <Override PartName="/word/footer156.xml" ContentType="application/vnd.openxmlformats-officedocument.wordprocessingml.footer+xml"/>
  <Override PartName="/word/header157.xml" ContentType="application/vnd.openxmlformats-officedocument.wordprocessingml.header+xml"/>
  <Override PartName="/word/header158.xml" ContentType="application/vnd.openxmlformats-officedocument.wordprocessingml.header+xml"/>
  <Override PartName="/word/footer157.xml" ContentType="application/vnd.openxmlformats-officedocument.wordprocessingml.footer+xml"/>
  <Override PartName="/word/footer158.xml" ContentType="application/vnd.openxmlformats-officedocument.wordprocessingml.footer+xml"/>
  <Override PartName="/word/header159.xml" ContentType="application/vnd.openxmlformats-officedocument.wordprocessingml.header+xml"/>
  <Override PartName="/word/footer159.xml" ContentType="application/vnd.openxmlformats-officedocument.wordprocessingml.footer+xml"/>
  <Override PartName="/word/header160.xml" ContentType="application/vnd.openxmlformats-officedocument.wordprocessingml.header+xml"/>
  <Override PartName="/word/header161.xml" ContentType="application/vnd.openxmlformats-officedocument.wordprocessingml.header+xml"/>
  <Override PartName="/word/footer160.xml" ContentType="application/vnd.openxmlformats-officedocument.wordprocessingml.footer+xml"/>
  <Override PartName="/word/footer161.xml" ContentType="application/vnd.openxmlformats-officedocument.wordprocessingml.footer+xml"/>
  <Override PartName="/word/header162.xml" ContentType="application/vnd.openxmlformats-officedocument.wordprocessingml.header+xml"/>
  <Override PartName="/word/footer16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BE723A" w14:textId="7AE3E3AE" w:rsidR="00243DEB" w:rsidRPr="001961AA" w:rsidRDefault="00D26A48" w:rsidP="00D26A48">
      <w:pPr>
        <w:pStyle w:val="Pagedecouverture"/>
        <w:rPr>
          <w:noProof/>
          <w:lang w:val="en-GB"/>
        </w:rPr>
      </w:pPr>
      <w:bookmarkStart w:id="0" w:name="LW_BM_COVERPAGE"/>
      <w:r>
        <w:rPr>
          <w:noProof/>
          <w:lang w:val="en-GB"/>
        </w:rPr>
        <w:pict w14:anchorId="578C97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D8B11044-7B80-4ADA-ABAB-6D3783C65F3E" style="width:455.25pt;height:410.25pt">
            <v:imagedata r:id="rId11" o:title=""/>
          </v:shape>
        </w:pict>
      </w:r>
    </w:p>
    <w:bookmarkEnd w:id="0"/>
    <w:p w14:paraId="04EB3D1C" w14:textId="77777777" w:rsidR="00FA3811" w:rsidRPr="001961AA" w:rsidRDefault="00FA3811" w:rsidP="00FA3811">
      <w:pPr>
        <w:rPr>
          <w:noProof/>
          <w:lang w:val="en-GB"/>
        </w:rPr>
        <w:sectPr w:rsidR="00FA3811" w:rsidRPr="001961AA" w:rsidSect="00D26A48">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4DE9C509" w14:textId="29D19D35" w:rsidR="00985C58" w:rsidRPr="001961AA" w:rsidRDefault="00243DEB" w:rsidP="00243DEB">
      <w:pPr>
        <w:pStyle w:val="Heading1"/>
        <w:tabs>
          <w:tab w:val="clear" w:pos="850"/>
        </w:tabs>
        <w:spacing w:before="120"/>
        <w:ind w:left="0" w:firstLine="0"/>
        <w:jc w:val="center"/>
        <w:rPr>
          <w:noProof/>
          <w:lang w:val="en-GB"/>
        </w:rPr>
      </w:pPr>
      <w:bookmarkStart w:id="1" w:name="_GoBack"/>
      <w:bookmarkEnd w:id="1"/>
      <w:r w:rsidRPr="001961AA">
        <w:rPr>
          <w:noProof/>
          <w:lang w:val="en-GB"/>
        </w:rPr>
        <w:lastRenderedPageBreak/>
        <w:t>ANNEX</w:t>
      </w:r>
    </w:p>
    <w:p w14:paraId="6988C27C" w14:textId="77777777" w:rsidR="00243DEB" w:rsidRPr="001961AA" w:rsidRDefault="00243DEB" w:rsidP="00243DEB">
      <w:pPr>
        <w:pStyle w:val="Text1"/>
        <w:rPr>
          <w:noProof/>
          <w:lang w:val="en-GB"/>
        </w:rPr>
      </w:pPr>
    </w:p>
    <w:p w14:paraId="3821781D" w14:textId="72C36AEC" w:rsidR="006A41D9" w:rsidRPr="001961AA" w:rsidRDefault="006A41D9" w:rsidP="00BD6DD1">
      <w:pPr>
        <w:pStyle w:val="Heading1"/>
        <w:tabs>
          <w:tab w:val="clear" w:pos="850"/>
        </w:tabs>
        <w:spacing w:before="120"/>
        <w:ind w:left="0" w:firstLine="0"/>
        <w:rPr>
          <w:b w:val="0"/>
          <w:noProof/>
          <w:lang w:val="en-GB"/>
        </w:rPr>
      </w:pPr>
      <w:r w:rsidRPr="001961AA">
        <w:rPr>
          <w:noProof/>
          <w:lang w:val="en-GB"/>
        </w:rPr>
        <w:t>SECTION 1: REFORMS AND INVESTMENTS UNDER THE RECOVERY AND RESILIENCE PLAN</w:t>
      </w:r>
    </w:p>
    <w:p w14:paraId="4D43DAF2" w14:textId="4F72D440" w:rsidR="006A41D9" w:rsidRPr="001961AA" w:rsidRDefault="006A41D9" w:rsidP="009E6286">
      <w:pPr>
        <w:pStyle w:val="Heading1"/>
        <w:numPr>
          <w:ilvl w:val="0"/>
          <w:numId w:val="35"/>
        </w:numPr>
        <w:rPr>
          <w:noProof/>
          <w:lang w:val="en-GB"/>
        </w:rPr>
      </w:pPr>
      <w:r w:rsidRPr="001961AA">
        <w:rPr>
          <w:noProof/>
          <w:lang w:val="en-GB"/>
        </w:rPr>
        <w:t>Description of Reforms and Investments</w:t>
      </w:r>
    </w:p>
    <w:p w14:paraId="3F3341F7" w14:textId="6E613914" w:rsidR="006A41D9" w:rsidRPr="001961AA" w:rsidRDefault="006A41D9" w:rsidP="00143925">
      <w:pPr>
        <w:pStyle w:val="ManualHeading1"/>
        <w:spacing w:before="120"/>
        <w:ind w:left="0" w:firstLine="0"/>
        <w:rPr>
          <w:noProof/>
          <w:lang w:val="en-GB"/>
        </w:rPr>
      </w:pPr>
      <w:r w:rsidRPr="001961AA">
        <w:rPr>
          <w:noProof/>
          <w:lang w:val="en-GB"/>
        </w:rPr>
        <w:t>A. COMPONENT 1.1: Renovation</w:t>
      </w:r>
    </w:p>
    <w:p w14:paraId="2C768895" w14:textId="77777777" w:rsidR="006A41D9" w:rsidRPr="001961AA" w:rsidRDefault="006A41D9" w:rsidP="00BD6DD1">
      <w:pPr>
        <w:pStyle w:val="Text1"/>
        <w:ind w:left="0"/>
        <w:rPr>
          <w:noProof/>
          <w:lang w:val="en-GB"/>
        </w:rPr>
      </w:pPr>
      <w:r w:rsidRPr="001961AA">
        <w:rPr>
          <w:noProof/>
          <w:lang w:val="en-GB"/>
        </w:rPr>
        <w:t xml:space="preserve">This component of the Belgian recovery and resilience plan is focused on the renovation of private and public buildings. The main objective of the component is to renovate the existing building stock and make it more energy and resource efficient. These include in particular public buildings, social infrastructure and residential housing, and more generally the less performing buildings in terms of energy efficiency. Therefore, this component contributes to reducing greenhouse gas emissions, increasing job opportunities and growth in sustainable construction, as well as social resilience through the reduction of energy bills. </w:t>
      </w:r>
    </w:p>
    <w:p w14:paraId="5A628C87" w14:textId="77777777" w:rsidR="006A41D9" w:rsidRPr="001961AA" w:rsidRDefault="006A41D9" w:rsidP="00BD6DD1">
      <w:pPr>
        <w:pStyle w:val="Text1"/>
        <w:ind w:left="0"/>
        <w:rPr>
          <w:noProof/>
          <w:lang w:val="en-GB"/>
        </w:rPr>
      </w:pPr>
      <w:r w:rsidRPr="001961AA">
        <w:rPr>
          <w:noProof/>
          <w:lang w:val="en-GB"/>
        </w:rPr>
        <w:t xml:space="preserve">The component contributes to addressing Country Specific Recommendation 2019.3, calling on Belgium to focus investment-related economic policy on, </w:t>
      </w:r>
      <w:r w:rsidRPr="001961AA">
        <w:rPr>
          <w:i/>
          <w:noProof/>
          <w:lang w:val="en-GB"/>
        </w:rPr>
        <w:t>inter alia</w:t>
      </w:r>
      <w:r w:rsidRPr="001961AA">
        <w:rPr>
          <w:noProof/>
          <w:lang w:val="en-GB"/>
        </w:rPr>
        <w:t>, the low carbon and energy transition.</w:t>
      </w:r>
    </w:p>
    <w:p w14:paraId="11B5ED10" w14:textId="77777777" w:rsidR="006A41D9" w:rsidRPr="001961AA" w:rsidRDefault="006A41D9" w:rsidP="00BD6DD1">
      <w:pPr>
        <w:spacing w:before="120" w:after="120" w:line="240" w:lineRule="auto"/>
        <w:jc w:val="both"/>
        <w:rPr>
          <w:rFonts w:ascii="Times New Roman" w:hAnsi="Times New Roman" w:cs="Times New Roman"/>
          <w:noProof/>
          <w:sz w:val="24"/>
          <w:szCs w:val="24"/>
          <w:lang w:val="en-GB"/>
        </w:rPr>
      </w:pPr>
      <w:r w:rsidRPr="001961AA">
        <w:rPr>
          <w:rFonts w:ascii="Times New Roman" w:hAnsi="Times New Roman"/>
          <w:noProof/>
          <w:sz w:val="24"/>
          <w:lang w:val="en-GB"/>
        </w:rPr>
        <w:t>It is expected that no measure in this component does significant harm to environmental objectives within the meaning of Article 17 of Regulation (EU) 2020/852, taking into account the description of the measures and the mitigating steps set out in the recovery and resilience plan in accordance with the DNSH Technical Guidance (2021/C58/01).</w:t>
      </w:r>
    </w:p>
    <w:p w14:paraId="0B54465F" w14:textId="77777777" w:rsidR="006A41D9" w:rsidRPr="001961AA" w:rsidRDefault="006A41D9" w:rsidP="00BD6DD1">
      <w:pPr>
        <w:spacing w:before="120" w:after="120"/>
        <w:rPr>
          <w:rFonts w:ascii="Times New Roman" w:hAnsi="Times New Roman" w:cs="Times New Roman"/>
          <w:b/>
          <w:bCs/>
          <w:noProof/>
          <w:sz w:val="24"/>
          <w:szCs w:val="24"/>
          <w:u w:val="single"/>
          <w:lang w:val="en-GB"/>
        </w:rPr>
      </w:pPr>
      <w:r w:rsidRPr="001961AA">
        <w:rPr>
          <w:rFonts w:ascii="Times New Roman" w:hAnsi="Times New Roman"/>
          <w:b/>
          <w:noProof/>
          <w:sz w:val="24"/>
          <w:u w:val="single"/>
          <w:lang w:val="en-GB"/>
        </w:rPr>
        <w:t xml:space="preserve">A.1. </w:t>
      </w:r>
      <w:r w:rsidRPr="001961AA">
        <w:rPr>
          <w:noProof/>
          <w:lang w:val="en-GB"/>
        </w:rPr>
        <w:tab/>
      </w:r>
      <w:r w:rsidRPr="001961AA">
        <w:rPr>
          <w:rFonts w:ascii="Times New Roman" w:hAnsi="Times New Roman"/>
          <w:b/>
          <w:noProof/>
          <w:sz w:val="24"/>
          <w:u w:val="single"/>
          <w:lang w:val="en-GB"/>
        </w:rPr>
        <w:t>Description of the reforms and investments for non-repayable financial support</w:t>
      </w:r>
    </w:p>
    <w:p w14:paraId="3B1C6FE5" w14:textId="77777777" w:rsidR="006A41D9" w:rsidRPr="001961AA" w:rsidRDefault="006A41D9" w:rsidP="00BD6DD1">
      <w:pPr>
        <w:pStyle w:val="Text1"/>
        <w:tabs>
          <w:tab w:val="left" w:pos="6525"/>
        </w:tabs>
        <w:ind w:left="0"/>
        <w:rPr>
          <w:noProof/>
          <w:color w:val="000000" w:themeColor="text1"/>
          <w:u w:val="single"/>
          <w:lang w:val="en-GB"/>
        </w:rPr>
      </w:pPr>
      <w:r w:rsidRPr="001961AA">
        <w:rPr>
          <w:noProof/>
          <w:color w:val="000000" w:themeColor="text1"/>
          <w:u w:val="single"/>
          <w:lang w:val="en-GB"/>
        </w:rPr>
        <w:t>Reform R-1.01: ‘Improved energy subsidy scheme’ of the Flemish Region</w:t>
      </w:r>
    </w:p>
    <w:p w14:paraId="4CFD85AC" w14:textId="33E91D47" w:rsidR="006A41D9" w:rsidRPr="001961AA" w:rsidRDefault="006A41D9" w:rsidP="00BD6DD1">
      <w:pPr>
        <w:pStyle w:val="Text1"/>
        <w:tabs>
          <w:tab w:val="left" w:pos="6525"/>
        </w:tabs>
        <w:ind w:left="0"/>
        <w:rPr>
          <w:noProof/>
          <w:color w:val="000000" w:themeColor="text1"/>
          <w:lang w:val="en-GB"/>
        </w:rPr>
      </w:pPr>
      <w:r w:rsidRPr="001961AA">
        <w:rPr>
          <w:noProof/>
          <w:color w:val="000000" w:themeColor="text1"/>
          <w:lang w:val="en-GB"/>
        </w:rPr>
        <w:t>The measure is composed of three sub-reforms and three sub-investments whose overall objective is to provide more efficient renovation incentives and to accelerate private energy efficiency investments in Flanders. The first sub-reform shall consist of (i) the creation of a one stop shop, a single regional mechanism which allows for the provision of subsidies for residential and private energy efficiency and renewable energy renovations implemented by building contractors from July 2022.  Sub-reform (ii) shall contain the revision of the energy label grant scheme to support energy efficient renovations. Sub-reform (iii) shall contain the revision of the renovation support scheme for home batteries and smart control devices for heat pumps, electrical boilers and electric storage heating. The three sub-reforms shall enter into force by 1 April 2022. The reform shall be accompanied by three sub-investments as part of Investment 1A: (i) subsidies for energy efficiency and renewable energy as well as subsidies by target groups for private housing accompanying sub-reform(i); (ii) support through the energy label grant scheme for energy efficient renovations of private housing accompanying sub-reform (ii); (iii) home battery grants for private housing accompanying sub-reform (iii).</w:t>
      </w:r>
    </w:p>
    <w:p w14:paraId="34FDFD63" w14:textId="77777777" w:rsidR="006A41D9" w:rsidRPr="001961AA" w:rsidRDefault="006A41D9" w:rsidP="00BD6DD1">
      <w:pPr>
        <w:pStyle w:val="Text1"/>
        <w:ind w:left="0"/>
        <w:rPr>
          <w:noProof/>
          <w:color w:val="000000" w:themeColor="text1"/>
          <w:u w:val="single"/>
          <w:lang w:val="en-GB"/>
        </w:rPr>
      </w:pPr>
      <w:r w:rsidRPr="001961AA">
        <w:rPr>
          <w:noProof/>
          <w:color w:val="000000" w:themeColor="text1"/>
          <w:u w:val="single"/>
          <w:lang w:val="en-GB"/>
        </w:rPr>
        <w:t>Reform R-1.02: ‘Improved energy subsidy scheme’ of the Brussels-Capital Region</w:t>
      </w:r>
    </w:p>
    <w:p w14:paraId="7296E670" w14:textId="60CE0972" w:rsidR="006A41D9" w:rsidRPr="001961AA" w:rsidRDefault="006A41D9" w:rsidP="00BD6DD1">
      <w:pPr>
        <w:pStyle w:val="Bodytext21"/>
        <w:shd w:val="clear" w:color="auto" w:fill="auto"/>
        <w:spacing w:before="120" w:after="120" w:line="240" w:lineRule="auto"/>
        <w:ind w:firstLine="0"/>
        <w:rPr>
          <w:rFonts w:ascii="Times New Roman" w:hAnsi="Times New Roman" w:cs="Times New Roman"/>
          <w:noProof/>
          <w:sz w:val="24"/>
          <w:szCs w:val="24"/>
          <w:lang w:val="en-GB"/>
        </w:rPr>
      </w:pPr>
      <w:r w:rsidRPr="001961AA">
        <w:rPr>
          <w:rFonts w:ascii="Times New Roman" w:hAnsi="Times New Roman"/>
          <w:noProof/>
          <w:color w:val="000000" w:themeColor="text1"/>
          <w:sz w:val="24"/>
          <w:lang w:val="en-GB"/>
        </w:rPr>
        <w:t>This reform consists of reforming and merging the energy bonuses and housing renovation premiums into a single regional mechanism for individuals as from 2022. Thanks to the unified system, citizens shall have a clearer picture of the amount they are entitled to for their renovation work and shall see a simplification of the administrative procedures for obtaining financial support through regional bonuses. Only one regional web portal shall inform applicants about the premiums available and there shall only be a single digitalised procedure for citizens. An accompanying investment as part of Investment 1A supports energy efficiency renovations. The regulation reforming the energy grant schemes for residential and private renovations in the Brussels-Capital Region shall enter into force by 31 March 2022.</w:t>
      </w:r>
    </w:p>
    <w:p w14:paraId="22133ADE" w14:textId="77777777" w:rsidR="006A41D9" w:rsidRPr="001961AA" w:rsidRDefault="006A41D9" w:rsidP="00BD6DD1">
      <w:pPr>
        <w:pStyle w:val="Text1"/>
        <w:ind w:left="0"/>
        <w:rPr>
          <w:noProof/>
          <w:color w:val="000000" w:themeColor="text1"/>
          <w:u w:val="single"/>
          <w:lang w:val="en-GB"/>
        </w:rPr>
      </w:pPr>
      <w:r w:rsidRPr="001961AA">
        <w:rPr>
          <w:noProof/>
          <w:color w:val="000000" w:themeColor="text1"/>
          <w:u w:val="single"/>
          <w:lang w:val="en-GB"/>
        </w:rPr>
        <w:t>Reform R-1.03: ‘Improved energy subsidy scheme’ of the German-speaking Community</w:t>
      </w:r>
    </w:p>
    <w:p w14:paraId="56C62AF1" w14:textId="28CDF1BE" w:rsidR="006A41D9" w:rsidRPr="001961AA" w:rsidRDefault="006A41D9" w:rsidP="00BD6DD1">
      <w:pPr>
        <w:pStyle w:val="Text1"/>
        <w:ind w:left="0"/>
        <w:rPr>
          <w:noProof/>
          <w:color w:val="000000" w:themeColor="text1"/>
          <w:lang w:val="en-GB"/>
        </w:rPr>
      </w:pPr>
      <w:r w:rsidRPr="001961AA">
        <w:rPr>
          <w:noProof/>
          <w:color w:val="000000" w:themeColor="text1"/>
          <w:lang w:val="en-GB"/>
        </w:rPr>
        <w:t>The measure shall introduce a new system of energy premiums in the German-speaking Community as from July 2021.</w:t>
      </w:r>
      <w:r w:rsidRPr="001961AA">
        <w:rPr>
          <w:noProof/>
          <w:lang w:val="en-GB"/>
        </w:rPr>
        <w:t xml:space="preserve"> The purpose of the bonus </w:t>
      </w:r>
      <w:r w:rsidRPr="001961AA">
        <w:rPr>
          <w:noProof/>
          <w:color w:val="000000" w:themeColor="text1"/>
          <w:lang w:val="en-GB"/>
        </w:rPr>
        <w:t xml:space="preserve">project is, in particular, to create incentives for the implementation of energy saving measures and the reduction of carbon dioxide emissions for existing residential buildings in the German-speaking Community. </w:t>
      </w:r>
      <w:r w:rsidRPr="001961AA">
        <w:rPr>
          <w:noProof/>
          <w:lang w:val="en-GB"/>
        </w:rPr>
        <w:t xml:space="preserve">The reform aims at distinguishing between small works, allowing access to bonuses in a simplified way, and major works, which shall require more detailed administrative procedures. </w:t>
      </w:r>
      <w:r w:rsidRPr="001961AA">
        <w:rPr>
          <w:noProof/>
          <w:color w:val="000000" w:themeColor="text1"/>
          <w:lang w:val="en-GB"/>
        </w:rPr>
        <w:t>The regulation reforming the energy grant schemes for residential and private renovations in the German-speaking Community shall enter into force by 31 March 2022.</w:t>
      </w:r>
    </w:p>
    <w:p w14:paraId="07254C1D" w14:textId="77777777" w:rsidR="006A41D9" w:rsidRPr="001961AA" w:rsidRDefault="006A41D9" w:rsidP="00BD6DD1">
      <w:pPr>
        <w:pStyle w:val="Text1"/>
        <w:ind w:left="0"/>
        <w:rPr>
          <w:noProof/>
          <w:color w:val="000000" w:themeColor="text1"/>
          <w:u w:val="single"/>
          <w:lang w:val="en-GB"/>
        </w:rPr>
      </w:pPr>
      <w:r w:rsidRPr="001961AA">
        <w:rPr>
          <w:noProof/>
          <w:color w:val="000000" w:themeColor="text1"/>
          <w:u w:val="single"/>
          <w:lang w:val="en-GB"/>
        </w:rPr>
        <w:t>Investment 1A in ‘Renovations of private and social housing’ (I-1A)</w:t>
      </w:r>
    </w:p>
    <w:p w14:paraId="3CE5A70A" w14:textId="1874F2E4" w:rsidR="006A41D9" w:rsidRPr="001961AA" w:rsidRDefault="006A41D9" w:rsidP="00BD6DD1">
      <w:pPr>
        <w:pStyle w:val="Text1"/>
        <w:ind w:left="0"/>
        <w:rPr>
          <w:noProof/>
          <w:color w:val="000000" w:themeColor="text1"/>
          <w:lang w:val="en-GB"/>
        </w:rPr>
      </w:pPr>
      <w:r w:rsidRPr="001961AA">
        <w:rPr>
          <w:noProof/>
          <w:color w:val="000000" w:themeColor="text1"/>
          <w:lang w:val="en-GB"/>
        </w:rPr>
        <w:t xml:space="preserve">The objective of the investment is to stimulate the energy-efficient renovation of private and social housing. The implementation of the investment shall be completed by 30 June 2025. The investment is composed of the following seven sub measures: </w:t>
      </w:r>
    </w:p>
    <w:p w14:paraId="5145EE71" w14:textId="77777777" w:rsidR="006A41D9" w:rsidRPr="001961AA" w:rsidRDefault="006A41D9" w:rsidP="009E6286">
      <w:pPr>
        <w:pStyle w:val="Text1"/>
        <w:numPr>
          <w:ilvl w:val="0"/>
          <w:numId w:val="37"/>
        </w:numPr>
        <w:contextualSpacing/>
        <w:rPr>
          <w:noProof/>
          <w:color w:val="000000" w:themeColor="text1"/>
          <w:lang w:val="en-GB"/>
        </w:rPr>
      </w:pPr>
      <w:r w:rsidRPr="001961AA">
        <w:rPr>
          <w:noProof/>
          <w:color w:val="000000" w:themeColor="text1"/>
          <w:lang w:val="en-GB"/>
        </w:rPr>
        <w:t>Sub-investment (i) linked to Reform R-1.01(i):subsidies for energy efficiency and renewable energy as well as subsidies by target groups for private housing</w:t>
      </w:r>
    </w:p>
    <w:p w14:paraId="02D94DA8" w14:textId="46632153" w:rsidR="006A41D9" w:rsidRPr="001961AA" w:rsidRDefault="006A41D9" w:rsidP="009E6286">
      <w:pPr>
        <w:pStyle w:val="Text1"/>
        <w:numPr>
          <w:ilvl w:val="0"/>
          <w:numId w:val="37"/>
        </w:numPr>
        <w:contextualSpacing/>
        <w:rPr>
          <w:noProof/>
          <w:color w:val="000000" w:themeColor="text1"/>
          <w:lang w:val="en-GB"/>
        </w:rPr>
      </w:pPr>
      <w:r w:rsidRPr="001961AA">
        <w:rPr>
          <w:noProof/>
          <w:color w:val="000000" w:themeColor="text1"/>
          <w:lang w:val="en-GB"/>
        </w:rPr>
        <w:t>Sub-investment (ii) linked to Reform R-101(ii): Support through the energy label scheme for energy efficient renovation of private housing</w:t>
      </w:r>
    </w:p>
    <w:p w14:paraId="6584C905" w14:textId="640255E6" w:rsidR="006A41D9" w:rsidRPr="001961AA" w:rsidRDefault="006A41D9" w:rsidP="009E6286">
      <w:pPr>
        <w:pStyle w:val="Text1"/>
        <w:numPr>
          <w:ilvl w:val="0"/>
          <w:numId w:val="37"/>
        </w:numPr>
        <w:contextualSpacing/>
        <w:rPr>
          <w:noProof/>
          <w:color w:val="000000" w:themeColor="text1"/>
          <w:lang w:val="en-GB"/>
        </w:rPr>
      </w:pPr>
      <w:r w:rsidRPr="001961AA">
        <w:rPr>
          <w:noProof/>
          <w:color w:val="000000" w:themeColor="text1"/>
          <w:lang w:val="en-GB"/>
        </w:rPr>
        <w:t>Sub-investment (iii) linked to Reform R-101(iii): Support for a scheme for home battery grant for private housing.</w:t>
      </w:r>
    </w:p>
    <w:p w14:paraId="3220BE5B" w14:textId="77777777" w:rsidR="006A41D9" w:rsidRPr="001961AA" w:rsidRDefault="006A41D9" w:rsidP="009E6286">
      <w:pPr>
        <w:pStyle w:val="Text1"/>
        <w:numPr>
          <w:ilvl w:val="0"/>
          <w:numId w:val="37"/>
        </w:numPr>
        <w:contextualSpacing/>
        <w:rPr>
          <w:noProof/>
          <w:color w:val="000000" w:themeColor="text1"/>
          <w:lang w:val="en-GB"/>
        </w:rPr>
      </w:pPr>
      <w:r w:rsidRPr="001961AA">
        <w:rPr>
          <w:noProof/>
          <w:color w:val="000000" w:themeColor="text1"/>
          <w:lang w:val="en-GB"/>
        </w:rPr>
        <w:t>Sub-investment linked to Reform R-1.02: ‘Improved energy subsidy scheme’ of the Brussels-Capital Region</w:t>
      </w:r>
    </w:p>
    <w:p w14:paraId="27B696D4" w14:textId="6AE926E0" w:rsidR="006A41D9" w:rsidRPr="001961AA" w:rsidRDefault="2DF8951B" w:rsidP="009E6286">
      <w:pPr>
        <w:pStyle w:val="Text1"/>
        <w:numPr>
          <w:ilvl w:val="0"/>
          <w:numId w:val="37"/>
        </w:numPr>
        <w:contextualSpacing/>
        <w:rPr>
          <w:noProof/>
          <w:color w:val="000000" w:themeColor="text1"/>
          <w:lang w:val="en-GB"/>
        </w:rPr>
      </w:pPr>
      <w:r w:rsidRPr="001961AA">
        <w:rPr>
          <w:noProof/>
          <w:color w:val="000000" w:themeColor="text1"/>
          <w:lang w:val="en-GB"/>
        </w:rPr>
        <w:t>Investment I-1.01: ‘Renovation of social housing’ of the Flemish Region</w:t>
      </w:r>
    </w:p>
    <w:p w14:paraId="7E13792F" w14:textId="758020C5" w:rsidR="006A41D9" w:rsidRPr="001961AA" w:rsidRDefault="2DF8951B" w:rsidP="009E6286">
      <w:pPr>
        <w:pStyle w:val="Text1"/>
        <w:numPr>
          <w:ilvl w:val="0"/>
          <w:numId w:val="37"/>
        </w:numPr>
        <w:contextualSpacing/>
        <w:rPr>
          <w:noProof/>
          <w:color w:val="000000" w:themeColor="text1"/>
          <w:lang w:val="en-GB"/>
        </w:rPr>
      </w:pPr>
      <w:r w:rsidRPr="001961AA">
        <w:rPr>
          <w:noProof/>
          <w:color w:val="000000" w:themeColor="text1"/>
          <w:lang w:val="en-GB"/>
        </w:rPr>
        <w:t>Investment I-1.02: ‘Renovation of social housing’ of the Brussels-Capital Region</w:t>
      </w:r>
    </w:p>
    <w:p w14:paraId="4C1D0A3E" w14:textId="77777777" w:rsidR="006A41D9" w:rsidRPr="001961AA" w:rsidRDefault="2DF8951B" w:rsidP="009E6286">
      <w:pPr>
        <w:pStyle w:val="Text1"/>
        <w:numPr>
          <w:ilvl w:val="0"/>
          <w:numId w:val="37"/>
        </w:numPr>
        <w:contextualSpacing/>
        <w:rPr>
          <w:noProof/>
          <w:color w:val="000000" w:themeColor="text1"/>
          <w:lang w:val="en-GB"/>
        </w:rPr>
      </w:pPr>
      <w:r w:rsidRPr="001961AA">
        <w:rPr>
          <w:noProof/>
          <w:color w:val="000000" w:themeColor="text1"/>
          <w:lang w:val="en-GB"/>
        </w:rPr>
        <w:t>Investment I-1.03: ‘Renovation of social housing’ of the German-speaking Community</w:t>
      </w:r>
    </w:p>
    <w:p w14:paraId="111EC445" w14:textId="77777777" w:rsidR="006A41D9" w:rsidRPr="001961AA" w:rsidRDefault="006A41D9" w:rsidP="00BD6DD1">
      <w:pPr>
        <w:pStyle w:val="Text1"/>
        <w:ind w:left="0"/>
        <w:rPr>
          <w:noProof/>
          <w:color w:val="000000" w:themeColor="text1"/>
          <w:lang w:val="en-GB"/>
        </w:rPr>
      </w:pPr>
    </w:p>
    <w:p w14:paraId="645C3314" w14:textId="77777777" w:rsidR="006A41D9" w:rsidRPr="001961AA" w:rsidRDefault="006A41D9" w:rsidP="00BD6DD1">
      <w:pPr>
        <w:pStyle w:val="Text1"/>
        <w:ind w:left="0"/>
        <w:rPr>
          <w:noProof/>
          <w:color w:val="000000" w:themeColor="text1"/>
          <w:u w:val="single"/>
          <w:lang w:val="en-GB"/>
        </w:rPr>
      </w:pPr>
      <w:r w:rsidRPr="001961AA">
        <w:rPr>
          <w:noProof/>
          <w:color w:val="000000" w:themeColor="text1"/>
          <w:u w:val="single"/>
          <w:lang w:val="en-GB"/>
        </w:rPr>
        <w:t>Investment I-1.01: ‘Renovation of social housing’ of the Flemish Region</w:t>
      </w:r>
    </w:p>
    <w:p w14:paraId="40205FF5" w14:textId="437A998B" w:rsidR="006A41D9" w:rsidRPr="001961AA" w:rsidRDefault="006A41D9" w:rsidP="00BD6DD1">
      <w:pPr>
        <w:pStyle w:val="Text1"/>
        <w:ind w:left="0"/>
        <w:rPr>
          <w:noProof/>
          <w:color w:val="000000"/>
          <w:lang w:val="en-GB"/>
        </w:rPr>
      </w:pPr>
      <w:r w:rsidRPr="001961AA">
        <w:rPr>
          <w:noProof/>
          <w:color w:val="000000" w:themeColor="text1"/>
          <w:lang w:val="en-GB"/>
        </w:rPr>
        <w:t>The objective of the measure is to stimulate and accelerate the energy renovation of social housing by increasing the support from the Flemish Climate Fund to social housing companies and the Flemish Housing Fund. The renovation of social housing shall reduce on average at least 30% of primary energy consumption, as defined in Commission Recommendation (EU) 2019/786 on the renovation of buildings.</w:t>
      </w:r>
    </w:p>
    <w:p w14:paraId="350DFDBD" w14:textId="77777777" w:rsidR="006A41D9" w:rsidRPr="001961AA" w:rsidRDefault="006A41D9" w:rsidP="00BD6DD1">
      <w:pPr>
        <w:pStyle w:val="Text1"/>
        <w:ind w:left="0"/>
        <w:rPr>
          <w:noProof/>
          <w:color w:val="000000" w:themeColor="text1"/>
          <w:u w:val="single"/>
          <w:lang w:val="en-GB"/>
        </w:rPr>
      </w:pPr>
      <w:r w:rsidRPr="001961AA">
        <w:rPr>
          <w:noProof/>
          <w:color w:val="000000" w:themeColor="text1"/>
          <w:u w:val="single"/>
          <w:lang w:val="en-GB"/>
        </w:rPr>
        <w:t>Investment I-1.02: ‘Renovation of social housing’ of the Brussels-Capital Region</w:t>
      </w:r>
    </w:p>
    <w:p w14:paraId="74CC1D4A" w14:textId="07CD15F0" w:rsidR="006A41D9" w:rsidRPr="001961AA" w:rsidRDefault="006A41D9" w:rsidP="00BD6DD1">
      <w:pPr>
        <w:pStyle w:val="Text1"/>
        <w:ind w:left="0"/>
        <w:rPr>
          <w:noProof/>
          <w:lang w:val="en-GB"/>
        </w:rPr>
      </w:pPr>
      <w:r w:rsidRPr="001961AA">
        <w:rPr>
          <w:noProof/>
          <w:color w:val="000000" w:themeColor="text1"/>
          <w:lang w:val="en-GB"/>
        </w:rPr>
        <w:t>This measure contributes to financing the renovation of social housing in Brussels.</w:t>
      </w:r>
      <w:r w:rsidRPr="001961AA">
        <w:rPr>
          <w:noProof/>
          <w:lang w:val="en-GB"/>
        </w:rPr>
        <w:t xml:space="preserve"> </w:t>
      </w:r>
      <w:r w:rsidRPr="001961AA">
        <w:rPr>
          <w:noProof/>
          <w:color w:val="000000" w:themeColor="text1"/>
          <w:lang w:val="en-GB"/>
        </w:rPr>
        <w:t>The renovation of social housing shall reduce on average at least 30% of primary energy consumption, as defined in Commission Recommendation (EU) 2019/786 on the renovation of buildings.</w:t>
      </w:r>
    </w:p>
    <w:p w14:paraId="558C93B9" w14:textId="77777777" w:rsidR="006A41D9" w:rsidRPr="001961AA" w:rsidRDefault="006A41D9" w:rsidP="00BD6DD1">
      <w:pPr>
        <w:pStyle w:val="Text1"/>
        <w:ind w:left="0"/>
        <w:rPr>
          <w:noProof/>
          <w:color w:val="000000" w:themeColor="text1"/>
          <w:u w:val="single"/>
          <w:lang w:val="en-GB"/>
        </w:rPr>
      </w:pPr>
      <w:r w:rsidRPr="001961AA">
        <w:rPr>
          <w:noProof/>
          <w:color w:val="000000" w:themeColor="text1"/>
          <w:u w:val="single"/>
          <w:lang w:val="en-GB"/>
        </w:rPr>
        <w:t>Investment I-1.03: ‘Renovation of social housing’ of the German-speaking Community</w:t>
      </w:r>
    </w:p>
    <w:p w14:paraId="1C8D2795" w14:textId="1CE35F49" w:rsidR="001B135E" w:rsidRPr="001961AA" w:rsidRDefault="006A41D9" w:rsidP="00D84D76">
      <w:pPr>
        <w:pStyle w:val="Text1"/>
        <w:tabs>
          <w:tab w:val="left" w:pos="6525"/>
        </w:tabs>
        <w:ind w:left="0"/>
        <w:rPr>
          <w:noProof/>
          <w:szCs w:val="24"/>
          <w:lang w:val="en-GB"/>
        </w:rPr>
      </w:pPr>
      <w:r w:rsidRPr="001961AA">
        <w:rPr>
          <w:noProof/>
          <w:color w:val="000000" w:themeColor="text1"/>
          <w:lang w:val="en-GB"/>
        </w:rPr>
        <w:t xml:space="preserve">The measure consists in supporting a multiannual renovation programme in the German-speaking Community. The measure shall support </w:t>
      </w:r>
      <w:r w:rsidRPr="001961AA">
        <w:rPr>
          <w:noProof/>
          <w:lang w:val="en-GB"/>
        </w:rPr>
        <w:t>the German-speaking Community equity participation in the social housing company “Öffentliche Wohnungsbaugesellschaft Ostbelgien”, which shall allow the social housing investment programme to be carried out. The renovation of social housing shall reduce on average at least 30% of primary energy consumption, as defined in Commission Recommendation (EU) 2019/786 on the renovation of buildings.</w:t>
      </w:r>
    </w:p>
    <w:p w14:paraId="157CAE5C" w14:textId="77777777" w:rsidR="006A41D9" w:rsidRPr="001961AA" w:rsidRDefault="006A41D9" w:rsidP="00BD6DD1">
      <w:pPr>
        <w:pStyle w:val="Text1"/>
        <w:tabs>
          <w:tab w:val="left" w:pos="6525"/>
        </w:tabs>
        <w:ind w:left="0"/>
        <w:rPr>
          <w:noProof/>
          <w:color w:val="000000" w:themeColor="text1"/>
          <w:u w:val="single"/>
          <w:lang w:val="en-GB"/>
        </w:rPr>
      </w:pPr>
      <w:r w:rsidRPr="001961AA">
        <w:rPr>
          <w:noProof/>
          <w:color w:val="000000" w:themeColor="text1"/>
          <w:u w:val="single"/>
          <w:lang w:val="en-GB"/>
        </w:rPr>
        <w:t>Investment 1B ‘Public building renovation’ (I-1B)</w:t>
      </w:r>
    </w:p>
    <w:p w14:paraId="6B39AB2D" w14:textId="463B77F1" w:rsidR="006A41D9" w:rsidRPr="001961AA" w:rsidRDefault="006A41D9" w:rsidP="00BD6DD1">
      <w:pPr>
        <w:pStyle w:val="Text1"/>
        <w:ind w:left="0"/>
        <w:rPr>
          <w:noProof/>
          <w:color w:val="000000" w:themeColor="text1"/>
          <w:lang w:val="en-GB"/>
        </w:rPr>
      </w:pPr>
      <w:r w:rsidRPr="001961AA">
        <w:rPr>
          <w:noProof/>
          <w:color w:val="000000" w:themeColor="text1"/>
          <w:lang w:val="en-GB"/>
        </w:rPr>
        <w:t>The objective of the investment is to renovate and improve the energy-efficiency of public buildings. The implementation of the investment shall be completed by 30 June 2026. The investment is composed of the following eight sub measures:</w:t>
      </w:r>
    </w:p>
    <w:p w14:paraId="1E68E08D" w14:textId="77777777" w:rsidR="006A41D9" w:rsidRPr="001961AA" w:rsidRDefault="006A41D9" w:rsidP="009E6286">
      <w:pPr>
        <w:pStyle w:val="Text1"/>
        <w:numPr>
          <w:ilvl w:val="0"/>
          <w:numId w:val="37"/>
        </w:numPr>
        <w:contextualSpacing/>
        <w:rPr>
          <w:noProof/>
          <w:color w:val="000000" w:themeColor="text1"/>
          <w:lang w:val="en-GB"/>
        </w:rPr>
      </w:pPr>
      <w:r w:rsidRPr="001961AA">
        <w:rPr>
          <w:noProof/>
          <w:color w:val="000000" w:themeColor="text1"/>
          <w:lang w:val="en-GB"/>
        </w:rPr>
        <w:t>Investment I-1.04: ‘Renovation of public buildings’ of the Federal State</w:t>
      </w:r>
    </w:p>
    <w:p w14:paraId="387B36CC" w14:textId="77777777" w:rsidR="006A41D9" w:rsidRPr="001961AA" w:rsidRDefault="006A41D9" w:rsidP="009E6286">
      <w:pPr>
        <w:pStyle w:val="Text1"/>
        <w:numPr>
          <w:ilvl w:val="0"/>
          <w:numId w:val="37"/>
        </w:numPr>
        <w:contextualSpacing/>
        <w:rPr>
          <w:noProof/>
          <w:color w:val="000000" w:themeColor="text1"/>
          <w:lang w:val="en-GB"/>
        </w:rPr>
      </w:pPr>
      <w:r w:rsidRPr="001961AA">
        <w:rPr>
          <w:noProof/>
          <w:color w:val="000000" w:themeColor="text1"/>
          <w:lang w:val="en-GB"/>
        </w:rPr>
        <w:t>Investment I-1.05: ‘Renovation of public buildings’ of the Flemish Region</w:t>
      </w:r>
    </w:p>
    <w:p w14:paraId="04B9A95C" w14:textId="77777777" w:rsidR="006A41D9" w:rsidRPr="001961AA" w:rsidRDefault="006A41D9" w:rsidP="009E6286">
      <w:pPr>
        <w:pStyle w:val="Text1"/>
        <w:numPr>
          <w:ilvl w:val="0"/>
          <w:numId w:val="37"/>
        </w:numPr>
        <w:contextualSpacing/>
        <w:rPr>
          <w:noProof/>
          <w:color w:val="000000" w:themeColor="text1"/>
          <w:lang w:val="en-GB"/>
        </w:rPr>
      </w:pPr>
      <w:r w:rsidRPr="001961AA">
        <w:rPr>
          <w:noProof/>
          <w:color w:val="000000" w:themeColor="text1"/>
          <w:lang w:val="en-GB"/>
        </w:rPr>
        <w:t>Investment I-1.07: ‘Renovation of public buildings - local authorities &amp; sport’ of the Walloon Region</w:t>
      </w:r>
    </w:p>
    <w:p w14:paraId="61A2E0C6" w14:textId="77777777" w:rsidR="006A41D9" w:rsidRPr="001961AA" w:rsidRDefault="006A41D9" w:rsidP="009E6286">
      <w:pPr>
        <w:pStyle w:val="Text1"/>
        <w:numPr>
          <w:ilvl w:val="0"/>
          <w:numId w:val="37"/>
        </w:numPr>
        <w:contextualSpacing/>
        <w:rPr>
          <w:noProof/>
          <w:color w:val="000000" w:themeColor="text1"/>
          <w:lang w:val="en-GB"/>
        </w:rPr>
      </w:pPr>
      <w:r w:rsidRPr="001961AA">
        <w:rPr>
          <w:noProof/>
          <w:color w:val="000000" w:themeColor="text1"/>
          <w:lang w:val="en-GB"/>
        </w:rPr>
        <w:t>Investment I-1.08: ‘Renovation of public buildings’ of the Brussels-Capital Region</w:t>
      </w:r>
    </w:p>
    <w:p w14:paraId="4095E82B" w14:textId="77777777" w:rsidR="006A41D9" w:rsidRPr="001961AA" w:rsidRDefault="006A41D9" w:rsidP="009E6286">
      <w:pPr>
        <w:pStyle w:val="Text1"/>
        <w:numPr>
          <w:ilvl w:val="0"/>
          <w:numId w:val="37"/>
        </w:numPr>
        <w:contextualSpacing/>
        <w:rPr>
          <w:noProof/>
          <w:color w:val="000000" w:themeColor="text1"/>
          <w:lang w:val="en-GB"/>
        </w:rPr>
      </w:pPr>
      <w:r w:rsidRPr="001961AA">
        <w:rPr>
          <w:noProof/>
          <w:color w:val="000000" w:themeColor="text1"/>
          <w:lang w:val="en-GB"/>
        </w:rPr>
        <w:t>Investment I-1.09: ‘Renovation of public buildings - schools’ of the French Community</w:t>
      </w:r>
    </w:p>
    <w:p w14:paraId="51F88419" w14:textId="77777777" w:rsidR="006A41D9" w:rsidRPr="001961AA" w:rsidRDefault="006A41D9" w:rsidP="009E6286">
      <w:pPr>
        <w:pStyle w:val="Text1"/>
        <w:numPr>
          <w:ilvl w:val="0"/>
          <w:numId w:val="37"/>
        </w:numPr>
        <w:contextualSpacing/>
        <w:rPr>
          <w:noProof/>
          <w:color w:val="000000" w:themeColor="text1"/>
          <w:lang w:val="en-GB"/>
        </w:rPr>
      </w:pPr>
      <w:r w:rsidRPr="001961AA">
        <w:rPr>
          <w:noProof/>
          <w:color w:val="000000" w:themeColor="text1"/>
          <w:lang w:val="en-GB"/>
        </w:rPr>
        <w:t>Investment I-1.10: ‘Renovation of public buildings - sport &amp; IPPJ’ of the French Community</w:t>
      </w:r>
    </w:p>
    <w:p w14:paraId="45F0A20D" w14:textId="77777777" w:rsidR="006A41D9" w:rsidRPr="001961AA" w:rsidRDefault="006A41D9" w:rsidP="009E6286">
      <w:pPr>
        <w:pStyle w:val="Text1"/>
        <w:numPr>
          <w:ilvl w:val="0"/>
          <w:numId w:val="37"/>
        </w:numPr>
        <w:contextualSpacing/>
        <w:rPr>
          <w:noProof/>
          <w:color w:val="000000" w:themeColor="text1"/>
          <w:lang w:val="en-GB"/>
        </w:rPr>
      </w:pPr>
      <w:r w:rsidRPr="001961AA">
        <w:rPr>
          <w:noProof/>
          <w:color w:val="000000" w:themeColor="text1"/>
          <w:lang w:val="en-GB"/>
        </w:rPr>
        <w:t>Investment I-1.11: ‘Renovation of public buildings - universities’ of the French Community</w:t>
      </w:r>
    </w:p>
    <w:p w14:paraId="3B85A6F0" w14:textId="77777777" w:rsidR="006A41D9" w:rsidRPr="001961AA" w:rsidRDefault="006A41D9" w:rsidP="009E6286">
      <w:pPr>
        <w:pStyle w:val="Text1"/>
        <w:numPr>
          <w:ilvl w:val="0"/>
          <w:numId w:val="37"/>
        </w:numPr>
        <w:contextualSpacing/>
        <w:rPr>
          <w:noProof/>
          <w:color w:val="000000" w:themeColor="text1"/>
          <w:lang w:val="en-GB"/>
        </w:rPr>
      </w:pPr>
      <w:r w:rsidRPr="001961AA">
        <w:rPr>
          <w:noProof/>
          <w:color w:val="000000" w:themeColor="text1"/>
          <w:lang w:val="en-GB"/>
        </w:rPr>
        <w:t>Investment I-1.12: ‘Renovation of public buildings - culture’ of the French Community</w:t>
      </w:r>
    </w:p>
    <w:p w14:paraId="11621357" w14:textId="77777777" w:rsidR="006A41D9" w:rsidRPr="001961AA" w:rsidRDefault="006A41D9" w:rsidP="00BD6DD1">
      <w:pPr>
        <w:pStyle w:val="Text1"/>
        <w:ind w:left="0"/>
        <w:rPr>
          <w:noProof/>
          <w:color w:val="000000" w:themeColor="text1"/>
          <w:lang w:val="en-GB"/>
        </w:rPr>
      </w:pPr>
    </w:p>
    <w:p w14:paraId="7A8CB563" w14:textId="77777777" w:rsidR="006A41D9" w:rsidRPr="001961AA" w:rsidRDefault="006A41D9" w:rsidP="00BD6DD1">
      <w:pPr>
        <w:pStyle w:val="Text1"/>
        <w:ind w:left="0"/>
        <w:rPr>
          <w:noProof/>
          <w:color w:val="000000" w:themeColor="text1"/>
          <w:u w:val="single"/>
          <w:lang w:val="en-GB"/>
        </w:rPr>
      </w:pPr>
      <w:r w:rsidRPr="001961AA">
        <w:rPr>
          <w:noProof/>
          <w:color w:val="000000" w:themeColor="text1"/>
          <w:u w:val="single"/>
          <w:lang w:val="en-GB"/>
        </w:rPr>
        <w:t>Investment I-1.04: ‘Renovation of public buildings’ of the Federal State</w:t>
      </w:r>
    </w:p>
    <w:p w14:paraId="03178D6E" w14:textId="2FEFBABF" w:rsidR="006A41D9" w:rsidRPr="001961AA" w:rsidRDefault="006A41D9" w:rsidP="00BD6DD1">
      <w:pPr>
        <w:pStyle w:val="Text1"/>
        <w:ind w:left="0"/>
        <w:rPr>
          <w:noProof/>
          <w:color w:val="000000" w:themeColor="text1"/>
          <w:lang w:val="en-GB"/>
        </w:rPr>
      </w:pPr>
      <w:r w:rsidRPr="001961AA">
        <w:rPr>
          <w:noProof/>
          <w:color w:val="000000" w:themeColor="text1"/>
          <w:lang w:val="en-GB"/>
        </w:rPr>
        <w:t>The investment measure consists in the energy-efficient renovation of the Brussels Stock exchange building. This renovation may also be supported by other EU funds. The energy-efficient renovation works supported by the RRF and identified in the purchase order shall reduce on average at least 30% of primary energy consumption, as defined in Commission Recommendation (EU) 2019/786 on the renovation of buildings. The implementation of the measure shall be completed by 30 June 2024.</w:t>
      </w:r>
    </w:p>
    <w:p w14:paraId="39996F2E" w14:textId="77777777" w:rsidR="006A41D9" w:rsidRPr="001961AA" w:rsidRDefault="006A41D9" w:rsidP="00BD6DD1">
      <w:pPr>
        <w:pStyle w:val="Text1"/>
        <w:ind w:left="0"/>
        <w:rPr>
          <w:noProof/>
          <w:color w:val="000000" w:themeColor="text1"/>
          <w:u w:val="single"/>
          <w:lang w:val="en-GB"/>
        </w:rPr>
      </w:pPr>
      <w:r w:rsidRPr="001961AA">
        <w:rPr>
          <w:noProof/>
          <w:color w:val="000000" w:themeColor="text1"/>
          <w:u w:val="single"/>
          <w:lang w:val="en-GB"/>
        </w:rPr>
        <w:t>Investment I-1.05: ‘Renovation of public buildings’ of the Flemish Region</w:t>
      </w:r>
    </w:p>
    <w:p w14:paraId="4E4B16B9" w14:textId="1ADBF859" w:rsidR="006A41D9" w:rsidRPr="001961AA" w:rsidRDefault="006A41D9" w:rsidP="00BD6DD1">
      <w:pPr>
        <w:pStyle w:val="Text1"/>
        <w:ind w:left="0"/>
        <w:rPr>
          <w:noProof/>
          <w:color w:val="000000" w:themeColor="text1"/>
          <w:lang w:val="en-GB"/>
        </w:rPr>
      </w:pPr>
      <w:r w:rsidRPr="001961AA">
        <w:rPr>
          <w:noProof/>
          <w:color w:val="000000" w:themeColor="text1"/>
          <w:lang w:val="en-GB"/>
        </w:rPr>
        <w:t xml:space="preserve">The investment measure </w:t>
      </w:r>
      <w:r w:rsidRPr="001961AA">
        <w:rPr>
          <w:noProof/>
          <w:lang w:val="en-GB"/>
        </w:rPr>
        <w:t>consists in stepping up investments in building stock renovation to accelerate the energy renovation of public buildings. Support shall be granted via the Flemish Energy Company (Vlaams Energiebedrijf) which acts as the central purchasing body and service provider for other public services (in particular the central administration) in the field of energy-related services. The measure involves (i) direct support actions in the form of energy-efficient works and (ii) indirect support action like energy audits. The implementation of the measure shall be completed by 30 June 2026.</w:t>
      </w:r>
    </w:p>
    <w:p w14:paraId="389455C7" w14:textId="261F3832" w:rsidR="006A41D9" w:rsidRPr="001961AA" w:rsidRDefault="006A41D9" w:rsidP="00BD6DD1">
      <w:pPr>
        <w:pStyle w:val="Text1"/>
        <w:ind w:left="0"/>
        <w:rPr>
          <w:noProof/>
          <w:color w:val="000000" w:themeColor="text1"/>
          <w:u w:val="single"/>
          <w:lang w:val="en-GB"/>
        </w:rPr>
      </w:pPr>
      <w:r w:rsidRPr="001961AA">
        <w:rPr>
          <w:noProof/>
          <w:color w:val="000000" w:themeColor="text1"/>
          <w:u w:val="single"/>
          <w:lang w:val="en-GB"/>
        </w:rPr>
        <w:t>Investment I-1.07: ‘Renovation of public buildings - local authorities &amp; sport’ of the Walloon Region</w:t>
      </w:r>
    </w:p>
    <w:p w14:paraId="2DAB9886" w14:textId="7BD4F667" w:rsidR="006A41D9" w:rsidRPr="001961AA" w:rsidRDefault="006A41D9" w:rsidP="00BD6DD1">
      <w:pPr>
        <w:pStyle w:val="Text1"/>
        <w:ind w:left="0"/>
        <w:rPr>
          <w:noProof/>
          <w:color w:val="000000" w:themeColor="text1"/>
          <w:lang w:val="en-GB"/>
        </w:rPr>
      </w:pPr>
      <w:r w:rsidRPr="001961AA">
        <w:rPr>
          <w:noProof/>
          <w:color w:val="000000" w:themeColor="text1"/>
          <w:lang w:val="en-GB"/>
        </w:rPr>
        <w:t>The measure aims to improve the energy performance of (i) public buildings of local authorities and of (ii) sports infrastructure in the Walloon region. Support shall be awarded via a call for applications open to local authorities and eligible sports structures. The renovation of public buildings of local authorities shall reduce primary energy consumption on average by at least 30%, as defined in Commission Recommendation (EU) 2019/786 on the renovation of buildings. The implementation of the measure shall be completed by 30 June 2026.</w:t>
      </w:r>
    </w:p>
    <w:p w14:paraId="2B070F5E" w14:textId="77777777" w:rsidR="006A41D9" w:rsidRPr="001961AA" w:rsidRDefault="006A41D9" w:rsidP="00BD6DD1">
      <w:pPr>
        <w:pStyle w:val="Text1"/>
        <w:ind w:left="0"/>
        <w:rPr>
          <w:noProof/>
          <w:color w:val="000000" w:themeColor="text1"/>
          <w:u w:val="single"/>
          <w:lang w:val="en-GB"/>
        </w:rPr>
      </w:pPr>
      <w:r w:rsidRPr="001961AA">
        <w:rPr>
          <w:noProof/>
          <w:color w:val="000000" w:themeColor="text1"/>
          <w:u w:val="single"/>
          <w:lang w:val="en-GB"/>
        </w:rPr>
        <w:t>Investment I-1.08: ‘Renovation of public buildings’ of the Brussels-Capital Region</w:t>
      </w:r>
    </w:p>
    <w:p w14:paraId="48E555F3" w14:textId="12B5E8CB" w:rsidR="006A41D9" w:rsidRPr="001961AA" w:rsidRDefault="006A41D9" w:rsidP="00BD6DD1">
      <w:pPr>
        <w:pStyle w:val="Text1"/>
        <w:ind w:left="0"/>
        <w:rPr>
          <w:noProof/>
          <w:color w:val="000000"/>
          <w:lang w:val="en-GB"/>
        </w:rPr>
      </w:pPr>
      <w:r w:rsidRPr="001961AA">
        <w:rPr>
          <w:noProof/>
          <w:lang w:val="en-GB"/>
        </w:rPr>
        <w:t xml:space="preserve">The investment measure </w:t>
      </w:r>
      <w:r w:rsidRPr="001961AA">
        <w:rPr>
          <w:noProof/>
          <w:color w:val="000000" w:themeColor="text1"/>
          <w:lang w:val="en-GB"/>
        </w:rPr>
        <w:t>consists of two parts. First, the development of a one-stop-shop (to be managed by SIBELGA, the operator of the electricity and gas distribution network in the Brussels Region, under a public service obligation) to facilitate and accelerate deep energy renovations of public buildings of local and regional authorities in Brussels. The electricity ordinance defining the public service mission of Sibelga, including the operation of the one-stop shop for public renovations in Brussels shall enter into force by 1 February 2022. Second, energy subsidies for the selected public renovation works. The measure shall reduce primary energy consumption on average by at least 30%, as defined in Commission Recommendation (EU) 2019/786 on the renovation of buildings. The implementation of the measure shall be completed by 30 June 2026.</w:t>
      </w:r>
    </w:p>
    <w:p w14:paraId="211F2C16" w14:textId="77777777" w:rsidR="006A41D9" w:rsidRPr="001961AA" w:rsidRDefault="006A41D9" w:rsidP="00BD6DD1">
      <w:pPr>
        <w:pStyle w:val="Text1"/>
        <w:ind w:left="0"/>
        <w:rPr>
          <w:noProof/>
          <w:color w:val="000000" w:themeColor="text1"/>
          <w:u w:val="single"/>
          <w:lang w:val="en-GB"/>
        </w:rPr>
      </w:pPr>
      <w:r w:rsidRPr="001961AA">
        <w:rPr>
          <w:noProof/>
          <w:color w:val="000000" w:themeColor="text1"/>
          <w:u w:val="single"/>
          <w:lang w:val="en-GB"/>
        </w:rPr>
        <w:t>Investment I-1.09: ‘Renovation of public buildings - schools’ of the French Community</w:t>
      </w:r>
    </w:p>
    <w:p w14:paraId="43EB158B" w14:textId="6EB1B152" w:rsidR="006A41D9" w:rsidRPr="001961AA" w:rsidRDefault="006A41D9" w:rsidP="00BD6DD1">
      <w:pPr>
        <w:pStyle w:val="Text1"/>
        <w:ind w:left="0"/>
        <w:rPr>
          <w:noProof/>
          <w:color w:val="000000" w:themeColor="text1"/>
          <w:lang w:val="en-GB"/>
        </w:rPr>
      </w:pPr>
      <w:r w:rsidRPr="001961AA">
        <w:rPr>
          <w:noProof/>
          <w:lang w:val="en-GB"/>
        </w:rPr>
        <w:t>The</w:t>
      </w:r>
      <w:r w:rsidRPr="001961AA">
        <w:rPr>
          <w:noProof/>
          <w:color w:val="000000" w:themeColor="text1"/>
          <w:lang w:val="en-GB"/>
        </w:rPr>
        <w:t xml:space="preserve"> investment measure shall (i) support an investment plan in school buildings owned by the French Community and (ii) via a call for projects grant support for the renovation of school buildings in educational networks subsidised by the French Community.</w:t>
      </w:r>
      <w:r w:rsidRPr="001961AA">
        <w:rPr>
          <w:noProof/>
          <w:lang w:val="en-GB"/>
        </w:rPr>
        <w:t xml:space="preserve"> At least 85% of the construction of new buildings shall achieve a Primary Energy Demand (PED) that is at least 20% lower than the NZEB requirement (nearly zero-energy building, national directives). The implementation of the measure shall be completed by 30 June 2026. </w:t>
      </w:r>
    </w:p>
    <w:p w14:paraId="2CA64F43" w14:textId="77777777" w:rsidR="006A41D9" w:rsidRPr="001961AA" w:rsidRDefault="006A41D9" w:rsidP="00BD6DD1">
      <w:pPr>
        <w:pStyle w:val="Text1"/>
        <w:ind w:left="0"/>
        <w:rPr>
          <w:noProof/>
          <w:color w:val="000000" w:themeColor="text1"/>
          <w:u w:val="single"/>
          <w:lang w:val="en-GB"/>
        </w:rPr>
      </w:pPr>
      <w:r w:rsidRPr="001961AA">
        <w:rPr>
          <w:noProof/>
          <w:color w:val="000000" w:themeColor="text1"/>
          <w:u w:val="single"/>
          <w:lang w:val="en-GB"/>
        </w:rPr>
        <w:t>Investment I-1.10: ‘Renovation of public buildings - sport &amp; IPPJ’ of the French Community</w:t>
      </w:r>
    </w:p>
    <w:p w14:paraId="033B880C" w14:textId="1BE4F21A" w:rsidR="006A41D9" w:rsidRPr="001961AA" w:rsidRDefault="006A41D9" w:rsidP="00BD6DD1">
      <w:pPr>
        <w:pStyle w:val="Text1"/>
        <w:ind w:left="0"/>
        <w:rPr>
          <w:noProof/>
          <w:color w:val="000000" w:themeColor="text1"/>
          <w:lang w:val="en-GB"/>
        </w:rPr>
      </w:pPr>
      <w:r w:rsidRPr="001961AA">
        <w:rPr>
          <w:noProof/>
          <w:lang w:val="en-GB"/>
        </w:rPr>
        <w:t>This</w:t>
      </w:r>
      <w:r w:rsidRPr="001961AA">
        <w:rPr>
          <w:noProof/>
          <w:color w:val="000000" w:themeColor="text1"/>
          <w:lang w:val="en-GB"/>
        </w:rPr>
        <w:t xml:space="preserve"> investment measure supports (i) the renovation of sport infrastructures and (ii) the renovation of facilities dedicated to youth (Institutions Publiques de Protection de la Jeunesse - IPPJ). The construction of new buildings shall achieve a Primary Energy Demand (PED) that is at least 20% lower than the NZEB requirement (nearly zero-energy building, national directives). The renovation of existing buildings shall reduce on average at least 30% of primary energy consumption, as defined in Commission Recommendation (EU) 2019/786 on the renovation of buildings. The implementation of the measure shall be completed by 30 June 2026.</w:t>
      </w:r>
    </w:p>
    <w:p w14:paraId="1DDEEB82" w14:textId="77777777" w:rsidR="006A41D9" w:rsidRPr="001961AA" w:rsidRDefault="006A41D9" w:rsidP="00BD6DD1">
      <w:pPr>
        <w:pStyle w:val="Text1"/>
        <w:ind w:left="0"/>
        <w:rPr>
          <w:noProof/>
          <w:color w:val="000000" w:themeColor="text1"/>
          <w:u w:val="single"/>
          <w:lang w:val="en-GB"/>
        </w:rPr>
      </w:pPr>
      <w:r w:rsidRPr="001961AA">
        <w:rPr>
          <w:noProof/>
          <w:color w:val="000000" w:themeColor="text1"/>
          <w:u w:val="single"/>
          <w:lang w:val="en-GB"/>
        </w:rPr>
        <w:t>Investment I-1.11: ‘Renovation of public buildings - universities’ of the French Community</w:t>
      </w:r>
    </w:p>
    <w:p w14:paraId="0BFDA815" w14:textId="718B3CF4" w:rsidR="006A41D9" w:rsidRPr="001961AA" w:rsidRDefault="006A41D9" w:rsidP="00BD6DD1">
      <w:pPr>
        <w:pStyle w:val="Text1"/>
        <w:ind w:left="0"/>
        <w:rPr>
          <w:noProof/>
          <w:color w:val="000000" w:themeColor="text1"/>
          <w:lang w:val="en-GB"/>
        </w:rPr>
      </w:pPr>
      <w:r w:rsidRPr="001961AA">
        <w:rPr>
          <w:noProof/>
          <w:color w:val="000000" w:themeColor="text1"/>
          <w:lang w:val="en-GB"/>
        </w:rPr>
        <w:t>The investment measure grants support via a call for projects for the energy-efficient renovation of buildings of universities subsidised by the French Community. At least half of the renovation works, measured in m², shall reduce on average at least 30% of primary energy consumption, as defined in Commission Recommendation (EU) 2019/786 on the renovation of buildings. The implementation of the measure shall be completed by 30 June 2026.</w:t>
      </w:r>
    </w:p>
    <w:p w14:paraId="1D25ED8C" w14:textId="77777777" w:rsidR="006A41D9" w:rsidRPr="001961AA" w:rsidRDefault="006A41D9" w:rsidP="00BD6DD1">
      <w:pPr>
        <w:pStyle w:val="Text1"/>
        <w:ind w:left="0"/>
        <w:rPr>
          <w:noProof/>
          <w:color w:val="000000" w:themeColor="text1"/>
          <w:u w:val="single"/>
          <w:lang w:val="en-GB"/>
        </w:rPr>
      </w:pPr>
      <w:r w:rsidRPr="001961AA">
        <w:rPr>
          <w:noProof/>
          <w:color w:val="000000" w:themeColor="text1"/>
          <w:u w:val="single"/>
          <w:lang w:val="en-GB"/>
        </w:rPr>
        <w:t>Investment I-1.12: ‘Renovation of public buildings - culture’ of the French Community</w:t>
      </w:r>
    </w:p>
    <w:p w14:paraId="59B6329F" w14:textId="77777777" w:rsidR="00022287" w:rsidRPr="001961AA" w:rsidRDefault="006A41D9" w:rsidP="00BD6DD1">
      <w:pPr>
        <w:pStyle w:val="Text1"/>
        <w:ind w:left="0"/>
        <w:rPr>
          <w:noProof/>
          <w:color w:val="000000" w:themeColor="text1"/>
          <w:lang w:val="en-GB"/>
        </w:rPr>
        <w:sectPr w:rsidR="00022287" w:rsidRPr="001961AA" w:rsidSect="00022287">
          <w:headerReference w:type="even" r:id="rId18"/>
          <w:headerReference w:type="default" r:id="rId19"/>
          <w:footerReference w:type="even" r:id="rId20"/>
          <w:footerReference w:type="default" r:id="rId21"/>
          <w:headerReference w:type="first" r:id="rId22"/>
          <w:footerReference w:type="first" r:id="rId23"/>
          <w:pgSz w:w="11907" w:h="16839"/>
          <w:pgMar w:top="1134" w:right="1134" w:bottom="1134" w:left="1134" w:header="567" w:footer="567" w:gutter="0"/>
          <w:cols w:space="720"/>
          <w:docGrid w:linePitch="360"/>
        </w:sectPr>
      </w:pPr>
      <w:r w:rsidRPr="001961AA">
        <w:rPr>
          <w:noProof/>
          <w:color w:val="000000" w:themeColor="text1"/>
          <w:lang w:val="en-GB"/>
        </w:rPr>
        <w:t>The investment measure aims at the energy efficient renovation of cultural public buildings in the French Community. The measure consists in two parts: (i) energy renovation of cultural infrastructure belonging to the French Community and (ii) grants for energy renovation projects of cultural infrastructure not owned by the French Community (such as infrastructure owned by the local authorities) awarded through a call for project. At least half of the renovation works, measured in m², shall reduce primary energy consumption on average by at least 30%, as defined in Commission Recommendation (EU) 2019/786 on the renovation of buildings. The implementation of the measure shall be completed by 30 June 2026.</w:t>
      </w:r>
    </w:p>
    <w:p w14:paraId="7866918B" w14:textId="77777777" w:rsidR="006A41D9" w:rsidRPr="001961AA" w:rsidRDefault="006A41D9" w:rsidP="00BD6DD1">
      <w:pPr>
        <w:pStyle w:val="Text1"/>
        <w:ind w:left="0"/>
        <w:rPr>
          <w:b/>
          <w:bCs/>
          <w:noProof/>
          <w:u w:val="single"/>
          <w:lang w:val="en-GB"/>
        </w:rPr>
      </w:pPr>
      <w:r w:rsidRPr="001961AA">
        <w:rPr>
          <w:b/>
          <w:noProof/>
          <w:u w:val="single"/>
          <w:lang w:val="en-GB"/>
        </w:rPr>
        <w:t xml:space="preserve">A.2. </w:t>
      </w:r>
      <w:r w:rsidRPr="001961AA">
        <w:rPr>
          <w:noProof/>
          <w:lang w:val="en-GB"/>
        </w:rPr>
        <w:tab/>
      </w:r>
      <w:r w:rsidRPr="001961AA">
        <w:rPr>
          <w:b/>
          <w:noProof/>
          <w:u w:val="single"/>
          <w:lang w:val="en-GB"/>
        </w:rPr>
        <w:t>Milestones, targets, indicators, and timetable for monitoring and implementation for non-repayable financial support</w:t>
      </w:r>
    </w:p>
    <w:tbl>
      <w:tblPr>
        <w:tblW w:w="16046" w:type="dxa"/>
        <w:tblInd w:w="-601" w:type="dxa"/>
        <w:tblLayout w:type="fixed"/>
        <w:tblLook w:val="04A0" w:firstRow="1" w:lastRow="0" w:firstColumn="1" w:lastColumn="0" w:noHBand="0" w:noVBand="1"/>
      </w:tblPr>
      <w:tblGrid>
        <w:gridCol w:w="714"/>
        <w:gridCol w:w="1731"/>
        <w:gridCol w:w="1128"/>
        <w:gridCol w:w="1672"/>
        <w:gridCol w:w="1231"/>
        <w:gridCol w:w="1200"/>
        <w:gridCol w:w="1000"/>
        <w:gridCol w:w="1280"/>
        <w:gridCol w:w="960"/>
        <w:gridCol w:w="720"/>
        <w:gridCol w:w="4410"/>
      </w:tblGrid>
      <w:tr w:rsidR="00292220" w:rsidRPr="009818D6" w14:paraId="4D7D04F5" w14:textId="77777777" w:rsidTr="00022287">
        <w:trPr>
          <w:trHeight w:val="939"/>
          <w:tblHeader/>
        </w:trPr>
        <w:tc>
          <w:tcPr>
            <w:tcW w:w="71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FB8710D" w14:textId="6A44E1D5" w:rsidR="006A41D9" w:rsidRPr="001961AA" w:rsidRDefault="006A41D9" w:rsidP="00BD6DD1">
            <w:pPr>
              <w:spacing w:after="0"/>
              <w:jc w:val="center"/>
              <w:rPr>
                <w:rFonts w:ascii="Times New Roman" w:eastAsia="Times New Roman" w:hAnsi="Times New Roman" w:cs="Times New Roman"/>
                <w:b/>
                <w:noProof/>
                <w:sz w:val="20"/>
                <w:szCs w:val="20"/>
                <w:lang w:val="en-GB"/>
              </w:rPr>
            </w:pPr>
            <w:r w:rsidRPr="001961AA">
              <w:rPr>
                <w:rFonts w:ascii="Times New Roman" w:hAnsi="Times New Roman"/>
                <w:b/>
                <w:noProof/>
                <w:sz w:val="20"/>
                <w:lang w:val="en-GB"/>
              </w:rPr>
              <w:t>Seq. Nb</w:t>
            </w:r>
          </w:p>
        </w:tc>
        <w:tc>
          <w:tcPr>
            <w:tcW w:w="1731"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1D5B526" w14:textId="77777777" w:rsidR="006A41D9" w:rsidRPr="001961AA" w:rsidRDefault="006A41D9" w:rsidP="00BD6DD1">
            <w:pPr>
              <w:spacing w:after="0"/>
              <w:jc w:val="center"/>
              <w:rPr>
                <w:rFonts w:ascii="Times New Roman" w:eastAsia="Times New Roman" w:hAnsi="Times New Roman" w:cs="Times New Roman"/>
                <w:b/>
                <w:noProof/>
                <w:sz w:val="20"/>
                <w:szCs w:val="20"/>
                <w:lang w:val="en-GB"/>
              </w:rPr>
            </w:pPr>
            <w:r w:rsidRPr="001961AA">
              <w:rPr>
                <w:rFonts w:ascii="Times New Roman" w:hAnsi="Times New Roman"/>
                <w:b/>
                <w:noProof/>
                <w:sz w:val="20"/>
                <w:lang w:val="en-GB"/>
              </w:rPr>
              <w:t>Related Measure (Reform or Investment)</w:t>
            </w:r>
          </w:p>
        </w:tc>
        <w:tc>
          <w:tcPr>
            <w:tcW w:w="1128"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E9339D6" w14:textId="756BE0E2" w:rsidR="006A41D9" w:rsidRPr="001961AA" w:rsidRDefault="006A41D9" w:rsidP="00BD6DD1">
            <w:pPr>
              <w:spacing w:after="0"/>
              <w:jc w:val="center"/>
              <w:rPr>
                <w:rFonts w:ascii="Times New Roman" w:eastAsia="Times New Roman" w:hAnsi="Times New Roman" w:cs="Times New Roman"/>
                <w:b/>
                <w:noProof/>
                <w:sz w:val="20"/>
                <w:szCs w:val="20"/>
                <w:lang w:val="en-GB"/>
              </w:rPr>
            </w:pPr>
            <w:r w:rsidRPr="001961AA">
              <w:rPr>
                <w:rFonts w:ascii="Times New Roman" w:hAnsi="Times New Roman"/>
                <w:b/>
                <w:noProof/>
                <w:sz w:val="20"/>
                <w:lang w:val="en-GB"/>
              </w:rPr>
              <w:t>Milestone / Target</w:t>
            </w:r>
          </w:p>
        </w:tc>
        <w:tc>
          <w:tcPr>
            <w:tcW w:w="1672"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11EA814" w14:textId="77777777" w:rsidR="006A41D9" w:rsidRPr="001961AA" w:rsidRDefault="006A41D9" w:rsidP="00BD6DD1">
            <w:pPr>
              <w:spacing w:after="0"/>
              <w:jc w:val="center"/>
              <w:rPr>
                <w:rFonts w:ascii="Times New Roman" w:eastAsia="Times New Roman" w:hAnsi="Times New Roman" w:cs="Times New Roman"/>
                <w:b/>
                <w:noProof/>
                <w:sz w:val="20"/>
                <w:szCs w:val="20"/>
                <w:lang w:val="en-GB"/>
              </w:rPr>
            </w:pPr>
            <w:r w:rsidRPr="001961AA">
              <w:rPr>
                <w:rFonts w:ascii="Times New Roman" w:hAnsi="Times New Roman"/>
                <w:b/>
                <w:noProof/>
                <w:sz w:val="20"/>
                <w:lang w:val="en-GB"/>
              </w:rPr>
              <w:t>Name</w:t>
            </w:r>
          </w:p>
        </w:tc>
        <w:tc>
          <w:tcPr>
            <w:tcW w:w="1231"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022B8F2" w14:textId="77777777" w:rsidR="006A41D9" w:rsidRPr="001961AA" w:rsidRDefault="006A41D9" w:rsidP="00BD6DD1">
            <w:pPr>
              <w:spacing w:after="0"/>
              <w:jc w:val="center"/>
              <w:rPr>
                <w:rFonts w:ascii="Times New Roman" w:eastAsia="Times New Roman" w:hAnsi="Times New Roman" w:cs="Times New Roman"/>
                <w:b/>
                <w:noProof/>
                <w:sz w:val="20"/>
                <w:szCs w:val="20"/>
                <w:lang w:val="en-GB"/>
              </w:rPr>
            </w:pPr>
            <w:r w:rsidRPr="001961AA">
              <w:rPr>
                <w:rFonts w:ascii="Times New Roman" w:hAnsi="Times New Roman"/>
                <w:b/>
                <w:noProof/>
                <w:sz w:val="20"/>
                <w:lang w:val="en-GB"/>
              </w:rPr>
              <w:t xml:space="preserve">Qualitative indicators </w:t>
            </w:r>
            <w:r w:rsidRPr="001961AA">
              <w:rPr>
                <w:noProof/>
                <w:lang w:val="en-GB"/>
              </w:rPr>
              <w:t xml:space="preserve"> </w:t>
            </w:r>
            <w:r w:rsidRPr="001961AA">
              <w:rPr>
                <w:noProof/>
                <w:lang w:val="en-GB"/>
              </w:rPr>
              <w:br/>
            </w:r>
            <w:r w:rsidRPr="001961AA">
              <w:rPr>
                <w:rFonts w:ascii="Times New Roman" w:hAnsi="Times New Roman"/>
                <w:b/>
                <w:noProof/>
                <w:sz w:val="20"/>
                <w:lang w:val="en-GB"/>
              </w:rPr>
              <w:t>(for milestones)</w:t>
            </w:r>
          </w:p>
        </w:tc>
        <w:tc>
          <w:tcPr>
            <w:tcW w:w="3480" w:type="dxa"/>
            <w:gridSpan w:val="3"/>
            <w:tcBorders>
              <w:top w:val="single" w:sz="4" w:space="0" w:color="auto"/>
              <w:left w:val="single" w:sz="4" w:space="0" w:color="auto"/>
              <w:bottom w:val="single" w:sz="4" w:space="0" w:color="auto"/>
              <w:right w:val="single" w:sz="4" w:space="0" w:color="auto"/>
            </w:tcBorders>
            <w:shd w:val="clear" w:color="auto" w:fill="BDD7EE"/>
            <w:vAlign w:val="center"/>
            <w:hideMark/>
          </w:tcPr>
          <w:p w14:paraId="3F1DDFCD" w14:textId="77777777" w:rsidR="006A41D9" w:rsidRPr="001961AA" w:rsidRDefault="006A41D9" w:rsidP="00BD6DD1">
            <w:pPr>
              <w:spacing w:after="0"/>
              <w:jc w:val="center"/>
              <w:rPr>
                <w:rFonts w:ascii="Times New Roman" w:eastAsia="Times New Roman" w:hAnsi="Times New Roman" w:cs="Times New Roman"/>
                <w:b/>
                <w:noProof/>
                <w:sz w:val="20"/>
                <w:szCs w:val="20"/>
                <w:lang w:val="en-GB"/>
              </w:rPr>
            </w:pPr>
            <w:r w:rsidRPr="001961AA">
              <w:rPr>
                <w:rFonts w:ascii="Times New Roman" w:hAnsi="Times New Roman"/>
                <w:b/>
                <w:noProof/>
                <w:sz w:val="20"/>
                <w:lang w:val="en-GB"/>
              </w:rPr>
              <w:t xml:space="preserve">Quantitative indicators </w:t>
            </w:r>
            <w:r w:rsidRPr="001961AA">
              <w:rPr>
                <w:noProof/>
                <w:lang w:val="en-GB"/>
              </w:rPr>
              <w:t xml:space="preserve"> </w:t>
            </w:r>
            <w:r w:rsidRPr="001961AA">
              <w:rPr>
                <w:noProof/>
                <w:lang w:val="en-GB"/>
              </w:rPr>
              <w:br/>
            </w:r>
            <w:r w:rsidRPr="001961AA">
              <w:rPr>
                <w:rFonts w:ascii="Times New Roman" w:hAnsi="Times New Roman"/>
                <w:b/>
                <w:noProof/>
                <w:sz w:val="20"/>
                <w:lang w:val="en-GB"/>
              </w:rPr>
              <w:t>(for targets)</w:t>
            </w:r>
          </w:p>
        </w:tc>
        <w:tc>
          <w:tcPr>
            <w:tcW w:w="1680" w:type="dxa"/>
            <w:gridSpan w:val="2"/>
            <w:tcBorders>
              <w:top w:val="single" w:sz="4" w:space="0" w:color="auto"/>
              <w:left w:val="single" w:sz="4" w:space="0" w:color="auto"/>
              <w:bottom w:val="single" w:sz="4" w:space="0" w:color="auto"/>
              <w:right w:val="single" w:sz="4" w:space="0" w:color="auto"/>
            </w:tcBorders>
            <w:shd w:val="clear" w:color="auto" w:fill="BDD7EE"/>
            <w:vAlign w:val="center"/>
            <w:hideMark/>
          </w:tcPr>
          <w:p w14:paraId="781F84AD" w14:textId="77777777" w:rsidR="006A41D9" w:rsidRPr="001961AA" w:rsidRDefault="006A41D9" w:rsidP="00BD6DD1">
            <w:pPr>
              <w:spacing w:after="0"/>
              <w:jc w:val="center"/>
              <w:rPr>
                <w:rFonts w:ascii="Times New Roman" w:eastAsia="Times New Roman" w:hAnsi="Times New Roman" w:cs="Times New Roman"/>
                <w:b/>
                <w:noProof/>
                <w:sz w:val="20"/>
                <w:szCs w:val="20"/>
                <w:lang w:val="en-GB"/>
              </w:rPr>
            </w:pPr>
            <w:r w:rsidRPr="001961AA">
              <w:rPr>
                <w:rFonts w:ascii="Times New Roman" w:hAnsi="Times New Roman"/>
                <w:b/>
                <w:noProof/>
                <w:sz w:val="20"/>
                <w:lang w:val="en-GB"/>
              </w:rPr>
              <w:t xml:space="preserve">Indicative timeline for completion </w:t>
            </w:r>
          </w:p>
        </w:tc>
        <w:tc>
          <w:tcPr>
            <w:tcW w:w="441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C31CC71" w14:textId="77777777" w:rsidR="006A41D9" w:rsidRPr="001961AA" w:rsidRDefault="006A41D9" w:rsidP="00BD6DD1">
            <w:pPr>
              <w:spacing w:after="0"/>
              <w:jc w:val="center"/>
              <w:rPr>
                <w:rFonts w:ascii="Times New Roman" w:eastAsia="Times New Roman" w:hAnsi="Times New Roman" w:cs="Times New Roman"/>
                <w:b/>
                <w:noProof/>
                <w:sz w:val="20"/>
                <w:szCs w:val="20"/>
                <w:lang w:val="en-GB"/>
              </w:rPr>
            </w:pPr>
            <w:r w:rsidRPr="001961AA">
              <w:rPr>
                <w:rFonts w:ascii="Times New Roman" w:hAnsi="Times New Roman"/>
                <w:b/>
                <w:noProof/>
                <w:sz w:val="20"/>
                <w:lang w:val="en-GB"/>
              </w:rPr>
              <w:t>Description of each milestone and target</w:t>
            </w:r>
          </w:p>
        </w:tc>
      </w:tr>
      <w:tr w:rsidR="004868CC" w:rsidRPr="001961AA" w14:paraId="65055AAA" w14:textId="77777777" w:rsidTr="00022287">
        <w:trPr>
          <w:trHeight w:val="1027"/>
        </w:trPr>
        <w:tc>
          <w:tcPr>
            <w:tcW w:w="714" w:type="dxa"/>
            <w:vMerge/>
            <w:tcBorders>
              <w:top w:val="single" w:sz="4" w:space="0" w:color="auto"/>
              <w:left w:val="single" w:sz="4" w:space="0" w:color="auto"/>
              <w:right w:val="single" w:sz="4" w:space="0" w:color="auto"/>
            </w:tcBorders>
            <w:vAlign w:val="center"/>
            <w:hideMark/>
          </w:tcPr>
          <w:p w14:paraId="50341939" w14:textId="77777777" w:rsidR="006A41D9" w:rsidRPr="001961AA" w:rsidRDefault="006A41D9" w:rsidP="00BD6DD1">
            <w:pPr>
              <w:spacing w:after="0"/>
              <w:rPr>
                <w:rFonts w:ascii="Times New Roman" w:eastAsia="Times New Roman" w:hAnsi="Times New Roman" w:cs="Times New Roman"/>
                <w:b/>
                <w:bCs/>
                <w:noProof/>
                <w:szCs w:val="24"/>
                <w:lang w:val="en-GB" w:eastAsia="en-GB"/>
              </w:rPr>
            </w:pPr>
          </w:p>
        </w:tc>
        <w:tc>
          <w:tcPr>
            <w:tcW w:w="1731" w:type="dxa"/>
            <w:vMerge/>
            <w:tcBorders>
              <w:top w:val="single" w:sz="4" w:space="0" w:color="auto"/>
              <w:left w:val="single" w:sz="4" w:space="0" w:color="auto"/>
              <w:right w:val="single" w:sz="4" w:space="0" w:color="auto"/>
            </w:tcBorders>
            <w:vAlign w:val="center"/>
            <w:hideMark/>
          </w:tcPr>
          <w:p w14:paraId="79B880F6" w14:textId="77777777" w:rsidR="006A41D9" w:rsidRPr="001961AA" w:rsidRDefault="006A41D9" w:rsidP="00BD6DD1">
            <w:pPr>
              <w:spacing w:after="0"/>
              <w:rPr>
                <w:rFonts w:ascii="Times New Roman" w:eastAsia="Times New Roman" w:hAnsi="Times New Roman" w:cs="Times New Roman"/>
                <w:b/>
                <w:bCs/>
                <w:noProof/>
                <w:szCs w:val="24"/>
                <w:lang w:val="en-GB" w:eastAsia="en-GB"/>
              </w:rPr>
            </w:pPr>
          </w:p>
        </w:tc>
        <w:tc>
          <w:tcPr>
            <w:tcW w:w="1128" w:type="dxa"/>
            <w:vMerge/>
            <w:tcBorders>
              <w:top w:val="single" w:sz="4" w:space="0" w:color="auto"/>
              <w:left w:val="single" w:sz="4" w:space="0" w:color="auto"/>
              <w:right w:val="single" w:sz="4" w:space="0" w:color="auto"/>
            </w:tcBorders>
            <w:vAlign w:val="center"/>
            <w:hideMark/>
          </w:tcPr>
          <w:p w14:paraId="363854BB" w14:textId="77777777" w:rsidR="006A41D9" w:rsidRPr="001961AA" w:rsidRDefault="006A41D9" w:rsidP="00BD6DD1">
            <w:pPr>
              <w:spacing w:after="0"/>
              <w:rPr>
                <w:rFonts w:ascii="Times New Roman" w:eastAsia="Times New Roman" w:hAnsi="Times New Roman" w:cs="Times New Roman"/>
                <w:b/>
                <w:bCs/>
                <w:noProof/>
                <w:szCs w:val="24"/>
                <w:lang w:val="en-GB" w:eastAsia="en-GB"/>
              </w:rPr>
            </w:pPr>
          </w:p>
        </w:tc>
        <w:tc>
          <w:tcPr>
            <w:tcW w:w="1672" w:type="dxa"/>
            <w:vMerge/>
            <w:tcBorders>
              <w:top w:val="single" w:sz="4" w:space="0" w:color="auto"/>
              <w:left w:val="single" w:sz="4" w:space="0" w:color="auto"/>
              <w:right w:val="single" w:sz="4" w:space="0" w:color="auto"/>
            </w:tcBorders>
            <w:vAlign w:val="center"/>
            <w:hideMark/>
          </w:tcPr>
          <w:p w14:paraId="2A174B0C" w14:textId="77777777" w:rsidR="006A41D9" w:rsidRPr="001961AA" w:rsidRDefault="006A41D9" w:rsidP="00BD6DD1">
            <w:pPr>
              <w:spacing w:after="0"/>
              <w:rPr>
                <w:rFonts w:ascii="Times New Roman" w:eastAsia="Times New Roman" w:hAnsi="Times New Roman" w:cs="Times New Roman"/>
                <w:b/>
                <w:bCs/>
                <w:noProof/>
                <w:szCs w:val="24"/>
                <w:lang w:val="en-GB" w:eastAsia="en-GB"/>
              </w:rPr>
            </w:pPr>
          </w:p>
        </w:tc>
        <w:tc>
          <w:tcPr>
            <w:tcW w:w="1231" w:type="dxa"/>
            <w:vMerge/>
            <w:tcBorders>
              <w:top w:val="single" w:sz="4" w:space="0" w:color="auto"/>
              <w:left w:val="single" w:sz="4" w:space="0" w:color="auto"/>
            </w:tcBorders>
            <w:vAlign w:val="center"/>
            <w:hideMark/>
          </w:tcPr>
          <w:p w14:paraId="5AA6DF47" w14:textId="77777777" w:rsidR="006A41D9" w:rsidRPr="001961AA" w:rsidRDefault="006A41D9" w:rsidP="00BD6DD1">
            <w:pPr>
              <w:spacing w:after="0"/>
              <w:rPr>
                <w:rFonts w:ascii="Times New Roman" w:eastAsia="Times New Roman" w:hAnsi="Times New Roman" w:cs="Times New Roman"/>
                <w:b/>
                <w:bCs/>
                <w:noProof/>
                <w:szCs w:val="24"/>
                <w:lang w:val="en-GB" w:eastAsia="en-GB"/>
              </w:rPr>
            </w:pPr>
          </w:p>
        </w:tc>
        <w:tc>
          <w:tcPr>
            <w:tcW w:w="1200"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4ED0916A" w14:textId="77777777" w:rsidR="006A41D9" w:rsidRPr="001961AA" w:rsidRDefault="006A41D9" w:rsidP="00BD6DD1">
            <w:pPr>
              <w:spacing w:after="0"/>
              <w:jc w:val="center"/>
              <w:rPr>
                <w:rFonts w:ascii="Times New Roman" w:eastAsia="Times New Roman" w:hAnsi="Times New Roman" w:cs="Times New Roman"/>
                <w:b/>
                <w:noProof/>
                <w:sz w:val="20"/>
                <w:szCs w:val="20"/>
                <w:lang w:val="en-GB"/>
              </w:rPr>
            </w:pPr>
            <w:r w:rsidRPr="001961AA">
              <w:rPr>
                <w:rFonts w:ascii="Times New Roman" w:hAnsi="Times New Roman"/>
                <w:b/>
                <w:noProof/>
                <w:sz w:val="20"/>
                <w:lang w:val="en-GB"/>
              </w:rPr>
              <w:t>Unit of measure</w:t>
            </w:r>
          </w:p>
        </w:tc>
        <w:tc>
          <w:tcPr>
            <w:tcW w:w="1000" w:type="dxa"/>
            <w:tcBorders>
              <w:top w:val="single" w:sz="4" w:space="0" w:color="auto"/>
              <w:left w:val="nil"/>
              <w:bottom w:val="single" w:sz="4" w:space="0" w:color="auto"/>
              <w:right w:val="single" w:sz="4" w:space="0" w:color="auto"/>
            </w:tcBorders>
            <w:shd w:val="clear" w:color="auto" w:fill="BDD7EE"/>
            <w:vAlign w:val="center"/>
            <w:hideMark/>
          </w:tcPr>
          <w:p w14:paraId="32677B8E" w14:textId="77777777" w:rsidR="006A41D9" w:rsidRPr="001961AA" w:rsidRDefault="006A41D9" w:rsidP="00BD6DD1">
            <w:pPr>
              <w:spacing w:after="0"/>
              <w:jc w:val="center"/>
              <w:rPr>
                <w:rFonts w:ascii="Times New Roman" w:eastAsia="Times New Roman" w:hAnsi="Times New Roman" w:cs="Times New Roman"/>
                <w:b/>
                <w:noProof/>
                <w:sz w:val="20"/>
                <w:szCs w:val="20"/>
                <w:lang w:val="en-GB"/>
              </w:rPr>
            </w:pPr>
            <w:r w:rsidRPr="001961AA">
              <w:rPr>
                <w:rFonts w:ascii="Times New Roman" w:hAnsi="Times New Roman"/>
                <w:b/>
                <w:noProof/>
                <w:sz w:val="20"/>
                <w:lang w:val="en-GB"/>
              </w:rPr>
              <w:t xml:space="preserve">Baseline </w:t>
            </w:r>
          </w:p>
        </w:tc>
        <w:tc>
          <w:tcPr>
            <w:tcW w:w="1280" w:type="dxa"/>
            <w:tcBorders>
              <w:top w:val="single" w:sz="4" w:space="0" w:color="auto"/>
              <w:left w:val="nil"/>
              <w:bottom w:val="single" w:sz="4" w:space="0" w:color="auto"/>
              <w:right w:val="single" w:sz="4" w:space="0" w:color="auto"/>
            </w:tcBorders>
            <w:shd w:val="clear" w:color="auto" w:fill="BDD7EE"/>
            <w:vAlign w:val="center"/>
            <w:hideMark/>
          </w:tcPr>
          <w:p w14:paraId="46FBCD94" w14:textId="77777777" w:rsidR="006A41D9" w:rsidRPr="001961AA" w:rsidRDefault="006A41D9" w:rsidP="00BD6DD1">
            <w:pPr>
              <w:spacing w:after="0"/>
              <w:jc w:val="center"/>
              <w:rPr>
                <w:rFonts w:ascii="Times New Roman" w:eastAsia="Times New Roman" w:hAnsi="Times New Roman" w:cs="Times New Roman"/>
                <w:b/>
                <w:noProof/>
                <w:sz w:val="20"/>
                <w:szCs w:val="20"/>
                <w:lang w:val="en-GB"/>
              </w:rPr>
            </w:pPr>
            <w:r w:rsidRPr="001961AA">
              <w:rPr>
                <w:rFonts w:ascii="Times New Roman" w:hAnsi="Times New Roman"/>
                <w:b/>
                <w:noProof/>
                <w:sz w:val="20"/>
                <w:lang w:val="en-GB"/>
              </w:rPr>
              <w:t xml:space="preserve">Goal </w:t>
            </w:r>
          </w:p>
        </w:tc>
        <w:tc>
          <w:tcPr>
            <w:tcW w:w="960" w:type="dxa"/>
            <w:tcBorders>
              <w:top w:val="single" w:sz="4" w:space="0" w:color="auto"/>
              <w:left w:val="nil"/>
              <w:bottom w:val="single" w:sz="4" w:space="0" w:color="auto"/>
              <w:right w:val="single" w:sz="4" w:space="0" w:color="auto"/>
            </w:tcBorders>
            <w:shd w:val="clear" w:color="auto" w:fill="BDD7EE"/>
            <w:vAlign w:val="center"/>
            <w:hideMark/>
          </w:tcPr>
          <w:p w14:paraId="450A7C2F" w14:textId="77777777" w:rsidR="006A41D9" w:rsidRPr="001961AA" w:rsidRDefault="006A41D9" w:rsidP="00BD6DD1">
            <w:pPr>
              <w:spacing w:after="0"/>
              <w:jc w:val="center"/>
              <w:rPr>
                <w:rFonts w:ascii="Times New Roman" w:eastAsia="Times New Roman" w:hAnsi="Times New Roman" w:cs="Times New Roman"/>
                <w:b/>
                <w:noProof/>
                <w:sz w:val="20"/>
                <w:szCs w:val="20"/>
                <w:lang w:val="en-GB"/>
              </w:rPr>
            </w:pPr>
            <w:r w:rsidRPr="001961AA">
              <w:rPr>
                <w:rFonts w:ascii="Times New Roman" w:hAnsi="Times New Roman"/>
                <w:b/>
                <w:noProof/>
                <w:sz w:val="20"/>
                <w:lang w:val="en-GB"/>
              </w:rPr>
              <w:t>Quarter</w:t>
            </w:r>
          </w:p>
        </w:tc>
        <w:tc>
          <w:tcPr>
            <w:tcW w:w="720" w:type="dxa"/>
            <w:tcBorders>
              <w:top w:val="single" w:sz="4" w:space="0" w:color="auto"/>
              <w:left w:val="nil"/>
              <w:bottom w:val="single" w:sz="4" w:space="0" w:color="auto"/>
              <w:right w:val="single" w:sz="4" w:space="0" w:color="auto"/>
            </w:tcBorders>
            <w:shd w:val="clear" w:color="auto" w:fill="BDD7EE"/>
            <w:vAlign w:val="center"/>
            <w:hideMark/>
          </w:tcPr>
          <w:p w14:paraId="3E4AF39C" w14:textId="77777777" w:rsidR="006A41D9" w:rsidRPr="001961AA" w:rsidRDefault="006A41D9" w:rsidP="00BD6DD1">
            <w:pPr>
              <w:spacing w:after="0"/>
              <w:jc w:val="center"/>
              <w:rPr>
                <w:rFonts w:ascii="Times New Roman" w:eastAsia="Times New Roman" w:hAnsi="Times New Roman" w:cs="Times New Roman"/>
                <w:b/>
                <w:noProof/>
                <w:sz w:val="20"/>
                <w:szCs w:val="20"/>
                <w:lang w:val="en-GB"/>
              </w:rPr>
            </w:pPr>
            <w:r w:rsidRPr="001961AA">
              <w:rPr>
                <w:rFonts w:ascii="Times New Roman" w:hAnsi="Times New Roman"/>
                <w:b/>
                <w:noProof/>
                <w:sz w:val="20"/>
                <w:lang w:val="en-GB"/>
              </w:rPr>
              <w:t>Year</w:t>
            </w:r>
          </w:p>
        </w:tc>
        <w:tc>
          <w:tcPr>
            <w:tcW w:w="4410" w:type="dxa"/>
            <w:vMerge/>
            <w:tcBorders>
              <w:top w:val="single" w:sz="4" w:space="0" w:color="auto"/>
              <w:right w:val="single" w:sz="4" w:space="0" w:color="auto"/>
            </w:tcBorders>
            <w:vAlign w:val="center"/>
            <w:hideMark/>
          </w:tcPr>
          <w:p w14:paraId="5C708E06" w14:textId="77777777" w:rsidR="006A41D9" w:rsidRPr="001961AA" w:rsidRDefault="006A41D9" w:rsidP="00BD6DD1">
            <w:pPr>
              <w:spacing w:after="0"/>
              <w:rPr>
                <w:rFonts w:ascii="Times New Roman" w:eastAsia="Times New Roman" w:hAnsi="Times New Roman" w:cs="Times New Roman"/>
                <w:b/>
                <w:bCs/>
                <w:noProof/>
                <w:szCs w:val="24"/>
                <w:lang w:val="en-GB" w:eastAsia="en-GB"/>
              </w:rPr>
            </w:pPr>
          </w:p>
        </w:tc>
      </w:tr>
      <w:tr w:rsidR="00292220" w:rsidRPr="009818D6" w14:paraId="75559E65" w14:textId="77777777" w:rsidTr="00022287">
        <w:trPr>
          <w:trHeight w:val="313"/>
        </w:trPr>
        <w:tc>
          <w:tcPr>
            <w:tcW w:w="71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9740779"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1</w:t>
            </w:r>
          </w:p>
        </w:tc>
        <w:tc>
          <w:tcPr>
            <w:tcW w:w="1731" w:type="dxa"/>
            <w:tcBorders>
              <w:top w:val="single" w:sz="4" w:space="0" w:color="auto"/>
              <w:left w:val="nil"/>
              <w:bottom w:val="single" w:sz="4" w:space="0" w:color="auto"/>
              <w:right w:val="single" w:sz="4" w:space="0" w:color="auto"/>
            </w:tcBorders>
            <w:shd w:val="clear" w:color="auto" w:fill="C6EFCE"/>
            <w:noWrap/>
            <w:vAlign w:val="center"/>
          </w:tcPr>
          <w:p w14:paraId="134F6D06" w14:textId="79A07F23" w:rsidR="006A41D9" w:rsidRPr="001961AA" w:rsidRDefault="006A41D9" w:rsidP="00BD6DD1">
            <w:pPr>
              <w:spacing w:after="0"/>
              <w:rPr>
                <w:rFonts w:ascii="Times New Roman" w:hAnsi="Times New Roman" w:cs="Times New Roman"/>
                <w:noProof/>
                <w:color w:val="006100"/>
                <w:lang w:val="en-GB"/>
              </w:rPr>
            </w:pPr>
            <w:r w:rsidRPr="001961AA">
              <w:rPr>
                <w:rFonts w:ascii="Times New Roman" w:hAnsi="Times New Roman"/>
                <w:noProof/>
                <w:color w:val="006100"/>
                <w:lang w:val="en-GB"/>
              </w:rPr>
              <w:t>Improved energy grant scheme in the Flemish region(R-1.01)</w:t>
            </w:r>
          </w:p>
        </w:tc>
        <w:tc>
          <w:tcPr>
            <w:tcW w:w="1128" w:type="dxa"/>
            <w:tcBorders>
              <w:top w:val="single" w:sz="4" w:space="0" w:color="auto"/>
              <w:left w:val="nil"/>
              <w:bottom w:val="single" w:sz="4" w:space="0" w:color="auto"/>
              <w:right w:val="single" w:sz="4" w:space="0" w:color="auto"/>
            </w:tcBorders>
            <w:shd w:val="clear" w:color="auto" w:fill="C6EFCE"/>
            <w:noWrap/>
            <w:vAlign w:val="center"/>
          </w:tcPr>
          <w:p w14:paraId="69163E44" w14:textId="2971996A"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M</w:t>
            </w:r>
          </w:p>
        </w:tc>
        <w:tc>
          <w:tcPr>
            <w:tcW w:w="1672" w:type="dxa"/>
            <w:tcBorders>
              <w:top w:val="single" w:sz="4" w:space="0" w:color="auto"/>
              <w:left w:val="nil"/>
              <w:bottom w:val="single" w:sz="4" w:space="0" w:color="auto"/>
              <w:right w:val="single" w:sz="4" w:space="0" w:color="auto"/>
            </w:tcBorders>
            <w:shd w:val="clear" w:color="auto" w:fill="C6EFCE"/>
            <w:noWrap/>
            <w:vAlign w:val="center"/>
          </w:tcPr>
          <w:p w14:paraId="155FB4A9"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Improved energy grant schemes in Flanders</w:t>
            </w:r>
          </w:p>
        </w:tc>
        <w:tc>
          <w:tcPr>
            <w:tcW w:w="1231" w:type="dxa"/>
            <w:tcBorders>
              <w:top w:val="single" w:sz="4" w:space="0" w:color="auto"/>
              <w:left w:val="nil"/>
              <w:bottom w:val="single" w:sz="4" w:space="0" w:color="auto"/>
              <w:right w:val="single" w:sz="4" w:space="0" w:color="auto"/>
            </w:tcBorders>
            <w:shd w:val="clear" w:color="auto" w:fill="C6EFCE"/>
            <w:noWrap/>
            <w:vAlign w:val="center"/>
          </w:tcPr>
          <w:p w14:paraId="13A277D6"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Publication in Official journal</w:t>
            </w:r>
          </w:p>
        </w:tc>
        <w:tc>
          <w:tcPr>
            <w:tcW w:w="1200" w:type="dxa"/>
            <w:tcBorders>
              <w:top w:val="nil"/>
              <w:left w:val="nil"/>
              <w:bottom w:val="single" w:sz="4" w:space="0" w:color="auto"/>
              <w:right w:val="single" w:sz="4" w:space="0" w:color="auto"/>
            </w:tcBorders>
            <w:shd w:val="clear" w:color="auto" w:fill="C6EFCE"/>
            <w:noWrap/>
            <w:vAlign w:val="center"/>
          </w:tcPr>
          <w:p w14:paraId="5ADC084F" w14:textId="1D3A5435"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w:t>
            </w:r>
          </w:p>
        </w:tc>
        <w:tc>
          <w:tcPr>
            <w:tcW w:w="1000" w:type="dxa"/>
            <w:tcBorders>
              <w:top w:val="nil"/>
              <w:left w:val="nil"/>
              <w:bottom w:val="single" w:sz="4" w:space="0" w:color="auto"/>
              <w:right w:val="single" w:sz="4" w:space="0" w:color="auto"/>
            </w:tcBorders>
            <w:shd w:val="clear" w:color="auto" w:fill="C6EFCE"/>
            <w:noWrap/>
            <w:vAlign w:val="center"/>
          </w:tcPr>
          <w:p w14:paraId="4637A80C" w14:textId="61BD3DB5"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w:t>
            </w:r>
          </w:p>
        </w:tc>
        <w:tc>
          <w:tcPr>
            <w:tcW w:w="1280" w:type="dxa"/>
            <w:tcBorders>
              <w:top w:val="nil"/>
              <w:left w:val="nil"/>
              <w:bottom w:val="single" w:sz="4" w:space="0" w:color="auto"/>
              <w:right w:val="single" w:sz="4" w:space="0" w:color="auto"/>
            </w:tcBorders>
            <w:shd w:val="clear" w:color="auto" w:fill="C6EFCE"/>
            <w:noWrap/>
            <w:vAlign w:val="center"/>
          </w:tcPr>
          <w:p w14:paraId="6036BD08" w14:textId="33F53B65"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w:t>
            </w:r>
          </w:p>
        </w:tc>
        <w:tc>
          <w:tcPr>
            <w:tcW w:w="960" w:type="dxa"/>
            <w:tcBorders>
              <w:top w:val="nil"/>
              <w:left w:val="nil"/>
              <w:bottom w:val="single" w:sz="4" w:space="0" w:color="auto"/>
              <w:right w:val="single" w:sz="4" w:space="0" w:color="auto"/>
            </w:tcBorders>
            <w:shd w:val="clear" w:color="auto" w:fill="C6EFCE"/>
            <w:noWrap/>
            <w:vAlign w:val="center"/>
          </w:tcPr>
          <w:p w14:paraId="2EFED298" w14:textId="3046208C"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Q1</w:t>
            </w:r>
          </w:p>
        </w:tc>
        <w:tc>
          <w:tcPr>
            <w:tcW w:w="720" w:type="dxa"/>
            <w:tcBorders>
              <w:top w:val="nil"/>
              <w:left w:val="nil"/>
              <w:bottom w:val="single" w:sz="4" w:space="0" w:color="auto"/>
              <w:right w:val="single" w:sz="4" w:space="0" w:color="auto"/>
            </w:tcBorders>
            <w:shd w:val="clear" w:color="auto" w:fill="C6EFCE"/>
            <w:noWrap/>
            <w:vAlign w:val="center"/>
          </w:tcPr>
          <w:p w14:paraId="00E1E046"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2022</w:t>
            </w:r>
          </w:p>
        </w:tc>
        <w:tc>
          <w:tcPr>
            <w:tcW w:w="441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46582BE" w14:textId="5DC7B6FB" w:rsidR="006A41D9" w:rsidRPr="001961AA" w:rsidRDefault="000FEC9B"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Adoption by the Flemish Government / Parliament of new regulation to provide more efficient incentives to accelerate private energy efficiency investments: (i) creating a one stop shop for residential and private renovations related to energy efficiency and renewable energy, implemented by building contractors, in a single regional mechanism, (ii) revising the energy label grant scheme and (iii) introducing the scheme for home batteries and smart control devices.</w:t>
            </w:r>
          </w:p>
        </w:tc>
      </w:tr>
      <w:tr w:rsidR="00292220" w:rsidRPr="009818D6" w14:paraId="0BFE5EF1" w14:textId="77777777" w:rsidTr="00022287">
        <w:trPr>
          <w:trHeight w:val="313"/>
        </w:trPr>
        <w:tc>
          <w:tcPr>
            <w:tcW w:w="714" w:type="dxa"/>
            <w:tcBorders>
              <w:top w:val="nil"/>
              <w:left w:val="single" w:sz="4" w:space="0" w:color="auto"/>
              <w:bottom w:val="single" w:sz="4" w:space="0" w:color="auto"/>
              <w:right w:val="single" w:sz="4" w:space="0" w:color="auto"/>
            </w:tcBorders>
            <w:shd w:val="clear" w:color="auto" w:fill="C6EFCE"/>
            <w:noWrap/>
            <w:vAlign w:val="center"/>
            <w:hideMark/>
          </w:tcPr>
          <w:p w14:paraId="70AA794E"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w:t>
            </w:r>
          </w:p>
        </w:tc>
        <w:tc>
          <w:tcPr>
            <w:tcW w:w="1731" w:type="dxa"/>
            <w:tcBorders>
              <w:top w:val="single" w:sz="4" w:space="0" w:color="auto"/>
              <w:left w:val="nil"/>
              <w:bottom w:val="single" w:sz="4" w:space="0" w:color="auto"/>
              <w:right w:val="single" w:sz="4" w:space="0" w:color="auto"/>
            </w:tcBorders>
            <w:shd w:val="clear" w:color="auto" w:fill="C6EFCE"/>
            <w:noWrap/>
            <w:vAlign w:val="center"/>
          </w:tcPr>
          <w:p w14:paraId="56FCA5D6" w14:textId="61F46815"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Improved energy grant scheme of the Brussels-Capital region (R-1.02)</w:t>
            </w:r>
          </w:p>
        </w:tc>
        <w:tc>
          <w:tcPr>
            <w:tcW w:w="1128" w:type="dxa"/>
            <w:tcBorders>
              <w:top w:val="nil"/>
              <w:left w:val="nil"/>
              <w:bottom w:val="single" w:sz="4" w:space="0" w:color="auto"/>
              <w:right w:val="single" w:sz="4" w:space="0" w:color="auto"/>
            </w:tcBorders>
            <w:shd w:val="clear" w:color="auto" w:fill="C6EFCE"/>
            <w:noWrap/>
            <w:vAlign w:val="center"/>
          </w:tcPr>
          <w:p w14:paraId="3572F05D" w14:textId="5A9068B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M</w:t>
            </w:r>
          </w:p>
        </w:tc>
        <w:tc>
          <w:tcPr>
            <w:tcW w:w="1672" w:type="dxa"/>
            <w:tcBorders>
              <w:top w:val="nil"/>
              <w:left w:val="nil"/>
              <w:bottom w:val="single" w:sz="4" w:space="0" w:color="auto"/>
              <w:right w:val="single" w:sz="4" w:space="0" w:color="auto"/>
            </w:tcBorders>
            <w:shd w:val="clear" w:color="auto" w:fill="C6EFCE"/>
            <w:noWrap/>
            <w:vAlign w:val="center"/>
          </w:tcPr>
          <w:p w14:paraId="157BEFA9"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Entry into force of new regulation on energy grant schemes in Brussels</w:t>
            </w:r>
          </w:p>
        </w:tc>
        <w:tc>
          <w:tcPr>
            <w:tcW w:w="1231" w:type="dxa"/>
            <w:tcBorders>
              <w:top w:val="single" w:sz="4" w:space="0" w:color="auto"/>
              <w:left w:val="nil"/>
              <w:bottom w:val="single" w:sz="4" w:space="0" w:color="auto"/>
              <w:right w:val="single" w:sz="4" w:space="0" w:color="auto"/>
            </w:tcBorders>
            <w:shd w:val="clear" w:color="auto" w:fill="C6EFCE"/>
            <w:noWrap/>
            <w:vAlign w:val="center"/>
          </w:tcPr>
          <w:p w14:paraId="4EA5F1FF"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Provision in the law indicating the entry into force of the new regulation</w:t>
            </w:r>
          </w:p>
        </w:tc>
        <w:tc>
          <w:tcPr>
            <w:tcW w:w="1200" w:type="dxa"/>
            <w:tcBorders>
              <w:top w:val="nil"/>
              <w:left w:val="nil"/>
              <w:bottom w:val="single" w:sz="4" w:space="0" w:color="auto"/>
              <w:right w:val="single" w:sz="4" w:space="0" w:color="auto"/>
            </w:tcBorders>
            <w:shd w:val="clear" w:color="auto" w:fill="C6EFCE"/>
            <w:noWrap/>
            <w:vAlign w:val="center"/>
          </w:tcPr>
          <w:p w14:paraId="4F41A80A" w14:textId="7849D806"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w:t>
            </w:r>
          </w:p>
        </w:tc>
        <w:tc>
          <w:tcPr>
            <w:tcW w:w="1000" w:type="dxa"/>
            <w:tcBorders>
              <w:top w:val="nil"/>
              <w:left w:val="nil"/>
              <w:bottom w:val="single" w:sz="4" w:space="0" w:color="auto"/>
              <w:right w:val="single" w:sz="4" w:space="0" w:color="auto"/>
            </w:tcBorders>
            <w:shd w:val="clear" w:color="auto" w:fill="C6EFCE"/>
            <w:noWrap/>
            <w:vAlign w:val="center"/>
          </w:tcPr>
          <w:p w14:paraId="24D870C2" w14:textId="43F15BAF"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w:t>
            </w:r>
          </w:p>
        </w:tc>
        <w:tc>
          <w:tcPr>
            <w:tcW w:w="1280" w:type="dxa"/>
            <w:tcBorders>
              <w:top w:val="nil"/>
              <w:left w:val="nil"/>
              <w:bottom w:val="single" w:sz="4" w:space="0" w:color="auto"/>
              <w:right w:val="single" w:sz="4" w:space="0" w:color="auto"/>
            </w:tcBorders>
            <w:shd w:val="clear" w:color="auto" w:fill="C6EFCE"/>
            <w:noWrap/>
            <w:vAlign w:val="center"/>
          </w:tcPr>
          <w:p w14:paraId="1E6A9640" w14:textId="1D572C02"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w:t>
            </w:r>
          </w:p>
        </w:tc>
        <w:tc>
          <w:tcPr>
            <w:tcW w:w="960" w:type="dxa"/>
            <w:tcBorders>
              <w:top w:val="nil"/>
              <w:left w:val="nil"/>
              <w:bottom w:val="single" w:sz="4" w:space="0" w:color="auto"/>
              <w:right w:val="single" w:sz="4" w:space="0" w:color="auto"/>
            </w:tcBorders>
            <w:shd w:val="clear" w:color="auto" w:fill="C6EFCE"/>
            <w:noWrap/>
            <w:vAlign w:val="center"/>
          </w:tcPr>
          <w:p w14:paraId="7A12CB92"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Q1</w:t>
            </w:r>
          </w:p>
        </w:tc>
        <w:tc>
          <w:tcPr>
            <w:tcW w:w="720" w:type="dxa"/>
            <w:tcBorders>
              <w:top w:val="nil"/>
              <w:left w:val="nil"/>
              <w:bottom w:val="single" w:sz="4" w:space="0" w:color="auto"/>
              <w:right w:val="single" w:sz="4" w:space="0" w:color="auto"/>
            </w:tcBorders>
            <w:shd w:val="clear" w:color="auto" w:fill="C6EFCE"/>
            <w:noWrap/>
            <w:vAlign w:val="center"/>
          </w:tcPr>
          <w:p w14:paraId="3E189454"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2022</w:t>
            </w:r>
          </w:p>
        </w:tc>
        <w:tc>
          <w:tcPr>
            <w:tcW w:w="4410" w:type="dxa"/>
            <w:tcBorders>
              <w:top w:val="nil"/>
              <w:left w:val="single" w:sz="4" w:space="0" w:color="auto"/>
              <w:bottom w:val="single" w:sz="4" w:space="0" w:color="auto"/>
              <w:right w:val="single" w:sz="4" w:space="0" w:color="auto"/>
            </w:tcBorders>
            <w:shd w:val="clear" w:color="auto" w:fill="C6EFCE"/>
            <w:noWrap/>
            <w:vAlign w:val="center"/>
          </w:tcPr>
          <w:p w14:paraId="4FFF30C2" w14:textId="46B8A542" w:rsidR="006A41D9" w:rsidRPr="001961AA" w:rsidRDefault="006A41D9" w:rsidP="00BD6DD1">
            <w:pPr>
              <w:spacing w:after="0"/>
              <w:rPr>
                <w:rFonts w:ascii="Times New Roman" w:eastAsia="Times New Roman" w:hAnsi="Times New Roman" w:cs="Times New Roman"/>
                <w:noProof/>
                <w:color w:val="006100"/>
                <w:highlight w:val="cyan"/>
                <w:lang w:val="en-GB"/>
              </w:rPr>
            </w:pPr>
            <w:r w:rsidRPr="001961AA">
              <w:rPr>
                <w:rFonts w:ascii="Times New Roman" w:hAnsi="Times New Roman"/>
                <w:noProof/>
                <w:color w:val="006100"/>
                <w:lang w:val="en-GB"/>
              </w:rPr>
              <w:t xml:space="preserve">Entry into force of regulation to reform the energy grant schemes for residential and private renovations in Brussels-Capital Region. </w:t>
            </w:r>
          </w:p>
        </w:tc>
      </w:tr>
      <w:tr w:rsidR="00292220" w:rsidRPr="009818D6" w14:paraId="7B24A0E6" w14:textId="77777777" w:rsidTr="00022287">
        <w:trPr>
          <w:trHeight w:val="313"/>
        </w:trPr>
        <w:tc>
          <w:tcPr>
            <w:tcW w:w="714" w:type="dxa"/>
            <w:tcBorders>
              <w:top w:val="nil"/>
              <w:left w:val="single" w:sz="4" w:space="0" w:color="auto"/>
              <w:bottom w:val="single" w:sz="4" w:space="0" w:color="auto"/>
              <w:right w:val="single" w:sz="4" w:space="0" w:color="auto"/>
            </w:tcBorders>
            <w:shd w:val="clear" w:color="auto" w:fill="C6EFCE"/>
            <w:noWrap/>
            <w:vAlign w:val="center"/>
          </w:tcPr>
          <w:p w14:paraId="388CFC92" w14:textId="77777777" w:rsidR="006A41D9" w:rsidRPr="001961AA" w:rsidRDefault="006A41D9" w:rsidP="00BD6DD1">
            <w:pPr>
              <w:spacing w:after="0"/>
              <w:jc w:val="center"/>
              <w:rPr>
                <w:rFonts w:ascii="Times New Roman" w:hAnsi="Times New Roman" w:cs="Times New Roman"/>
                <w:noProof/>
                <w:color w:val="006100"/>
                <w:lang w:val="en-GB"/>
              </w:rPr>
            </w:pPr>
            <w:r w:rsidRPr="001961AA">
              <w:rPr>
                <w:rFonts w:ascii="Times New Roman" w:hAnsi="Times New Roman"/>
                <w:noProof/>
                <w:color w:val="006100"/>
                <w:lang w:val="en-GB"/>
              </w:rPr>
              <w:t>3</w:t>
            </w:r>
          </w:p>
        </w:tc>
        <w:tc>
          <w:tcPr>
            <w:tcW w:w="1731" w:type="dxa"/>
            <w:tcBorders>
              <w:top w:val="single" w:sz="4" w:space="0" w:color="auto"/>
              <w:left w:val="nil"/>
              <w:bottom w:val="single" w:sz="4" w:space="0" w:color="auto"/>
              <w:right w:val="single" w:sz="4" w:space="0" w:color="auto"/>
            </w:tcBorders>
            <w:shd w:val="clear" w:color="auto" w:fill="C6EFCE"/>
            <w:noWrap/>
            <w:vAlign w:val="center"/>
          </w:tcPr>
          <w:p w14:paraId="13C24FA6" w14:textId="45DCE311" w:rsidR="006A41D9" w:rsidRPr="001961AA" w:rsidRDefault="006A41D9" w:rsidP="00BD6DD1">
            <w:pPr>
              <w:spacing w:after="0"/>
              <w:rPr>
                <w:rFonts w:ascii="Times New Roman" w:hAnsi="Times New Roman" w:cs="Times New Roman"/>
                <w:noProof/>
                <w:color w:val="006100"/>
                <w:lang w:val="en-GB"/>
              </w:rPr>
            </w:pPr>
            <w:r w:rsidRPr="001961AA">
              <w:rPr>
                <w:rFonts w:ascii="Times New Roman" w:hAnsi="Times New Roman"/>
                <w:noProof/>
                <w:color w:val="006100"/>
                <w:lang w:val="en-GB"/>
              </w:rPr>
              <w:t>Improved energy grant scheme  of the German-speaking Community (R-1.03)</w:t>
            </w:r>
          </w:p>
        </w:tc>
        <w:tc>
          <w:tcPr>
            <w:tcW w:w="1128" w:type="dxa"/>
            <w:tcBorders>
              <w:top w:val="nil"/>
              <w:left w:val="nil"/>
              <w:bottom w:val="single" w:sz="4" w:space="0" w:color="auto"/>
              <w:right w:val="single" w:sz="4" w:space="0" w:color="auto"/>
            </w:tcBorders>
            <w:shd w:val="clear" w:color="auto" w:fill="C6EFCE"/>
            <w:noWrap/>
            <w:vAlign w:val="center"/>
          </w:tcPr>
          <w:p w14:paraId="20764848" w14:textId="41923A42" w:rsidR="006A41D9" w:rsidRPr="001961AA" w:rsidRDefault="006A41D9" w:rsidP="00BD6DD1">
            <w:pPr>
              <w:spacing w:after="0"/>
              <w:rPr>
                <w:rFonts w:ascii="Times New Roman" w:hAnsi="Times New Roman" w:cs="Times New Roman"/>
                <w:noProof/>
                <w:color w:val="006100"/>
                <w:lang w:val="en-GB"/>
              </w:rPr>
            </w:pPr>
            <w:r w:rsidRPr="001961AA">
              <w:rPr>
                <w:rFonts w:ascii="Times New Roman" w:hAnsi="Times New Roman"/>
                <w:noProof/>
                <w:color w:val="006100"/>
                <w:lang w:val="en-GB"/>
              </w:rPr>
              <w:t>M</w:t>
            </w:r>
          </w:p>
        </w:tc>
        <w:tc>
          <w:tcPr>
            <w:tcW w:w="1672" w:type="dxa"/>
            <w:tcBorders>
              <w:top w:val="nil"/>
              <w:left w:val="nil"/>
              <w:bottom w:val="single" w:sz="4" w:space="0" w:color="auto"/>
              <w:right w:val="single" w:sz="4" w:space="0" w:color="auto"/>
            </w:tcBorders>
            <w:shd w:val="clear" w:color="auto" w:fill="C6EFCE"/>
            <w:noWrap/>
            <w:vAlign w:val="center"/>
          </w:tcPr>
          <w:p w14:paraId="74BFB5BD" w14:textId="7749D19F" w:rsidR="006A41D9" w:rsidRPr="001961AA" w:rsidRDefault="006A41D9" w:rsidP="00BD6DD1">
            <w:pPr>
              <w:spacing w:after="0"/>
              <w:rPr>
                <w:rFonts w:ascii="Times New Roman" w:hAnsi="Times New Roman" w:cs="Times New Roman"/>
                <w:noProof/>
                <w:color w:val="006100"/>
                <w:lang w:val="en-GB"/>
              </w:rPr>
            </w:pPr>
            <w:r w:rsidRPr="001961AA">
              <w:rPr>
                <w:rFonts w:ascii="Times New Roman" w:hAnsi="Times New Roman"/>
                <w:noProof/>
                <w:color w:val="006100"/>
                <w:lang w:val="en-GB"/>
              </w:rPr>
              <w:t>Entry into force of new regulation on energy grant schemes in the German-speaking Community.</w:t>
            </w:r>
          </w:p>
        </w:tc>
        <w:tc>
          <w:tcPr>
            <w:tcW w:w="1231" w:type="dxa"/>
            <w:tcBorders>
              <w:top w:val="single" w:sz="4" w:space="0" w:color="auto"/>
              <w:left w:val="nil"/>
              <w:bottom w:val="single" w:sz="4" w:space="0" w:color="auto"/>
              <w:right w:val="single" w:sz="4" w:space="0" w:color="auto"/>
            </w:tcBorders>
            <w:shd w:val="clear" w:color="auto" w:fill="C6EFCE"/>
            <w:noWrap/>
            <w:vAlign w:val="center"/>
          </w:tcPr>
          <w:p w14:paraId="79AC0DB7" w14:textId="77777777" w:rsidR="006A41D9" w:rsidRPr="001961AA" w:rsidRDefault="006A41D9" w:rsidP="00BD6DD1">
            <w:pPr>
              <w:spacing w:after="0"/>
              <w:rPr>
                <w:rFonts w:ascii="Times New Roman" w:hAnsi="Times New Roman" w:cs="Times New Roman"/>
                <w:noProof/>
                <w:color w:val="006100"/>
                <w:lang w:val="en-GB"/>
              </w:rPr>
            </w:pPr>
            <w:r w:rsidRPr="001961AA">
              <w:rPr>
                <w:rFonts w:ascii="Times New Roman" w:hAnsi="Times New Roman"/>
                <w:noProof/>
                <w:color w:val="006100"/>
                <w:lang w:val="en-GB"/>
              </w:rPr>
              <w:t>Provision in the law indicating the entry into force of the new regulation</w:t>
            </w:r>
          </w:p>
        </w:tc>
        <w:tc>
          <w:tcPr>
            <w:tcW w:w="1200" w:type="dxa"/>
            <w:tcBorders>
              <w:top w:val="nil"/>
              <w:left w:val="nil"/>
              <w:bottom w:val="single" w:sz="4" w:space="0" w:color="auto"/>
              <w:right w:val="single" w:sz="4" w:space="0" w:color="auto"/>
            </w:tcBorders>
            <w:shd w:val="clear" w:color="auto" w:fill="C6EFCE"/>
            <w:noWrap/>
            <w:vAlign w:val="center"/>
          </w:tcPr>
          <w:p w14:paraId="589721A3" w14:textId="65FBBC77" w:rsidR="006A41D9" w:rsidRPr="001961AA" w:rsidRDefault="006A41D9" w:rsidP="00BD6DD1">
            <w:pPr>
              <w:spacing w:after="0"/>
              <w:jc w:val="center"/>
              <w:rPr>
                <w:rFonts w:ascii="Times New Roman" w:hAnsi="Times New Roman" w:cs="Times New Roman"/>
                <w:noProof/>
                <w:color w:val="006100"/>
                <w:lang w:val="en-GB"/>
              </w:rPr>
            </w:pPr>
            <w:r w:rsidRPr="001961AA">
              <w:rPr>
                <w:rFonts w:ascii="Times New Roman" w:hAnsi="Times New Roman"/>
                <w:noProof/>
                <w:color w:val="006100"/>
                <w:lang w:val="en-GB"/>
              </w:rPr>
              <w:t>-</w:t>
            </w:r>
          </w:p>
        </w:tc>
        <w:tc>
          <w:tcPr>
            <w:tcW w:w="1000" w:type="dxa"/>
            <w:tcBorders>
              <w:top w:val="nil"/>
              <w:left w:val="nil"/>
              <w:bottom w:val="single" w:sz="4" w:space="0" w:color="auto"/>
              <w:right w:val="single" w:sz="4" w:space="0" w:color="auto"/>
            </w:tcBorders>
            <w:shd w:val="clear" w:color="auto" w:fill="C6EFCE"/>
            <w:noWrap/>
            <w:vAlign w:val="center"/>
          </w:tcPr>
          <w:p w14:paraId="38F2434E" w14:textId="057A1D3E" w:rsidR="006A41D9" w:rsidRPr="001961AA" w:rsidRDefault="006A41D9" w:rsidP="00BD6DD1">
            <w:pPr>
              <w:spacing w:after="0"/>
              <w:jc w:val="center"/>
              <w:rPr>
                <w:rFonts w:ascii="Times New Roman" w:hAnsi="Times New Roman" w:cs="Times New Roman"/>
                <w:noProof/>
                <w:color w:val="006100"/>
                <w:lang w:val="en-GB"/>
              </w:rPr>
            </w:pPr>
            <w:r w:rsidRPr="001961AA">
              <w:rPr>
                <w:rFonts w:ascii="Times New Roman" w:hAnsi="Times New Roman"/>
                <w:noProof/>
                <w:color w:val="006100"/>
                <w:lang w:val="en-GB"/>
              </w:rPr>
              <w:t>-</w:t>
            </w:r>
          </w:p>
        </w:tc>
        <w:tc>
          <w:tcPr>
            <w:tcW w:w="1280" w:type="dxa"/>
            <w:tcBorders>
              <w:top w:val="nil"/>
              <w:left w:val="nil"/>
              <w:bottom w:val="single" w:sz="4" w:space="0" w:color="auto"/>
              <w:right w:val="single" w:sz="4" w:space="0" w:color="auto"/>
            </w:tcBorders>
            <w:shd w:val="clear" w:color="auto" w:fill="C6EFCE"/>
            <w:noWrap/>
            <w:vAlign w:val="center"/>
          </w:tcPr>
          <w:p w14:paraId="410CE00D" w14:textId="38C0783D" w:rsidR="006A41D9" w:rsidRPr="001961AA" w:rsidRDefault="006A41D9" w:rsidP="00BD6DD1">
            <w:pPr>
              <w:spacing w:after="0"/>
              <w:jc w:val="center"/>
              <w:rPr>
                <w:rFonts w:ascii="Times New Roman" w:hAnsi="Times New Roman" w:cs="Times New Roman"/>
                <w:noProof/>
                <w:color w:val="006100"/>
                <w:lang w:val="en-GB"/>
              </w:rPr>
            </w:pPr>
            <w:r w:rsidRPr="001961AA">
              <w:rPr>
                <w:rFonts w:ascii="Times New Roman" w:hAnsi="Times New Roman"/>
                <w:noProof/>
                <w:color w:val="006100"/>
                <w:lang w:val="en-GB"/>
              </w:rPr>
              <w:t>-</w:t>
            </w:r>
          </w:p>
        </w:tc>
        <w:tc>
          <w:tcPr>
            <w:tcW w:w="960" w:type="dxa"/>
            <w:tcBorders>
              <w:top w:val="nil"/>
              <w:left w:val="nil"/>
              <w:bottom w:val="single" w:sz="4" w:space="0" w:color="auto"/>
              <w:right w:val="single" w:sz="4" w:space="0" w:color="auto"/>
            </w:tcBorders>
            <w:shd w:val="clear" w:color="auto" w:fill="C6EFCE"/>
            <w:noWrap/>
            <w:vAlign w:val="center"/>
          </w:tcPr>
          <w:p w14:paraId="25FC2EF6" w14:textId="77777777" w:rsidR="006A41D9" w:rsidRPr="001961AA" w:rsidRDefault="006A41D9" w:rsidP="00BD6DD1">
            <w:pPr>
              <w:spacing w:after="0"/>
              <w:jc w:val="center"/>
              <w:rPr>
                <w:rFonts w:ascii="Times New Roman" w:hAnsi="Times New Roman" w:cs="Times New Roman"/>
                <w:noProof/>
                <w:color w:val="006100"/>
                <w:lang w:val="en-GB"/>
              </w:rPr>
            </w:pPr>
            <w:r w:rsidRPr="001961AA">
              <w:rPr>
                <w:rFonts w:ascii="Times New Roman" w:hAnsi="Times New Roman"/>
                <w:noProof/>
                <w:color w:val="006100"/>
                <w:lang w:val="en-GB"/>
              </w:rPr>
              <w:t>Q1</w:t>
            </w:r>
          </w:p>
        </w:tc>
        <w:tc>
          <w:tcPr>
            <w:tcW w:w="720" w:type="dxa"/>
            <w:tcBorders>
              <w:top w:val="nil"/>
              <w:left w:val="nil"/>
              <w:bottom w:val="single" w:sz="4" w:space="0" w:color="auto"/>
              <w:right w:val="single" w:sz="4" w:space="0" w:color="auto"/>
            </w:tcBorders>
            <w:shd w:val="clear" w:color="auto" w:fill="C6EFCE"/>
            <w:noWrap/>
            <w:vAlign w:val="center"/>
          </w:tcPr>
          <w:p w14:paraId="56A25DD8" w14:textId="77777777" w:rsidR="006A41D9" w:rsidRPr="001961AA" w:rsidRDefault="006A41D9" w:rsidP="00BD6DD1">
            <w:pPr>
              <w:spacing w:after="0"/>
              <w:jc w:val="center"/>
              <w:rPr>
                <w:rFonts w:ascii="Times New Roman" w:hAnsi="Times New Roman" w:cs="Times New Roman"/>
                <w:noProof/>
                <w:color w:val="006100"/>
                <w:lang w:val="en-GB"/>
              </w:rPr>
            </w:pPr>
            <w:r w:rsidRPr="001961AA">
              <w:rPr>
                <w:rFonts w:ascii="Times New Roman" w:hAnsi="Times New Roman"/>
                <w:noProof/>
                <w:color w:val="006100"/>
                <w:lang w:val="en-GB"/>
              </w:rPr>
              <w:t>2022</w:t>
            </w:r>
          </w:p>
        </w:tc>
        <w:tc>
          <w:tcPr>
            <w:tcW w:w="4410" w:type="dxa"/>
            <w:tcBorders>
              <w:top w:val="nil"/>
              <w:left w:val="single" w:sz="4" w:space="0" w:color="auto"/>
              <w:bottom w:val="single" w:sz="4" w:space="0" w:color="auto"/>
              <w:right w:val="single" w:sz="4" w:space="0" w:color="auto"/>
            </w:tcBorders>
            <w:shd w:val="clear" w:color="auto" w:fill="C6EFCE"/>
            <w:noWrap/>
            <w:vAlign w:val="center"/>
          </w:tcPr>
          <w:p w14:paraId="2DF71670" w14:textId="1E83AF92" w:rsidR="006A41D9" w:rsidRPr="001961AA" w:rsidRDefault="006A41D9" w:rsidP="00BD6DD1">
            <w:pPr>
              <w:spacing w:after="0"/>
              <w:rPr>
                <w:rFonts w:ascii="Times New Roman" w:hAnsi="Times New Roman" w:cs="Times New Roman"/>
                <w:noProof/>
                <w:color w:val="006100"/>
                <w:lang w:val="en-GB"/>
              </w:rPr>
            </w:pPr>
            <w:r w:rsidRPr="001961AA">
              <w:rPr>
                <w:rFonts w:ascii="Times New Roman" w:hAnsi="Times New Roman"/>
                <w:noProof/>
                <w:color w:val="006100"/>
                <w:lang w:val="en-GB"/>
              </w:rPr>
              <w:t>Entry into force of regulation to reform the energy grant schemes for residential and private renovations in the German-speaking Community.</w:t>
            </w:r>
          </w:p>
        </w:tc>
      </w:tr>
      <w:tr w:rsidR="00292220" w:rsidRPr="009818D6" w14:paraId="369B5905" w14:textId="77777777" w:rsidTr="00022287">
        <w:trPr>
          <w:trHeight w:val="284"/>
        </w:trPr>
        <w:tc>
          <w:tcPr>
            <w:tcW w:w="714"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433D1B89"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5</w:t>
            </w:r>
          </w:p>
        </w:tc>
        <w:tc>
          <w:tcPr>
            <w:tcW w:w="1731" w:type="dxa"/>
            <w:tcBorders>
              <w:top w:val="single" w:sz="4" w:space="0" w:color="auto"/>
              <w:left w:val="nil"/>
              <w:bottom w:val="single" w:sz="4" w:space="0" w:color="auto"/>
              <w:right w:val="single" w:sz="4" w:space="0" w:color="auto"/>
            </w:tcBorders>
            <w:shd w:val="clear" w:color="auto" w:fill="C6EFCE"/>
            <w:noWrap/>
            <w:vAlign w:val="center"/>
          </w:tcPr>
          <w:p w14:paraId="1A562FB6" w14:textId="4AD19626"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Renovation of private and social housing (I-1A)</w:t>
            </w:r>
          </w:p>
        </w:tc>
        <w:tc>
          <w:tcPr>
            <w:tcW w:w="1128" w:type="dxa"/>
            <w:tcBorders>
              <w:top w:val="single" w:sz="4" w:space="0" w:color="auto"/>
              <w:left w:val="nil"/>
              <w:bottom w:val="single" w:sz="4" w:space="0" w:color="auto"/>
              <w:right w:val="single" w:sz="4" w:space="0" w:color="auto"/>
            </w:tcBorders>
            <w:shd w:val="clear" w:color="auto" w:fill="C6EFCE"/>
            <w:noWrap/>
            <w:vAlign w:val="center"/>
          </w:tcPr>
          <w:p w14:paraId="777123E4" w14:textId="61241441"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T</w:t>
            </w:r>
          </w:p>
        </w:tc>
        <w:tc>
          <w:tcPr>
            <w:tcW w:w="1672" w:type="dxa"/>
            <w:tcBorders>
              <w:top w:val="single" w:sz="4" w:space="0" w:color="auto"/>
              <w:left w:val="nil"/>
              <w:bottom w:val="single" w:sz="4" w:space="0" w:color="auto"/>
              <w:right w:val="single" w:sz="4" w:space="0" w:color="auto"/>
            </w:tcBorders>
            <w:shd w:val="clear" w:color="auto" w:fill="C6EFCE"/>
            <w:noWrap/>
            <w:vAlign w:val="center"/>
          </w:tcPr>
          <w:p w14:paraId="4A7AECAC" w14:textId="77777777" w:rsidR="006A41D9" w:rsidRPr="001961AA" w:rsidRDefault="006A41D9" w:rsidP="00BD6DD1">
            <w:pPr>
              <w:spacing w:after="0"/>
              <w:rPr>
                <w:rFonts w:ascii="Times New Roman" w:hAnsi="Times New Roman" w:cs="Times New Roman"/>
                <w:noProof/>
                <w:color w:val="006100"/>
                <w:lang w:val="en-GB"/>
              </w:rPr>
            </w:pPr>
            <w:r w:rsidRPr="001961AA">
              <w:rPr>
                <w:rFonts w:ascii="Times New Roman" w:hAnsi="Times New Roman"/>
                <w:noProof/>
                <w:color w:val="006100"/>
                <w:lang w:val="en-GB"/>
              </w:rPr>
              <w:t>Renovation of private residential and social housing</w:t>
            </w:r>
          </w:p>
          <w:p w14:paraId="68D64C49" w14:textId="16E15AD9"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(step1)</w:t>
            </w:r>
          </w:p>
        </w:tc>
        <w:tc>
          <w:tcPr>
            <w:tcW w:w="1231" w:type="dxa"/>
            <w:tcBorders>
              <w:top w:val="single" w:sz="4" w:space="0" w:color="auto"/>
              <w:left w:val="nil"/>
              <w:bottom w:val="single" w:sz="4" w:space="0" w:color="auto"/>
              <w:right w:val="single" w:sz="4" w:space="0" w:color="auto"/>
            </w:tcBorders>
            <w:shd w:val="clear" w:color="auto" w:fill="C6EFCE"/>
            <w:noWrap/>
            <w:vAlign w:val="center"/>
          </w:tcPr>
          <w:p w14:paraId="00398981" w14:textId="77777777"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1200" w:type="dxa"/>
            <w:tcBorders>
              <w:top w:val="single" w:sz="4" w:space="0" w:color="auto"/>
              <w:left w:val="nil"/>
              <w:bottom w:val="single" w:sz="4" w:space="0" w:color="auto"/>
              <w:right w:val="single" w:sz="4" w:space="0" w:color="auto"/>
            </w:tcBorders>
            <w:shd w:val="clear" w:color="auto" w:fill="C6EFCE"/>
            <w:noWrap/>
            <w:vAlign w:val="center"/>
          </w:tcPr>
          <w:p w14:paraId="3A5CCC71"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Dwellings</w:t>
            </w:r>
          </w:p>
        </w:tc>
        <w:tc>
          <w:tcPr>
            <w:tcW w:w="1000" w:type="dxa"/>
            <w:tcBorders>
              <w:top w:val="single" w:sz="4" w:space="0" w:color="auto"/>
              <w:left w:val="nil"/>
              <w:bottom w:val="single" w:sz="4" w:space="0" w:color="auto"/>
              <w:right w:val="single" w:sz="4" w:space="0" w:color="auto"/>
            </w:tcBorders>
            <w:shd w:val="clear" w:color="auto" w:fill="C6EFCE"/>
            <w:noWrap/>
            <w:vAlign w:val="center"/>
          </w:tcPr>
          <w:p w14:paraId="151BD5D5"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0</w:t>
            </w:r>
          </w:p>
        </w:tc>
        <w:tc>
          <w:tcPr>
            <w:tcW w:w="1280" w:type="dxa"/>
            <w:tcBorders>
              <w:top w:val="single" w:sz="4" w:space="0" w:color="auto"/>
              <w:left w:val="nil"/>
              <w:bottom w:val="single" w:sz="4" w:space="0" w:color="auto"/>
              <w:right w:val="single" w:sz="4" w:space="0" w:color="auto"/>
            </w:tcBorders>
            <w:shd w:val="clear" w:color="auto" w:fill="C6EFCE"/>
            <w:noWrap/>
            <w:vAlign w:val="center"/>
          </w:tcPr>
          <w:p w14:paraId="27B25B0A" w14:textId="6716F015"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64 112</w:t>
            </w:r>
          </w:p>
        </w:tc>
        <w:tc>
          <w:tcPr>
            <w:tcW w:w="960" w:type="dxa"/>
            <w:tcBorders>
              <w:top w:val="single" w:sz="4" w:space="0" w:color="auto"/>
              <w:left w:val="nil"/>
              <w:bottom w:val="single" w:sz="4" w:space="0" w:color="auto"/>
              <w:right w:val="single" w:sz="4" w:space="0" w:color="auto"/>
            </w:tcBorders>
            <w:shd w:val="clear" w:color="auto" w:fill="C6EFCE"/>
            <w:noWrap/>
            <w:vAlign w:val="center"/>
          </w:tcPr>
          <w:p w14:paraId="005B464F"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Q2</w:t>
            </w:r>
          </w:p>
        </w:tc>
        <w:tc>
          <w:tcPr>
            <w:tcW w:w="720" w:type="dxa"/>
            <w:tcBorders>
              <w:top w:val="single" w:sz="4" w:space="0" w:color="auto"/>
              <w:left w:val="nil"/>
              <w:bottom w:val="single" w:sz="4" w:space="0" w:color="auto"/>
              <w:right w:val="single" w:sz="4" w:space="0" w:color="auto"/>
            </w:tcBorders>
            <w:shd w:val="clear" w:color="auto" w:fill="C6EFCE"/>
            <w:noWrap/>
            <w:vAlign w:val="center"/>
          </w:tcPr>
          <w:p w14:paraId="48A4F69A"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2023</w:t>
            </w:r>
          </w:p>
        </w:tc>
        <w:tc>
          <w:tcPr>
            <w:tcW w:w="441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960FFE4" w14:textId="7AA7E476" w:rsidR="006A41D9" w:rsidRPr="001961AA" w:rsidRDefault="006A41D9" w:rsidP="006A58CC">
            <w:pPr>
              <w:spacing w:after="120"/>
              <w:rPr>
                <w:rFonts w:ascii="Times New Roman" w:hAnsi="Times New Roman" w:cs="Times New Roman"/>
                <w:noProof/>
                <w:color w:val="006100"/>
                <w:lang w:val="en-GB"/>
              </w:rPr>
            </w:pPr>
            <w:r w:rsidRPr="001961AA">
              <w:rPr>
                <w:rFonts w:ascii="Times New Roman" w:hAnsi="Times New Roman"/>
                <w:noProof/>
                <w:color w:val="006100"/>
                <w:lang w:val="en-GB"/>
              </w:rPr>
              <w:t xml:space="preserve">64 112 residential dwellings (private and social housing) renovated. </w:t>
            </w:r>
          </w:p>
          <w:p w14:paraId="09458F65" w14:textId="77777777" w:rsidR="006A41D9" w:rsidRPr="001961AA" w:rsidRDefault="006A41D9" w:rsidP="006A58CC">
            <w:pPr>
              <w:spacing w:after="120"/>
              <w:rPr>
                <w:rFonts w:ascii="Times New Roman" w:hAnsi="Times New Roman" w:cs="Times New Roman"/>
                <w:noProof/>
                <w:color w:val="006100"/>
                <w:lang w:val="en-GB"/>
              </w:rPr>
            </w:pPr>
            <w:r w:rsidRPr="001961AA">
              <w:rPr>
                <w:rFonts w:ascii="Times New Roman" w:hAnsi="Times New Roman"/>
                <w:noProof/>
                <w:color w:val="006100"/>
                <w:lang w:val="en-GB"/>
              </w:rPr>
              <w:t>This target is indicatively broken down into the following sub-targets, which do not have to be reached individually provided that the above levels of renovation are achieved:</w:t>
            </w:r>
          </w:p>
          <w:p w14:paraId="68C56C8F" w14:textId="77777777" w:rsidR="006A41D9" w:rsidRPr="001961AA" w:rsidRDefault="006A41D9" w:rsidP="00BD6DD1">
            <w:pPr>
              <w:spacing w:after="0"/>
              <w:rPr>
                <w:rFonts w:ascii="Times New Roman" w:hAnsi="Times New Roman" w:cs="Times New Roman"/>
                <w:noProof/>
                <w:color w:val="006100"/>
                <w:lang w:val="en-GB"/>
              </w:rPr>
            </w:pPr>
            <w:r w:rsidRPr="001961AA">
              <w:rPr>
                <w:rFonts w:ascii="Times New Roman" w:hAnsi="Times New Roman"/>
                <w:noProof/>
                <w:color w:val="006100"/>
                <w:u w:val="single"/>
                <w:lang w:val="en-GB"/>
              </w:rPr>
              <w:t>Private housing</w:t>
            </w:r>
            <w:r w:rsidRPr="001961AA">
              <w:rPr>
                <w:rFonts w:ascii="Times New Roman" w:hAnsi="Times New Roman"/>
                <w:noProof/>
                <w:color w:val="006100"/>
                <w:lang w:val="en-GB"/>
              </w:rPr>
              <w:t>:</w:t>
            </w:r>
          </w:p>
          <w:p w14:paraId="78E2983E" w14:textId="124A0D71" w:rsidR="006A41D9" w:rsidRPr="001961AA" w:rsidRDefault="006A41D9" w:rsidP="00BD6DD1">
            <w:pPr>
              <w:spacing w:after="0"/>
              <w:rPr>
                <w:rFonts w:ascii="Times New Roman" w:hAnsi="Times New Roman" w:cs="Times New Roman"/>
                <w:noProof/>
                <w:color w:val="006100"/>
                <w:lang w:val="en-GB"/>
              </w:rPr>
            </w:pPr>
            <w:r w:rsidRPr="001961AA">
              <w:rPr>
                <w:rFonts w:ascii="Times New Roman" w:hAnsi="Times New Roman"/>
                <w:noProof/>
                <w:color w:val="006100"/>
                <w:lang w:val="en-GB"/>
              </w:rPr>
              <w:t>(i) Flemish Region (R-1.01, subsidies for energy efficiency and renewable energy): 49 500 dwellings.</w:t>
            </w:r>
          </w:p>
          <w:p w14:paraId="27F76AC0" w14:textId="2CAAB8DD" w:rsidR="006A41D9" w:rsidRPr="001961AA" w:rsidRDefault="006A41D9" w:rsidP="00BD6DD1">
            <w:pPr>
              <w:spacing w:after="0"/>
              <w:rPr>
                <w:rFonts w:ascii="Times New Roman" w:hAnsi="Times New Roman" w:cs="Times New Roman"/>
                <w:noProof/>
                <w:color w:val="006100"/>
                <w:lang w:val="en-GB"/>
              </w:rPr>
            </w:pPr>
            <w:r w:rsidRPr="001961AA">
              <w:rPr>
                <w:rFonts w:ascii="Times New Roman" w:hAnsi="Times New Roman"/>
                <w:noProof/>
                <w:color w:val="006100"/>
                <w:lang w:val="en-GB"/>
              </w:rPr>
              <w:t>(ii) Flemish Region (R-1.01, energy grant scheme for energy efficient renovation): 7 560 dwellings</w:t>
            </w:r>
          </w:p>
          <w:p w14:paraId="59C714B3" w14:textId="525ABB4D" w:rsidR="006A41D9" w:rsidRPr="001961AA" w:rsidRDefault="006A41D9" w:rsidP="006A58CC">
            <w:pPr>
              <w:spacing w:after="120"/>
              <w:rPr>
                <w:rFonts w:ascii="Times New Roman" w:hAnsi="Times New Roman" w:cs="Times New Roman"/>
                <w:noProof/>
                <w:color w:val="006100"/>
                <w:lang w:val="en-GB"/>
              </w:rPr>
            </w:pPr>
            <w:r w:rsidRPr="001961AA">
              <w:rPr>
                <w:rFonts w:ascii="Times New Roman" w:hAnsi="Times New Roman"/>
                <w:noProof/>
                <w:color w:val="006100"/>
                <w:lang w:val="en-GB"/>
              </w:rPr>
              <w:t>(iii) Brussels-Capital Region (R-1.02): 2 341 dwellings</w:t>
            </w:r>
          </w:p>
          <w:p w14:paraId="4254423D" w14:textId="77777777" w:rsidR="006A41D9" w:rsidRPr="001961AA" w:rsidRDefault="006A41D9" w:rsidP="00BD6DD1">
            <w:pPr>
              <w:spacing w:after="0"/>
              <w:rPr>
                <w:rFonts w:ascii="Times New Roman" w:hAnsi="Times New Roman" w:cs="Times New Roman"/>
                <w:noProof/>
                <w:color w:val="006100"/>
                <w:lang w:val="en-GB"/>
              </w:rPr>
            </w:pPr>
            <w:r w:rsidRPr="001961AA">
              <w:rPr>
                <w:rFonts w:ascii="Times New Roman" w:hAnsi="Times New Roman"/>
                <w:noProof/>
                <w:color w:val="006100"/>
                <w:u w:val="single"/>
                <w:lang w:val="en-GB"/>
              </w:rPr>
              <w:t>Social housing</w:t>
            </w:r>
            <w:r w:rsidRPr="001961AA">
              <w:rPr>
                <w:rFonts w:ascii="Times New Roman" w:hAnsi="Times New Roman"/>
                <w:noProof/>
                <w:color w:val="006100"/>
                <w:lang w:val="en-GB"/>
              </w:rPr>
              <w:t>:</w:t>
            </w:r>
          </w:p>
          <w:p w14:paraId="357DF8AD" w14:textId="4DB94DA7" w:rsidR="006A41D9" w:rsidRPr="001961AA" w:rsidRDefault="006A41D9" w:rsidP="00BD6DD1">
            <w:pPr>
              <w:spacing w:after="0"/>
              <w:rPr>
                <w:rFonts w:ascii="Times New Roman" w:hAnsi="Times New Roman" w:cs="Times New Roman"/>
                <w:noProof/>
                <w:color w:val="006100"/>
                <w:lang w:val="en-GB"/>
              </w:rPr>
            </w:pPr>
            <w:r w:rsidRPr="001961AA">
              <w:rPr>
                <w:rFonts w:ascii="Times New Roman" w:hAnsi="Times New Roman"/>
                <w:noProof/>
                <w:color w:val="006100"/>
                <w:lang w:val="en-GB"/>
              </w:rPr>
              <w:t>(i) Flemish Region (I-1.01): 4 010 social housing units</w:t>
            </w:r>
          </w:p>
          <w:p w14:paraId="595AD4CB" w14:textId="68C282AD" w:rsidR="00930320" w:rsidRPr="001961AA" w:rsidRDefault="006A41D9" w:rsidP="00BD6DD1">
            <w:pPr>
              <w:spacing w:after="0"/>
              <w:rPr>
                <w:rFonts w:ascii="Times New Roman" w:hAnsi="Times New Roman" w:cs="Times New Roman"/>
                <w:noProof/>
                <w:color w:val="006100"/>
                <w:lang w:val="en-GB"/>
              </w:rPr>
            </w:pPr>
            <w:r w:rsidRPr="001961AA">
              <w:rPr>
                <w:rFonts w:ascii="Times New Roman" w:hAnsi="Times New Roman"/>
                <w:noProof/>
                <w:color w:val="006100"/>
                <w:lang w:val="en-GB"/>
              </w:rPr>
              <w:t>(ii) Brussel-Capital Region (I-1.02): 701 social housing units</w:t>
            </w:r>
          </w:p>
          <w:p w14:paraId="5111E56D" w14:textId="3D7595D7" w:rsidR="006A41D9" w:rsidRPr="001961AA" w:rsidRDefault="00930320" w:rsidP="00BD6DD1">
            <w:pPr>
              <w:spacing w:after="0"/>
              <w:rPr>
                <w:rFonts w:ascii="Times New Roman" w:hAnsi="Times New Roman" w:cs="Times New Roman"/>
                <w:noProof/>
                <w:color w:val="006100"/>
                <w:lang w:val="en-GB"/>
              </w:rPr>
            </w:pPr>
            <w:r w:rsidRPr="001961AA">
              <w:rPr>
                <w:rFonts w:ascii="Times New Roman" w:hAnsi="Times New Roman"/>
                <w:noProof/>
                <w:color w:val="006100"/>
                <w:lang w:val="en-GB"/>
              </w:rPr>
              <w:t>The renovation of 4 711 social housing units shall reduce on average at least 30% of primary energy consumption, as defined in Commission Recommendation (EU) 2019/786 on the renovation of buildings.</w:t>
            </w:r>
          </w:p>
        </w:tc>
      </w:tr>
      <w:tr w:rsidR="00292220" w:rsidRPr="009818D6" w14:paraId="4E90AFEE" w14:textId="77777777" w:rsidTr="00022287">
        <w:trPr>
          <w:trHeight w:val="313"/>
        </w:trPr>
        <w:tc>
          <w:tcPr>
            <w:tcW w:w="714"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00B2E72B"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6</w:t>
            </w:r>
          </w:p>
        </w:tc>
        <w:tc>
          <w:tcPr>
            <w:tcW w:w="1731" w:type="dxa"/>
            <w:tcBorders>
              <w:top w:val="single" w:sz="4" w:space="0" w:color="auto"/>
              <w:left w:val="nil"/>
              <w:bottom w:val="single" w:sz="4" w:space="0" w:color="auto"/>
              <w:right w:val="single" w:sz="4" w:space="0" w:color="auto"/>
            </w:tcBorders>
            <w:shd w:val="clear" w:color="auto" w:fill="C6EFCE"/>
            <w:noWrap/>
            <w:vAlign w:val="center"/>
          </w:tcPr>
          <w:p w14:paraId="6A5B01A2" w14:textId="657A0F69"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Renovation of private and social housing (I-1A)</w:t>
            </w:r>
          </w:p>
        </w:tc>
        <w:tc>
          <w:tcPr>
            <w:tcW w:w="1128" w:type="dxa"/>
            <w:tcBorders>
              <w:top w:val="single" w:sz="4" w:space="0" w:color="auto"/>
              <w:left w:val="nil"/>
              <w:bottom w:val="single" w:sz="4" w:space="0" w:color="auto"/>
              <w:right w:val="single" w:sz="4" w:space="0" w:color="auto"/>
            </w:tcBorders>
            <w:shd w:val="clear" w:color="auto" w:fill="C6EFCE"/>
            <w:noWrap/>
            <w:vAlign w:val="center"/>
          </w:tcPr>
          <w:p w14:paraId="405A99B7" w14:textId="5AEA9544"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T</w:t>
            </w:r>
          </w:p>
        </w:tc>
        <w:tc>
          <w:tcPr>
            <w:tcW w:w="1672" w:type="dxa"/>
            <w:tcBorders>
              <w:top w:val="single" w:sz="4" w:space="0" w:color="auto"/>
              <w:left w:val="nil"/>
              <w:bottom w:val="single" w:sz="4" w:space="0" w:color="auto"/>
              <w:right w:val="single" w:sz="4" w:space="0" w:color="auto"/>
            </w:tcBorders>
            <w:shd w:val="clear" w:color="auto" w:fill="C6EFCE"/>
            <w:noWrap/>
            <w:vAlign w:val="center"/>
          </w:tcPr>
          <w:p w14:paraId="6EC7DC11" w14:textId="77777777" w:rsidR="006A41D9" w:rsidRPr="001961AA" w:rsidRDefault="006A41D9" w:rsidP="00BD6DD1">
            <w:pPr>
              <w:spacing w:after="0"/>
              <w:rPr>
                <w:rFonts w:ascii="Times New Roman" w:hAnsi="Times New Roman" w:cs="Times New Roman"/>
                <w:noProof/>
                <w:color w:val="006100"/>
                <w:lang w:val="en-GB"/>
              </w:rPr>
            </w:pPr>
            <w:r w:rsidRPr="001961AA">
              <w:rPr>
                <w:rFonts w:ascii="Times New Roman" w:hAnsi="Times New Roman"/>
                <w:noProof/>
                <w:color w:val="006100"/>
                <w:lang w:val="en-GB"/>
              </w:rPr>
              <w:t>Renovation of private residential and social housing</w:t>
            </w:r>
          </w:p>
          <w:p w14:paraId="0452692C" w14:textId="3A5AAD5C"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(step 2)</w:t>
            </w:r>
          </w:p>
        </w:tc>
        <w:tc>
          <w:tcPr>
            <w:tcW w:w="1231" w:type="dxa"/>
            <w:tcBorders>
              <w:top w:val="single" w:sz="4" w:space="0" w:color="auto"/>
              <w:left w:val="nil"/>
              <w:bottom w:val="single" w:sz="4" w:space="0" w:color="auto"/>
              <w:right w:val="single" w:sz="4" w:space="0" w:color="auto"/>
            </w:tcBorders>
            <w:shd w:val="clear" w:color="auto" w:fill="C6EFCE"/>
            <w:noWrap/>
            <w:vAlign w:val="center"/>
          </w:tcPr>
          <w:p w14:paraId="68996D29" w14:textId="1C5DC367"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1200" w:type="dxa"/>
            <w:tcBorders>
              <w:top w:val="nil"/>
              <w:left w:val="nil"/>
              <w:bottom w:val="single" w:sz="4" w:space="0" w:color="auto"/>
              <w:right w:val="single" w:sz="4" w:space="0" w:color="auto"/>
            </w:tcBorders>
            <w:shd w:val="clear" w:color="auto" w:fill="C6EFCE"/>
            <w:noWrap/>
            <w:vAlign w:val="center"/>
          </w:tcPr>
          <w:p w14:paraId="60FDB63A"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Dwellings</w:t>
            </w:r>
          </w:p>
        </w:tc>
        <w:tc>
          <w:tcPr>
            <w:tcW w:w="1000" w:type="dxa"/>
            <w:tcBorders>
              <w:top w:val="nil"/>
              <w:left w:val="nil"/>
              <w:bottom w:val="single" w:sz="4" w:space="0" w:color="auto"/>
              <w:right w:val="single" w:sz="4" w:space="0" w:color="auto"/>
            </w:tcBorders>
            <w:shd w:val="clear" w:color="auto" w:fill="C6EFCE"/>
            <w:noWrap/>
            <w:vAlign w:val="center"/>
          </w:tcPr>
          <w:p w14:paraId="0044C456" w14:textId="3119200A"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64 112</w:t>
            </w:r>
          </w:p>
        </w:tc>
        <w:tc>
          <w:tcPr>
            <w:tcW w:w="1280" w:type="dxa"/>
            <w:tcBorders>
              <w:top w:val="nil"/>
              <w:left w:val="nil"/>
              <w:bottom w:val="single" w:sz="4" w:space="0" w:color="auto"/>
              <w:right w:val="single" w:sz="4" w:space="0" w:color="auto"/>
            </w:tcBorders>
            <w:shd w:val="clear" w:color="auto" w:fill="C6EFCE"/>
            <w:noWrap/>
            <w:vAlign w:val="center"/>
          </w:tcPr>
          <w:p w14:paraId="77F394CC" w14:textId="1114FE78"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131 732</w:t>
            </w:r>
          </w:p>
        </w:tc>
        <w:tc>
          <w:tcPr>
            <w:tcW w:w="960" w:type="dxa"/>
            <w:tcBorders>
              <w:top w:val="nil"/>
              <w:left w:val="nil"/>
              <w:bottom w:val="single" w:sz="4" w:space="0" w:color="auto"/>
              <w:right w:val="single" w:sz="4" w:space="0" w:color="auto"/>
            </w:tcBorders>
            <w:shd w:val="clear" w:color="auto" w:fill="C6EFCE"/>
            <w:noWrap/>
            <w:vAlign w:val="center"/>
          </w:tcPr>
          <w:p w14:paraId="56A048C0"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Q2</w:t>
            </w:r>
          </w:p>
        </w:tc>
        <w:tc>
          <w:tcPr>
            <w:tcW w:w="720" w:type="dxa"/>
            <w:tcBorders>
              <w:top w:val="nil"/>
              <w:left w:val="nil"/>
              <w:bottom w:val="single" w:sz="4" w:space="0" w:color="auto"/>
              <w:right w:val="single" w:sz="4" w:space="0" w:color="auto"/>
            </w:tcBorders>
            <w:shd w:val="clear" w:color="auto" w:fill="C6EFCE"/>
            <w:noWrap/>
            <w:vAlign w:val="center"/>
          </w:tcPr>
          <w:p w14:paraId="5E13C44A"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2024</w:t>
            </w:r>
          </w:p>
        </w:tc>
        <w:tc>
          <w:tcPr>
            <w:tcW w:w="441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6458A3F" w14:textId="6E1F45FC" w:rsidR="006A41D9" w:rsidRPr="001961AA" w:rsidRDefault="00BA221B" w:rsidP="006A58CC">
            <w:pPr>
              <w:spacing w:after="120"/>
              <w:rPr>
                <w:rFonts w:ascii="Times New Roman" w:hAnsi="Times New Roman" w:cs="Times New Roman"/>
                <w:noProof/>
                <w:color w:val="006100"/>
                <w:lang w:val="en-GB"/>
              </w:rPr>
            </w:pPr>
            <w:r w:rsidRPr="001961AA">
              <w:rPr>
                <w:rFonts w:ascii="Times New Roman" w:hAnsi="Times New Roman"/>
                <w:noProof/>
                <w:color w:val="006100"/>
                <w:lang w:val="en-GB"/>
              </w:rPr>
              <w:t xml:space="preserve">Additional 67 620 residential dwellings (private and social housing) renovated. </w:t>
            </w:r>
          </w:p>
          <w:p w14:paraId="2682FDBE" w14:textId="77777777" w:rsidR="006A41D9" w:rsidRPr="001961AA" w:rsidRDefault="006A41D9" w:rsidP="006A58CC">
            <w:pPr>
              <w:spacing w:after="120"/>
              <w:rPr>
                <w:rFonts w:ascii="Times New Roman" w:hAnsi="Times New Roman" w:cs="Times New Roman"/>
                <w:noProof/>
                <w:color w:val="006100"/>
                <w:lang w:val="en-GB"/>
              </w:rPr>
            </w:pPr>
            <w:r w:rsidRPr="001961AA">
              <w:rPr>
                <w:rFonts w:ascii="Times New Roman" w:hAnsi="Times New Roman"/>
                <w:noProof/>
                <w:color w:val="006100"/>
                <w:lang w:val="en-GB"/>
              </w:rPr>
              <w:t>This target is indicatively broken down into the following sub-targets, which do not have to be reached individually provided that the above levels of renovation are achieved:</w:t>
            </w:r>
          </w:p>
          <w:p w14:paraId="4BCE2F32" w14:textId="77777777" w:rsidR="006A41D9" w:rsidRPr="001961AA" w:rsidRDefault="006A41D9" w:rsidP="00BD6DD1">
            <w:pPr>
              <w:spacing w:after="0"/>
              <w:rPr>
                <w:rFonts w:ascii="Times New Roman" w:hAnsi="Times New Roman" w:cs="Times New Roman"/>
                <w:noProof/>
                <w:color w:val="006100"/>
                <w:lang w:val="en-GB"/>
              </w:rPr>
            </w:pPr>
            <w:r w:rsidRPr="001961AA">
              <w:rPr>
                <w:rFonts w:ascii="Times New Roman" w:hAnsi="Times New Roman"/>
                <w:noProof/>
                <w:color w:val="006100"/>
                <w:u w:val="single"/>
                <w:lang w:val="en-GB"/>
              </w:rPr>
              <w:t>Private housing</w:t>
            </w:r>
            <w:r w:rsidRPr="001961AA">
              <w:rPr>
                <w:rFonts w:ascii="Times New Roman" w:hAnsi="Times New Roman"/>
                <w:noProof/>
                <w:color w:val="006100"/>
                <w:lang w:val="en-GB"/>
              </w:rPr>
              <w:t>:</w:t>
            </w:r>
          </w:p>
          <w:p w14:paraId="3FF56D2D" w14:textId="3AB412CA" w:rsidR="006A41D9" w:rsidRPr="001961AA" w:rsidRDefault="006A41D9" w:rsidP="00BD6DD1">
            <w:pPr>
              <w:spacing w:after="0"/>
              <w:rPr>
                <w:rFonts w:ascii="Times New Roman" w:hAnsi="Times New Roman" w:cs="Times New Roman"/>
                <w:noProof/>
                <w:color w:val="006100"/>
                <w:lang w:val="en-GB"/>
              </w:rPr>
            </w:pPr>
            <w:r w:rsidRPr="001961AA">
              <w:rPr>
                <w:rFonts w:ascii="Times New Roman" w:hAnsi="Times New Roman"/>
                <w:noProof/>
                <w:color w:val="006100"/>
                <w:lang w:val="en-GB"/>
              </w:rPr>
              <w:t>(i) Flemish Region (R-1.01, subsidies for energy efficiency and renewable energy): 66 150 dwellings.</w:t>
            </w:r>
          </w:p>
          <w:p w14:paraId="456A3349" w14:textId="663285DF" w:rsidR="006A41D9" w:rsidRPr="001961AA" w:rsidRDefault="006A41D9" w:rsidP="005B02A8">
            <w:pPr>
              <w:spacing w:after="120"/>
              <w:rPr>
                <w:rFonts w:ascii="Times New Roman" w:hAnsi="Times New Roman" w:cs="Times New Roman"/>
                <w:noProof/>
                <w:color w:val="006100"/>
                <w:lang w:val="en-GB"/>
              </w:rPr>
            </w:pPr>
            <w:r w:rsidRPr="001961AA">
              <w:rPr>
                <w:rFonts w:ascii="Times New Roman" w:hAnsi="Times New Roman"/>
                <w:noProof/>
                <w:color w:val="006100"/>
                <w:lang w:val="en-GB"/>
              </w:rPr>
              <w:t>(ii) Brussels-Capital Region (R-1.02): 1 004 dwellings</w:t>
            </w:r>
          </w:p>
          <w:p w14:paraId="6F09307F" w14:textId="77777777" w:rsidR="006A41D9" w:rsidRPr="001961AA" w:rsidRDefault="006A41D9" w:rsidP="00BD6DD1">
            <w:pPr>
              <w:spacing w:after="0"/>
              <w:rPr>
                <w:rFonts w:ascii="Times New Roman" w:hAnsi="Times New Roman" w:cs="Times New Roman"/>
                <w:noProof/>
                <w:color w:val="006100"/>
                <w:lang w:val="en-GB"/>
              </w:rPr>
            </w:pPr>
            <w:r w:rsidRPr="001961AA">
              <w:rPr>
                <w:rFonts w:ascii="Times New Roman" w:hAnsi="Times New Roman"/>
                <w:noProof/>
                <w:color w:val="006100"/>
                <w:u w:val="single"/>
                <w:lang w:val="en-GB"/>
              </w:rPr>
              <w:t>Social housing</w:t>
            </w:r>
            <w:r w:rsidRPr="001961AA">
              <w:rPr>
                <w:rFonts w:ascii="Times New Roman" w:hAnsi="Times New Roman"/>
                <w:noProof/>
                <w:color w:val="006100"/>
                <w:lang w:val="en-GB"/>
              </w:rPr>
              <w:t>:</w:t>
            </w:r>
          </w:p>
          <w:p w14:paraId="4E967737" w14:textId="77777777" w:rsidR="006A41D9" w:rsidRPr="001961AA" w:rsidRDefault="006A41D9" w:rsidP="00BD6DD1">
            <w:pPr>
              <w:spacing w:after="0"/>
              <w:rPr>
                <w:rFonts w:ascii="Times New Roman" w:hAnsi="Times New Roman" w:cs="Times New Roman"/>
                <w:noProof/>
                <w:color w:val="006100"/>
                <w:lang w:val="en-GB"/>
              </w:rPr>
            </w:pPr>
            <w:r w:rsidRPr="001961AA">
              <w:rPr>
                <w:rFonts w:ascii="Times New Roman" w:hAnsi="Times New Roman"/>
                <w:noProof/>
                <w:color w:val="006100"/>
                <w:lang w:val="en-GB"/>
              </w:rPr>
              <w:t>(i) Brussel-Capital Region (I-1.02): 427 social housing units</w:t>
            </w:r>
          </w:p>
          <w:p w14:paraId="0A73F17A" w14:textId="0B08C1E4" w:rsidR="005E1070" w:rsidRPr="001961AA" w:rsidRDefault="006A41D9" w:rsidP="00BD6DD1">
            <w:pPr>
              <w:spacing w:after="0"/>
              <w:rPr>
                <w:rFonts w:ascii="Times New Roman" w:hAnsi="Times New Roman" w:cs="Times New Roman"/>
                <w:noProof/>
                <w:color w:val="006100"/>
                <w:lang w:val="en-GB"/>
              </w:rPr>
            </w:pPr>
            <w:r w:rsidRPr="001961AA">
              <w:rPr>
                <w:rFonts w:ascii="Times New Roman" w:hAnsi="Times New Roman"/>
                <w:noProof/>
                <w:color w:val="006100"/>
                <w:lang w:val="en-GB"/>
              </w:rPr>
              <w:t>(ii) German-speaking community (I-1.03): 39 social housing units</w:t>
            </w:r>
          </w:p>
          <w:p w14:paraId="7F5DDA67" w14:textId="4F0A307E" w:rsidR="006A41D9" w:rsidRPr="001961AA" w:rsidRDefault="496EB759" w:rsidP="00BD6DD1">
            <w:pPr>
              <w:spacing w:after="0"/>
              <w:rPr>
                <w:rFonts w:ascii="Times New Roman" w:hAnsi="Times New Roman" w:cs="Times New Roman"/>
                <w:noProof/>
                <w:color w:val="006100"/>
                <w:lang w:val="en-GB"/>
              </w:rPr>
            </w:pPr>
            <w:r w:rsidRPr="001961AA">
              <w:rPr>
                <w:rFonts w:ascii="Times New Roman" w:hAnsi="Times New Roman"/>
                <w:noProof/>
                <w:color w:val="006100"/>
                <w:lang w:val="en-GB"/>
              </w:rPr>
              <w:t>The renovation of 466 social housing units shall reduce on average at least 30% of primary energy consumption, as defined in Commission Recommendation (EU) 2019/786 on the renovation of buildings.</w:t>
            </w:r>
          </w:p>
        </w:tc>
      </w:tr>
      <w:tr w:rsidR="00292220" w:rsidRPr="009818D6" w14:paraId="3A6EB5EC" w14:textId="77777777" w:rsidTr="00022287">
        <w:trPr>
          <w:trHeight w:val="313"/>
        </w:trPr>
        <w:tc>
          <w:tcPr>
            <w:tcW w:w="71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FBA29E2" w14:textId="77777777" w:rsidR="006A41D9" w:rsidRPr="001961AA" w:rsidRDefault="006A41D9" w:rsidP="00BD6DD1">
            <w:pPr>
              <w:spacing w:after="0"/>
              <w:jc w:val="center"/>
              <w:rPr>
                <w:rFonts w:ascii="Times New Roman" w:hAnsi="Times New Roman" w:cs="Times New Roman"/>
                <w:noProof/>
                <w:color w:val="006100"/>
                <w:lang w:val="en-GB"/>
              </w:rPr>
            </w:pPr>
            <w:r w:rsidRPr="001961AA">
              <w:rPr>
                <w:rFonts w:ascii="Times New Roman" w:hAnsi="Times New Roman"/>
                <w:noProof/>
                <w:color w:val="006100"/>
                <w:lang w:val="en-GB"/>
              </w:rPr>
              <w:t>7</w:t>
            </w:r>
          </w:p>
        </w:tc>
        <w:tc>
          <w:tcPr>
            <w:tcW w:w="1731" w:type="dxa"/>
            <w:tcBorders>
              <w:top w:val="single" w:sz="4" w:space="0" w:color="auto"/>
              <w:left w:val="nil"/>
              <w:bottom w:val="single" w:sz="4" w:space="0" w:color="auto"/>
              <w:right w:val="single" w:sz="4" w:space="0" w:color="auto"/>
            </w:tcBorders>
            <w:shd w:val="clear" w:color="auto" w:fill="C6EFCE"/>
            <w:noWrap/>
            <w:vAlign w:val="center"/>
          </w:tcPr>
          <w:p w14:paraId="43E59692" w14:textId="320DCA02" w:rsidR="006A41D9" w:rsidRPr="001961AA" w:rsidRDefault="006A41D9" w:rsidP="00BD6DD1">
            <w:pPr>
              <w:spacing w:after="0"/>
              <w:rPr>
                <w:rFonts w:ascii="Times New Roman" w:hAnsi="Times New Roman" w:cs="Times New Roman"/>
                <w:noProof/>
                <w:color w:val="006100"/>
                <w:lang w:val="en-GB"/>
              </w:rPr>
            </w:pPr>
            <w:r w:rsidRPr="001961AA">
              <w:rPr>
                <w:rFonts w:ascii="Times New Roman" w:hAnsi="Times New Roman"/>
                <w:noProof/>
                <w:color w:val="006100"/>
                <w:lang w:val="en-GB"/>
              </w:rPr>
              <w:t>Renovation of private and social housing (I-1A)</w:t>
            </w:r>
          </w:p>
        </w:tc>
        <w:tc>
          <w:tcPr>
            <w:tcW w:w="1128" w:type="dxa"/>
            <w:tcBorders>
              <w:top w:val="single" w:sz="4" w:space="0" w:color="auto"/>
              <w:left w:val="nil"/>
              <w:bottom w:val="single" w:sz="4" w:space="0" w:color="auto"/>
              <w:right w:val="single" w:sz="4" w:space="0" w:color="auto"/>
            </w:tcBorders>
            <w:shd w:val="clear" w:color="auto" w:fill="C6EFCE"/>
            <w:noWrap/>
            <w:vAlign w:val="center"/>
          </w:tcPr>
          <w:p w14:paraId="59CE4637" w14:textId="2B12AADE" w:rsidR="006A41D9" w:rsidRPr="001961AA" w:rsidRDefault="006A41D9" w:rsidP="00BD6DD1">
            <w:pPr>
              <w:spacing w:after="0"/>
              <w:rPr>
                <w:rFonts w:ascii="Times New Roman" w:hAnsi="Times New Roman" w:cs="Times New Roman"/>
                <w:noProof/>
                <w:color w:val="006100"/>
                <w:lang w:val="en-GB"/>
              </w:rPr>
            </w:pPr>
            <w:r w:rsidRPr="001961AA">
              <w:rPr>
                <w:rFonts w:ascii="Times New Roman" w:hAnsi="Times New Roman"/>
                <w:noProof/>
                <w:color w:val="006100"/>
                <w:lang w:val="en-GB"/>
              </w:rPr>
              <w:t>T</w:t>
            </w:r>
          </w:p>
        </w:tc>
        <w:tc>
          <w:tcPr>
            <w:tcW w:w="1672" w:type="dxa"/>
            <w:tcBorders>
              <w:top w:val="single" w:sz="4" w:space="0" w:color="auto"/>
              <w:left w:val="nil"/>
              <w:bottom w:val="single" w:sz="4" w:space="0" w:color="auto"/>
              <w:right w:val="single" w:sz="4" w:space="0" w:color="auto"/>
            </w:tcBorders>
            <w:shd w:val="clear" w:color="auto" w:fill="C6EFCE"/>
            <w:noWrap/>
            <w:vAlign w:val="center"/>
          </w:tcPr>
          <w:p w14:paraId="59688A64" w14:textId="77777777" w:rsidR="006A41D9" w:rsidRPr="001961AA" w:rsidRDefault="006A41D9" w:rsidP="00BD6DD1">
            <w:pPr>
              <w:spacing w:after="0"/>
              <w:rPr>
                <w:rFonts w:ascii="Times New Roman" w:hAnsi="Times New Roman" w:cs="Times New Roman"/>
                <w:noProof/>
                <w:color w:val="006100"/>
                <w:lang w:val="en-GB"/>
              </w:rPr>
            </w:pPr>
            <w:r w:rsidRPr="001961AA">
              <w:rPr>
                <w:rFonts w:ascii="Times New Roman" w:hAnsi="Times New Roman"/>
                <w:noProof/>
                <w:color w:val="006100"/>
                <w:lang w:val="en-GB"/>
              </w:rPr>
              <w:t>Renovations of private residential and social housing</w:t>
            </w:r>
          </w:p>
          <w:p w14:paraId="1A91F313" w14:textId="560B736F" w:rsidR="006A41D9" w:rsidRPr="001961AA" w:rsidRDefault="006A41D9" w:rsidP="00BD6DD1">
            <w:pPr>
              <w:spacing w:after="0"/>
              <w:rPr>
                <w:rFonts w:ascii="Times New Roman" w:hAnsi="Times New Roman" w:cs="Times New Roman"/>
                <w:noProof/>
                <w:color w:val="006100"/>
                <w:lang w:val="en-GB"/>
              </w:rPr>
            </w:pPr>
            <w:r w:rsidRPr="001961AA">
              <w:rPr>
                <w:rFonts w:ascii="Times New Roman" w:hAnsi="Times New Roman"/>
                <w:noProof/>
                <w:color w:val="006100"/>
                <w:lang w:val="en-GB"/>
              </w:rPr>
              <w:t>(step 3)</w:t>
            </w:r>
          </w:p>
        </w:tc>
        <w:tc>
          <w:tcPr>
            <w:tcW w:w="1231" w:type="dxa"/>
            <w:tcBorders>
              <w:top w:val="single" w:sz="4" w:space="0" w:color="auto"/>
              <w:left w:val="nil"/>
              <w:bottom w:val="single" w:sz="4" w:space="0" w:color="auto"/>
              <w:right w:val="single" w:sz="4" w:space="0" w:color="auto"/>
            </w:tcBorders>
            <w:shd w:val="clear" w:color="auto" w:fill="C6EFCE"/>
            <w:noWrap/>
            <w:vAlign w:val="center"/>
          </w:tcPr>
          <w:p w14:paraId="6C26E416" w14:textId="77777777"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1200" w:type="dxa"/>
            <w:tcBorders>
              <w:top w:val="single" w:sz="4" w:space="0" w:color="auto"/>
              <w:left w:val="nil"/>
              <w:bottom w:val="single" w:sz="4" w:space="0" w:color="auto"/>
              <w:right w:val="single" w:sz="4" w:space="0" w:color="auto"/>
            </w:tcBorders>
            <w:shd w:val="clear" w:color="auto" w:fill="C6EFCE"/>
            <w:noWrap/>
            <w:vAlign w:val="center"/>
          </w:tcPr>
          <w:p w14:paraId="2B090512" w14:textId="77777777" w:rsidR="006A41D9" w:rsidRPr="001961AA" w:rsidRDefault="006A41D9" w:rsidP="00BD6DD1">
            <w:pPr>
              <w:spacing w:after="0"/>
              <w:rPr>
                <w:rFonts w:ascii="Times New Roman" w:hAnsi="Times New Roman" w:cs="Times New Roman"/>
                <w:noProof/>
                <w:color w:val="375623"/>
                <w:lang w:val="en-GB"/>
              </w:rPr>
            </w:pPr>
            <w:r w:rsidRPr="001961AA">
              <w:rPr>
                <w:rFonts w:ascii="Times New Roman" w:hAnsi="Times New Roman"/>
                <w:noProof/>
                <w:color w:val="006100"/>
                <w:lang w:val="en-GB"/>
              </w:rPr>
              <w:t>Dwellings</w:t>
            </w:r>
          </w:p>
        </w:tc>
        <w:tc>
          <w:tcPr>
            <w:tcW w:w="1000" w:type="dxa"/>
            <w:tcBorders>
              <w:top w:val="single" w:sz="4" w:space="0" w:color="auto"/>
              <w:left w:val="nil"/>
              <w:bottom w:val="single" w:sz="4" w:space="0" w:color="auto"/>
              <w:right w:val="single" w:sz="4" w:space="0" w:color="auto"/>
            </w:tcBorders>
            <w:shd w:val="clear" w:color="auto" w:fill="C6EFCE"/>
            <w:noWrap/>
            <w:vAlign w:val="center"/>
          </w:tcPr>
          <w:p w14:paraId="6C82E194" w14:textId="40CCC6AA" w:rsidR="006A41D9" w:rsidRPr="001961AA" w:rsidRDefault="006A41D9" w:rsidP="00BD6DD1">
            <w:pPr>
              <w:spacing w:after="0"/>
              <w:rPr>
                <w:rFonts w:ascii="Times New Roman" w:hAnsi="Times New Roman" w:cs="Times New Roman"/>
                <w:noProof/>
                <w:color w:val="375623"/>
                <w:lang w:val="en-GB"/>
              </w:rPr>
            </w:pPr>
            <w:r w:rsidRPr="001961AA">
              <w:rPr>
                <w:rFonts w:ascii="Times New Roman" w:hAnsi="Times New Roman"/>
                <w:noProof/>
                <w:color w:val="006100"/>
                <w:lang w:val="en-GB"/>
              </w:rPr>
              <w:t>131 732</w:t>
            </w:r>
          </w:p>
        </w:tc>
        <w:tc>
          <w:tcPr>
            <w:tcW w:w="1280" w:type="dxa"/>
            <w:tcBorders>
              <w:top w:val="single" w:sz="4" w:space="0" w:color="auto"/>
              <w:left w:val="nil"/>
              <w:bottom w:val="single" w:sz="4" w:space="0" w:color="auto"/>
              <w:right w:val="single" w:sz="4" w:space="0" w:color="auto"/>
            </w:tcBorders>
            <w:shd w:val="clear" w:color="auto" w:fill="C6EFCE"/>
            <w:noWrap/>
            <w:vAlign w:val="center"/>
          </w:tcPr>
          <w:p w14:paraId="61D77A38" w14:textId="0AEE33D0" w:rsidR="006A41D9" w:rsidRPr="001961AA" w:rsidRDefault="006A41D9" w:rsidP="00BD6DD1">
            <w:pPr>
              <w:spacing w:after="0"/>
              <w:rPr>
                <w:rFonts w:ascii="Times New Roman" w:hAnsi="Times New Roman" w:cs="Times New Roman"/>
                <w:noProof/>
                <w:color w:val="375623"/>
                <w:lang w:val="en-GB"/>
              </w:rPr>
            </w:pPr>
            <w:r w:rsidRPr="001961AA">
              <w:rPr>
                <w:rFonts w:ascii="Times New Roman" w:hAnsi="Times New Roman"/>
                <w:noProof/>
                <w:color w:val="006100"/>
                <w:lang w:val="en-GB"/>
              </w:rPr>
              <w:t>198 108</w:t>
            </w:r>
          </w:p>
        </w:tc>
        <w:tc>
          <w:tcPr>
            <w:tcW w:w="960" w:type="dxa"/>
            <w:tcBorders>
              <w:top w:val="single" w:sz="4" w:space="0" w:color="auto"/>
              <w:left w:val="nil"/>
              <w:bottom w:val="single" w:sz="4" w:space="0" w:color="auto"/>
              <w:right w:val="single" w:sz="4" w:space="0" w:color="auto"/>
            </w:tcBorders>
            <w:shd w:val="clear" w:color="auto" w:fill="C6EFCE"/>
            <w:noWrap/>
            <w:vAlign w:val="center"/>
          </w:tcPr>
          <w:p w14:paraId="2278967B" w14:textId="77777777" w:rsidR="006A41D9" w:rsidRPr="001961AA" w:rsidRDefault="006A41D9" w:rsidP="00BD6DD1">
            <w:pPr>
              <w:spacing w:after="0"/>
              <w:jc w:val="center"/>
              <w:rPr>
                <w:rFonts w:ascii="Times New Roman" w:hAnsi="Times New Roman" w:cs="Times New Roman"/>
                <w:noProof/>
                <w:color w:val="375623"/>
                <w:lang w:val="en-GB"/>
              </w:rPr>
            </w:pPr>
            <w:r w:rsidRPr="001961AA">
              <w:rPr>
                <w:rFonts w:ascii="Times New Roman" w:hAnsi="Times New Roman"/>
                <w:noProof/>
                <w:color w:val="006100"/>
                <w:lang w:val="en-GB"/>
              </w:rPr>
              <w:t>Q2</w:t>
            </w:r>
          </w:p>
        </w:tc>
        <w:tc>
          <w:tcPr>
            <w:tcW w:w="720" w:type="dxa"/>
            <w:tcBorders>
              <w:top w:val="single" w:sz="4" w:space="0" w:color="auto"/>
              <w:left w:val="nil"/>
              <w:bottom w:val="single" w:sz="4" w:space="0" w:color="auto"/>
              <w:right w:val="single" w:sz="4" w:space="0" w:color="auto"/>
            </w:tcBorders>
            <w:shd w:val="clear" w:color="auto" w:fill="C6EFCE"/>
            <w:noWrap/>
            <w:vAlign w:val="center"/>
          </w:tcPr>
          <w:p w14:paraId="0731A1E3" w14:textId="77777777" w:rsidR="006A41D9" w:rsidRPr="001961AA" w:rsidRDefault="006A41D9" w:rsidP="00BD6DD1">
            <w:pPr>
              <w:spacing w:after="0"/>
              <w:jc w:val="center"/>
              <w:rPr>
                <w:rFonts w:ascii="Times New Roman" w:hAnsi="Times New Roman" w:cs="Times New Roman"/>
                <w:noProof/>
                <w:color w:val="375623"/>
                <w:lang w:val="en-GB"/>
              </w:rPr>
            </w:pPr>
            <w:r w:rsidRPr="001961AA">
              <w:rPr>
                <w:rFonts w:ascii="Times New Roman" w:hAnsi="Times New Roman"/>
                <w:noProof/>
                <w:color w:val="006100"/>
                <w:lang w:val="en-GB"/>
              </w:rPr>
              <w:t>2025</w:t>
            </w:r>
          </w:p>
        </w:tc>
        <w:tc>
          <w:tcPr>
            <w:tcW w:w="441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2F4158D" w14:textId="5C73144C" w:rsidR="006A41D9" w:rsidRPr="001961AA" w:rsidRDefault="00BA221B" w:rsidP="006A58CC">
            <w:pPr>
              <w:spacing w:after="120"/>
              <w:rPr>
                <w:rFonts w:ascii="Times New Roman" w:hAnsi="Times New Roman" w:cs="Times New Roman"/>
                <w:noProof/>
                <w:color w:val="006100"/>
                <w:lang w:val="en-GB"/>
              </w:rPr>
            </w:pPr>
            <w:r w:rsidRPr="001961AA">
              <w:rPr>
                <w:rFonts w:ascii="Times New Roman" w:hAnsi="Times New Roman"/>
                <w:noProof/>
                <w:color w:val="006100"/>
                <w:lang w:val="en-GB"/>
              </w:rPr>
              <w:t xml:space="preserve">Additional 66 376 residential dwellings (private and social housing) renovated. </w:t>
            </w:r>
          </w:p>
          <w:p w14:paraId="015BE8A9" w14:textId="77777777" w:rsidR="006A41D9" w:rsidRPr="001961AA" w:rsidRDefault="006A41D9" w:rsidP="006A58CC">
            <w:pPr>
              <w:spacing w:after="120"/>
              <w:rPr>
                <w:rFonts w:ascii="Times New Roman" w:hAnsi="Times New Roman" w:cs="Times New Roman"/>
                <w:noProof/>
                <w:color w:val="006100"/>
                <w:lang w:val="en-GB"/>
              </w:rPr>
            </w:pPr>
            <w:r w:rsidRPr="001961AA">
              <w:rPr>
                <w:rFonts w:ascii="Times New Roman" w:hAnsi="Times New Roman"/>
                <w:noProof/>
                <w:color w:val="006100"/>
                <w:lang w:val="en-GB"/>
              </w:rPr>
              <w:t>This target is indicatively broken down into the following sub-targets, which do not have to be reached individually provided that the above levels of renovation are achieved:</w:t>
            </w:r>
          </w:p>
          <w:p w14:paraId="21FCFF8C" w14:textId="77777777" w:rsidR="006A41D9" w:rsidRPr="001961AA" w:rsidRDefault="006A41D9" w:rsidP="00BD6DD1">
            <w:pPr>
              <w:spacing w:after="0"/>
              <w:rPr>
                <w:rFonts w:ascii="Times New Roman" w:hAnsi="Times New Roman" w:cs="Times New Roman"/>
                <w:noProof/>
                <w:color w:val="006100"/>
                <w:lang w:val="en-GB"/>
              </w:rPr>
            </w:pPr>
            <w:r w:rsidRPr="001961AA">
              <w:rPr>
                <w:rFonts w:ascii="Times New Roman" w:hAnsi="Times New Roman"/>
                <w:noProof/>
                <w:color w:val="006100"/>
                <w:u w:val="single"/>
                <w:lang w:val="en-GB"/>
              </w:rPr>
              <w:t>Private housing</w:t>
            </w:r>
            <w:r w:rsidRPr="001961AA">
              <w:rPr>
                <w:rFonts w:ascii="Times New Roman" w:hAnsi="Times New Roman"/>
                <w:noProof/>
                <w:color w:val="006100"/>
                <w:lang w:val="en-GB"/>
              </w:rPr>
              <w:t>:</w:t>
            </w:r>
          </w:p>
          <w:p w14:paraId="01E46040" w14:textId="7314C474" w:rsidR="006A41D9" w:rsidRPr="001961AA" w:rsidRDefault="006A41D9" w:rsidP="005B02A8">
            <w:pPr>
              <w:spacing w:after="120"/>
              <w:rPr>
                <w:rFonts w:ascii="Times New Roman" w:hAnsi="Times New Roman" w:cs="Times New Roman"/>
                <w:noProof/>
                <w:color w:val="006100"/>
                <w:lang w:val="en-GB"/>
              </w:rPr>
            </w:pPr>
            <w:r w:rsidRPr="001961AA">
              <w:rPr>
                <w:rFonts w:ascii="Times New Roman" w:hAnsi="Times New Roman"/>
                <w:noProof/>
                <w:color w:val="006100"/>
                <w:lang w:val="en-GB"/>
              </w:rPr>
              <w:t>(i) Flemish Region (R-1.01, subsidies for energy efficiency and renewable energy): 66 150 dwellings.</w:t>
            </w:r>
          </w:p>
          <w:p w14:paraId="780B37A3" w14:textId="77777777" w:rsidR="006A41D9" w:rsidRPr="001961AA" w:rsidRDefault="006A41D9" w:rsidP="00BD6DD1">
            <w:pPr>
              <w:spacing w:after="0"/>
              <w:rPr>
                <w:rFonts w:ascii="Times New Roman" w:hAnsi="Times New Roman" w:cs="Times New Roman"/>
                <w:noProof/>
                <w:color w:val="006100"/>
                <w:lang w:val="en-GB"/>
              </w:rPr>
            </w:pPr>
            <w:r w:rsidRPr="001961AA">
              <w:rPr>
                <w:rFonts w:ascii="Times New Roman" w:hAnsi="Times New Roman"/>
                <w:noProof/>
                <w:color w:val="006100"/>
                <w:u w:val="single"/>
                <w:lang w:val="en-GB"/>
              </w:rPr>
              <w:t>Social housing</w:t>
            </w:r>
            <w:r w:rsidRPr="001961AA">
              <w:rPr>
                <w:rFonts w:ascii="Times New Roman" w:hAnsi="Times New Roman"/>
                <w:noProof/>
                <w:color w:val="006100"/>
                <w:lang w:val="en-GB"/>
              </w:rPr>
              <w:t>:</w:t>
            </w:r>
          </w:p>
          <w:p w14:paraId="616271A2" w14:textId="77777777" w:rsidR="006A41D9" w:rsidRPr="001961AA" w:rsidRDefault="006A41D9" w:rsidP="00BD6DD1">
            <w:pPr>
              <w:spacing w:after="0"/>
              <w:rPr>
                <w:rFonts w:ascii="Times New Roman" w:hAnsi="Times New Roman" w:cs="Times New Roman"/>
                <w:noProof/>
                <w:color w:val="006100"/>
                <w:lang w:val="en-GB"/>
              </w:rPr>
            </w:pPr>
            <w:r w:rsidRPr="001961AA">
              <w:rPr>
                <w:rFonts w:ascii="Times New Roman" w:hAnsi="Times New Roman"/>
                <w:noProof/>
                <w:color w:val="006100"/>
                <w:lang w:val="en-GB"/>
              </w:rPr>
              <w:t>(i) Brussel-Capital Region (I-1.02): 197 social housing units</w:t>
            </w:r>
          </w:p>
          <w:p w14:paraId="0F21369D" w14:textId="708531EF" w:rsidR="00EF3F8F" w:rsidRPr="001961AA" w:rsidRDefault="006A41D9" w:rsidP="00BD6DD1">
            <w:pPr>
              <w:spacing w:after="0"/>
              <w:rPr>
                <w:rFonts w:ascii="Times New Roman" w:hAnsi="Times New Roman" w:cs="Times New Roman"/>
                <w:noProof/>
                <w:color w:val="006100"/>
                <w:lang w:val="en-GB"/>
              </w:rPr>
            </w:pPr>
            <w:r w:rsidRPr="001961AA">
              <w:rPr>
                <w:rFonts w:ascii="Times New Roman" w:hAnsi="Times New Roman"/>
                <w:noProof/>
                <w:color w:val="006100"/>
                <w:lang w:val="en-GB"/>
              </w:rPr>
              <w:t>(ii) German-speaking community (I-1.03): 29 social housing units</w:t>
            </w:r>
          </w:p>
          <w:p w14:paraId="25153A6A" w14:textId="0973CF8D" w:rsidR="006A41D9" w:rsidRPr="001961AA" w:rsidRDefault="00EF3F8F" w:rsidP="00BD6DD1">
            <w:pPr>
              <w:spacing w:after="0"/>
              <w:rPr>
                <w:rFonts w:ascii="Times New Roman" w:hAnsi="Times New Roman" w:cs="Times New Roman"/>
                <w:noProof/>
                <w:color w:val="006100"/>
                <w:lang w:val="en-GB"/>
              </w:rPr>
            </w:pPr>
            <w:r w:rsidRPr="001961AA">
              <w:rPr>
                <w:rFonts w:ascii="Times New Roman" w:hAnsi="Times New Roman"/>
                <w:noProof/>
                <w:color w:val="006100"/>
                <w:lang w:val="en-GB"/>
              </w:rPr>
              <w:t>The renovation of 226 social housing units shall reduce on average at least 30% of primary energy consumption, as defined in Commission Recommendation (EU) 2019/786 on the renovation of buildings.</w:t>
            </w:r>
          </w:p>
        </w:tc>
      </w:tr>
      <w:tr w:rsidR="00292220" w:rsidRPr="009818D6" w14:paraId="7BB33251" w14:textId="77777777" w:rsidTr="00022287">
        <w:trPr>
          <w:trHeight w:val="313"/>
        </w:trPr>
        <w:tc>
          <w:tcPr>
            <w:tcW w:w="71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3BCA8B3"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9</w:t>
            </w:r>
          </w:p>
        </w:tc>
        <w:tc>
          <w:tcPr>
            <w:tcW w:w="1731" w:type="dxa"/>
            <w:tcBorders>
              <w:top w:val="single" w:sz="4" w:space="0" w:color="auto"/>
              <w:left w:val="nil"/>
              <w:bottom w:val="single" w:sz="4" w:space="0" w:color="auto"/>
              <w:right w:val="single" w:sz="4" w:space="0" w:color="auto"/>
            </w:tcBorders>
            <w:shd w:val="clear" w:color="auto" w:fill="C6EFCE"/>
            <w:noWrap/>
            <w:vAlign w:val="center"/>
          </w:tcPr>
          <w:p w14:paraId="17A0A1B0" w14:textId="2F5D0621"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Renovation of private and social housing (R-1.01(iii))</w:t>
            </w:r>
          </w:p>
        </w:tc>
        <w:tc>
          <w:tcPr>
            <w:tcW w:w="1128" w:type="dxa"/>
            <w:tcBorders>
              <w:top w:val="single" w:sz="4" w:space="0" w:color="auto"/>
              <w:left w:val="nil"/>
              <w:bottom w:val="single" w:sz="4" w:space="0" w:color="auto"/>
              <w:right w:val="single" w:sz="4" w:space="0" w:color="auto"/>
            </w:tcBorders>
            <w:shd w:val="clear" w:color="auto" w:fill="C6EFCE"/>
            <w:noWrap/>
            <w:vAlign w:val="center"/>
          </w:tcPr>
          <w:p w14:paraId="08679B6E" w14:textId="3B8504CA"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T</w:t>
            </w:r>
          </w:p>
        </w:tc>
        <w:tc>
          <w:tcPr>
            <w:tcW w:w="1672" w:type="dxa"/>
            <w:tcBorders>
              <w:top w:val="single" w:sz="4" w:space="0" w:color="auto"/>
              <w:left w:val="nil"/>
              <w:bottom w:val="single" w:sz="4" w:space="0" w:color="auto"/>
              <w:right w:val="single" w:sz="4" w:space="0" w:color="auto"/>
            </w:tcBorders>
            <w:shd w:val="clear" w:color="auto" w:fill="C6EFCE"/>
            <w:noWrap/>
            <w:vAlign w:val="center"/>
          </w:tcPr>
          <w:p w14:paraId="09C2912C"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Award of grants for home batteries and smart control appliances in Flanders</w:t>
            </w:r>
          </w:p>
        </w:tc>
        <w:tc>
          <w:tcPr>
            <w:tcW w:w="1231" w:type="dxa"/>
            <w:tcBorders>
              <w:top w:val="single" w:sz="4" w:space="0" w:color="auto"/>
              <w:left w:val="nil"/>
              <w:bottom w:val="single" w:sz="4" w:space="0" w:color="auto"/>
              <w:right w:val="single" w:sz="4" w:space="0" w:color="auto"/>
            </w:tcBorders>
            <w:shd w:val="clear" w:color="auto" w:fill="C6EFCE"/>
            <w:noWrap/>
            <w:vAlign w:val="center"/>
          </w:tcPr>
          <w:p w14:paraId="08480008" w14:textId="77777777"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1200" w:type="dxa"/>
            <w:tcBorders>
              <w:top w:val="single" w:sz="4" w:space="0" w:color="auto"/>
              <w:left w:val="nil"/>
              <w:bottom w:val="single" w:sz="4" w:space="0" w:color="auto"/>
              <w:right w:val="single" w:sz="4" w:space="0" w:color="auto"/>
            </w:tcBorders>
            <w:shd w:val="clear" w:color="auto" w:fill="C6EFCE"/>
            <w:noWrap/>
            <w:vAlign w:val="center"/>
          </w:tcPr>
          <w:p w14:paraId="4D35EB7A"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Grants awarded</w:t>
            </w:r>
          </w:p>
        </w:tc>
        <w:tc>
          <w:tcPr>
            <w:tcW w:w="1000" w:type="dxa"/>
            <w:tcBorders>
              <w:top w:val="single" w:sz="4" w:space="0" w:color="auto"/>
              <w:left w:val="nil"/>
              <w:bottom w:val="single" w:sz="4" w:space="0" w:color="auto"/>
              <w:right w:val="single" w:sz="4" w:space="0" w:color="auto"/>
            </w:tcBorders>
            <w:shd w:val="clear" w:color="auto" w:fill="C6EFCE"/>
            <w:noWrap/>
            <w:vAlign w:val="center"/>
          </w:tcPr>
          <w:p w14:paraId="2897867B"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0</w:t>
            </w:r>
          </w:p>
        </w:tc>
        <w:tc>
          <w:tcPr>
            <w:tcW w:w="1280" w:type="dxa"/>
            <w:tcBorders>
              <w:top w:val="single" w:sz="4" w:space="0" w:color="auto"/>
              <w:left w:val="nil"/>
              <w:bottom w:val="single" w:sz="4" w:space="0" w:color="auto"/>
              <w:right w:val="single" w:sz="4" w:space="0" w:color="auto"/>
            </w:tcBorders>
            <w:shd w:val="clear" w:color="auto" w:fill="C6EFCE"/>
            <w:noWrap/>
            <w:vAlign w:val="center"/>
          </w:tcPr>
          <w:p w14:paraId="580EEA62"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8 460</w:t>
            </w:r>
          </w:p>
        </w:tc>
        <w:tc>
          <w:tcPr>
            <w:tcW w:w="960" w:type="dxa"/>
            <w:tcBorders>
              <w:top w:val="single" w:sz="4" w:space="0" w:color="auto"/>
              <w:left w:val="nil"/>
              <w:bottom w:val="single" w:sz="4" w:space="0" w:color="auto"/>
              <w:right w:val="single" w:sz="4" w:space="0" w:color="auto"/>
            </w:tcBorders>
            <w:shd w:val="clear" w:color="auto" w:fill="C6EFCE"/>
            <w:noWrap/>
            <w:vAlign w:val="center"/>
          </w:tcPr>
          <w:p w14:paraId="4F42994D"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Q2</w:t>
            </w:r>
          </w:p>
        </w:tc>
        <w:tc>
          <w:tcPr>
            <w:tcW w:w="720" w:type="dxa"/>
            <w:tcBorders>
              <w:top w:val="single" w:sz="4" w:space="0" w:color="auto"/>
              <w:left w:val="nil"/>
              <w:bottom w:val="single" w:sz="4" w:space="0" w:color="auto"/>
              <w:right w:val="single" w:sz="4" w:space="0" w:color="auto"/>
            </w:tcBorders>
            <w:shd w:val="clear" w:color="auto" w:fill="C6EFCE"/>
            <w:noWrap/>
            <w:vAlign w:val="center"/>
          </w:tcPr>
          <w:p w14:paraId="490007CC"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2023</w:t>
            </w:r>
          </w:p>
        </w:tc>
        <w:tc>
          <w:tcPr>
            <w:tcW w:w="441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137FB5F" w14:textId="7F78ADEC" w:rsidR="006A41D9" w:rsidRPr="001961AA" w:rsidRDefault="006A41D9" w:rsidP="00BD6DD1">
            <w:pPr>
              <w:rPr>
                <w:rFonts w:ascii="Times New Roman" w:eastAsia="Times New Roman" w:hAnsi="Times New Roman" w:cs="Times New Roman"/>
                <w:noProof/>
                <w:lang w:val="en-GB"/>
              </w:rPr>
            </w:pPr>
            <w:r w:rsidRPr="001961AA">
              <w:rPr>
                <w:rFonts w:ascii="Times New Roman" w:hAnsi="Times New Roman"/>
                <w:noProof/>
                <w:color w:val="006100"/>
                <w:lang w:val="en-GB"/>
              </w:rPr>
              <w:t>Grants awarded for home batteries for private housing in Flanders since Q2 2021.</w:t>
            </w:r>
          </w:p>
        </w:tc>
      </w:tr>
      <w:tr w:rsidR="00292220" w:rsidRPr="009818D6" w14:paraId="33CDC85A" w14:textId="77777777" w:rsidTr="00022287">
        <w:trPr>
          <w:trHeight w:val="313"/>
        </w:trPr>
        <w:tc>
          <w:tcPr>
            <w:tcW w:w="71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2F94A7E" w14:textId="77777777" w:rsidR="006A41D9" w:rsidRPr="001961AA" w:rsidRDefault="006A41D9" w:rsidP="00BD6DD1">
            <w:pPr>
              <w:spacing w:after="0"/>
              <w:jc w:val="center"/>
              <w:rPr>
                <w:rFonts w:ascii="Times New Roman" w:hAnsi="Times New Roman" w:cs="Times New Roman"/>
                <w:noProof/>
                <w:color w:val="006100"/>
                <w:lang w:val="en-GB"/>
              </w:rPr>
            </w:pPr>
            <w:r w:rsidRPr="001961AA">
              <w:rPr>
                <w:rFonts w:ascii="Times New Roman" w:hAnsi="Times New Roman"/>
                <w:noProof/>
                <w:color w:val="006100"/>
                <w:lang w:val="en-GB"/>
              </w:rPr>
              <w:t>11</w:t>
            </w:r>
          </w:p>
        </w:tc>
        <w:tc>
          <w:tcPr>
            <w:tcW w:w="1731" w:type="dxa"/>
            <w:tcBorders>
              <w:top w:val="single" w:sz="4" w:space="0" w:color="auto"/>
              <w:left w:val="nil"/>
              <w:bottom w:val="single" w:sz="4" w:space="0" w:color="auto"/>
              <w:right w:val="single" w:sz="4" w:space="0" w:color="auto"/>
            </w:tcBorders>
            <w:shd w:val="clear" w:color="auto" w:fill="C6EFCE"/>
            <w:noWrap/>
            <w:vAlign w:val="center"/>
          </w:tcPr>
          <w:p w14:paraId="30AB7C6C" w14:textId="63233563" w:rsidR="006A41D9" w:rsidRPr="001961AA" w:rsidRDefault="006A41D9" w:rsidP="00BD6DD1">
            <w:pPr>
              <w:spacing w:after="0"/>
              <w:rPr>
                <w:rFonts w:ascii="Times New Roman" w:hAnsi="Times New Roman" w:cs="Times New Roman"/>
                <w:noProof/>
                <w:color w:val="006100"/>
                <w:lang w:val="en-GB"/>
              </w:rPr>
            </w:pPr>
            <w:r w:rsidRPr="001961AA">
              <w:rPr>
                <w:rFonts w:ascii="Times New Roman" w:hAnsi="Times New Roman"/>
                <w:noProof/>
                <w:color w:val="006100"/>
                <w:lang w:val="en-GB"/>
              </w:rPr>
              <w:t>Public building renovations (I-1.08)</w:t>
            </w:r>
          </w:p>
        </w:tc>
        <w:tc>
          <w:tcPr>
            <w:tcW w:w="1128" w:type="dxa"/>
            <w:tcBorders>
              <w:top w:val="single" w:sz="4" w:space="0" w:color="auto"/>
              <w:left w:val="nil"/>
              <w:bottom w:val="single" w:sz="4" w:space="0" w:color="auto"/>
              <w:right w:val="single" w:sz="4" w:space="0" w:color="auto"/>
            </w:tcBorders>
            <w:shd w:val="clear" w:color="auto" w:fill="C6EFCE"/>
            <w:noWrap/>
            <w:vAlign w:val="center"/>
          </w:tcPr>
          <w:p w14:paraId="3DD0FB00" w14:textId="58FCEA1C" w:rsidR="006A41D9" w:rsidRPr="001961AA" w:rsidRDefault="006A41D9" w:rsidP="00BD6DD1">
            <w:pPr>
              <w:spacing w:after="0"/>
              <w:rPr>
                <w:rFonts w:ascii="Times New Roman" w:hAnsi="Times New Roman" w:cs="Times New Roman"/>
                <w:noProof/>
                <w:color w:val="006100"/>
                <w:lang w:val="en-GB"/>
              </w:rPr>
            </w:pPr>
            <w:r w:rsidRPr="001961AA">
              <w:rPr>
                <w:rFonts w:ascii="Times New Roman" w:hAnsi="Times New Roman"/>
                <w:noProof/>
                <w:color w:val="006100"/>
                <w:lang w:val="en-GB"/>
              </w:rPr>
              <w:t>M</w:t>
            </w:r>
          </w:p>
        </w:tc>
        <w:tc>
          <w:tcPr>
            <w:tcW w:w="1672" w:type="dxa"/>
            <w:tcBorders>
              <w:top w:val="single" w:sz="4" w:space="0" w:color="auto"/>
              <w:left w:val="nil"/>
              <w:bottom w:val="single" w:sz="4" w:space="0" w:color="auto"/>
              <w:right w:val="single" w:sz="4" w:space="0" w:color="auto"/>
            </w:tcBorders>
            <w:shd w:val="clear" w:color="auto" w:fill="C6EFCE"/>
            <w:noWrap/>
            <w:vAlign w:val="center"/>
          </w:tcPr>
          <w:p w14:paraId="153A0F96" w14:textId="28542E8E"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Adaptation of the electricity ordinance to introduce a one-stop shop for renovations</w:t>
            </w:r>
          </w:p>
        </w:tc>
        <w:tc>
          <w:tcPr>
            <w:tcW w:w="1231" w:type="dxa"/>
            <w:tcBorders>
              <w:top w:val="single" w:sz="4" w:space="0" w:color="auto"/>
              <w:left w:val="nil"/>
              <w:bottom w:val="single" w:sz="4" w:space="0" w:color="auto"/>
              <w:right w:val="single" w:sz="4" w:space="0" w:color="auto"/>
            </w:tcBorders>
            <w:shd w:val="clear" w:color="auto" w:fill="C6EFCE"/>
            <w:noWrap/>
            <w:vAlign w:val="center"/>
          </w:tcPr>
          <w:p w14:paraId="6F74A623"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Publication in Official Journal of the electricity ordinance</w:t>
            </w:r>
          </w:p>
        </w:tc>
        <w:tc>
          <w:tcPr>
            <w:tcW w:w="1200" w:type="dxa"/>
            <w:tcBorders>
              <w:top w:val="single" w:sz="4" w:space="0" w:color="auto"/>
              <w:left w:val="nil"/>
              <w:bottom w:val="single" w:sz="4" w:space="0" w:color="auto"/>
              <w:right w:val="single" w:sz="4" w:space="0" w:color="auto"/>
            </w:tcBorders>
            <w:shd w:val="clear" w:color="auto" w:fill="C6EFCE"/>
            <w:noWrap/>
            <w:vAlign w:val="center"/>
          </w:tcPr>
          <w:p w14:paraId="691672D7" w14:textId="77777777" w:rsidR="006A41D9" w:rsidRPr="001961AA" w:rsidRDefault="006A41D9" w:rsidP="00BD6DD1">
            <w:pPr>
              <w:spacing w:after="0"/>
              <w:rPr>
                <w:rFonts w:ascii="Times New Roman" w:hAnsi="Times New Roman" w:cs="Times New Roman"/>
                <w:noProof/>
                <w:color w:val="006100"/>
                <w:lang w:val="en-GB"/>
              </w:rPr>
            </w:pPr>
          </w:p>
        </w:tc>
        <w:tc>
          <w:tcPr>
            <w:tcW w:w="1000" w:type="dxa"/>
            <w:tcBorders>
              <w:top w:val="single" w:sz="4" w:space="0" w:color="auto"/>
              <w:left w:val="nil"/>
              <w:bottom w:val="single" w:sz="4" w:space="0" w:color="auto"/>
              <w:right w:val="single" w:sz="4" w:space="0" w:color="auto"/>
            </w:tcBorders>
            <w:shd w:val="clear" w:color="auto" w:fill="C6EFCE"/>
            <w:noWrap/>
            <w:vAlign w:val="center"/>
          </w:tcPr>
          <w:p w14:paraId="1D409220" w14:textId="77777777" w:rsidR="006A41D9" w:rsidRPr="001961AA" w:rsidRDefault="006A41D9" w:rsidP="00BD6DD1">
            <w:pPr>
              <w:spacing w:after="0"/>
              <w:rPr>
                <w:rFonts w:ascii="Times New Roman" w:hAnsi="Times New Roman" w:cs="Times New Roman"/>
                <w:noProof/>
                <w:color w:val="006100"/>
                <w:lang w:val="en-GB"/>
              </w:rPr>
            </w:pPr>
          </w:p>
        </w:tc>
        <w:tc>
          <w:tcPr>
            <w:tcW w:w="1280" w:type="dxa"/>
            <w:tcBorders>
              <w:top w:val="single" w:sz="4" w:space="0" w:color="auto"/>
              <w:left w:val="nil"/>
              <w:bottom w:val="single" w:sz="4" w:space="0" w:color="auto"/>
              <w:right w:val="single" w:sz="4" w:space="0" w:color="auto"/>
            </w:tcBorders>
            <w:shd w:val="clear" w:color="auto" w:fill="C6EFCE"/>
            <w:noWrap/>
            <w:vAlign w:val="center"/>
          </w:tcPr>
          <w:p w14:paraId="51329E4E" w14:textId="77777777" w:rsidR="006A41D9" w:rsidRPr="001961AA" w:rsidRDefault="006A41D9" w:rsidP="00BD6DD1">
            <w:pPr>
              <w:spacing w:after="0"/>
              <w:rPr>
                <w:rFonts w:ascii="Times New Roman" w:hAnsi="Times New Roman" w:cs="Times New Roman"/>
                <w:noProof/>
                <w:color w:val="006100"/>
                <w:lang w:val="en-GB"/>
              </w:rPr>
            </w:pPr>
          </w:p>
        </w:tc>
        <w:tc>
          <w:tcPr>
            <w:tcW w:w="960" w:type="dxa"/>
            <w:tcBorders>
              <w:top w:val="single" w:sz="4" w:space="0" w:color="auto"/>
              <w:left w:val="nil"/>
              <w:bottom w:val="single" w:sz="4" w:space="0" w:color="auto"/>
              <w:right w:val="single" w:sz="4" w:space="0" w:color="auto"/>
            </w:tcBorders>
            <w:shd w:val="clear" w:color="auto" w:fill="C6EFCE"/>
            <w:noWrap/>
            <w:vAlign w:val="center"/>
          </w:tcPr>
          <w:p w14:paraId="1DEFF785" w14:textId="77777777" w:rsidR="006A41D9" w:rsidRPr="001961AA" w:rsidRDefault="006A41D9" w:rsidP="00BD6DD1">
            <w:pPr>
              <w:spacing w:after="0"/>
              <w:jc w:val="center"/>
              <w:rPr>
                <w:rFonts w:ascii="Times New Roman" w:hAnsi="Times New Roman" w:cs="Times New Roman"/>
                <w:noProof/>
                <w:color w:val="006100"/>
                <w:lang w:val="en-GB"/>
              </w:rPr>
            </w:pPr>
            <w:r w:rsidRPr="001961AA">
              <w:rPr>
                <w:rFonts w:ascii="Times New Roman" w:hAnsi="Times New Roman"/>
                <w:noProof/>
                <w:color w:val="006100"/>
                <w:lang w:val="en-GB"/>
              </w:rPr>
              <w:t>Q1</w:t>
            </w:r>
          </w:p>
        </w:tc>
        <w:tc>
          <w:tcPr>
            <w:tcW w:w="720" w:type="dxa"/>
            <w:tcBorders>
              <w:top w:val="single" w:sz="4" w:space="0" w:color="auto"/>
              <w:left w:val="nil"/>
              <w:bottom w:val="single" w:sz="4" w:space="0" w:color="auto"/>
              <w:right w:val="single" w:sz="4" w:space="0" w:color="auto"/>
            </w:tcBorders>
            <w:shd w:val="clear" w:color="auto" w:fill="C6EFCE"/>
            <w:noWrap/>
            <w:vAlign w:val="center"/>
          </w:tcPr>
          <w:p w14:paraId="19F77359" w14:textId="77777777" w:rsidR="006A41D9" w:rsidRPr="001961AA" w:rsidRDefault="006A41D9" w:rsidP="00BD6DD1">
            <w:pPr>
              <w:spacing w:after="0"/>
              <w:jc w:val="center"/>
              <w:rPr>
                <w:rFonts w:ascii="Times New Roman" w:hAnsi="Times New Roman" w:cs="Times New Roman"/>
                <w:noProof/>
                <w:color w:val="006100"/>
                <w:lang w:val="en-GB"/>
              </w:rPr>
            </w:pPr>
            <w:r w:rsidRPr="001961AA">
              <w:rPr>
                <w:rFonts w:ascii="Times New Roman" w:hAnsi="Times New Roman"/>
                <w:noProof/>
                <w:color w:val="006100"/>
                <w:lang w:val="en-GB"/>
              </w:rPr>
              <w:t>2022</w:t>
            </w:r>
          </w:p>
        </w:tc>
        <w:tc>
          <w:tcPr>
            <w:tcW w:w="441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510E27E" w14:textId="58C3F2E7" w:rsidR="006A41D9" w:rsidRPr="001961AA" w:rsidRDefault="006A41D9" w:rsidP="00BD6DD1">
            <w:pPr>
              <w:spacing w:after="0"/>
              <w:rPr>
                <w:rFonts w:ascii="Times New Roman" w:hAnsi="Times New Roman" w:cs="Times New Roman"/>
                <w:noProof/>
                <w:color w:val="006100"/>
                <w:highlight w:val="cyan"/>
                <w:lang w:val="en-GB"/>
              </w:rPr>
            </w:pPr>
            <w:r w:rsidRPr="001961AA">
              <w:rPr>
                <w:rFonts w:ascii="Times New Roman" w:hAnsi="Times New Roman"/>
                <w:noProof/>
                <w:color w:val="006100"/>
                <w:lang w:val="en-GB"/>
              </w:rPr>
              <w:t>Entry into force of the electricity ordinance defining the public service mission of Sibelga, including the operation of the one-stop shop for public renovations in Brussels.</w:t>
            </w:r>
          </w:p>
        </w:tc>
      </w:tr>
      <w:tr w:rsidR="00292220" w:rsidRPr="009818D6" w14:paraId="30DE7795" w14:textId="77777777" w:rsidTr="00022287">
        <w:trPr>
          <w:trHeight w:val="313"/>
        </w:trPr>
        <w:tc>
          <w:tcPr>
            <w:tcW w:w="714" w:type="dxa"/>
            <w:tcBorders>
              <w:top w:val="nil"/>
              <w:left w:val="single" w:sz="4" w:space="0" w:color="auto"/>
              <w:bottom w:val="single" w:sz="4" w:space="0" w:color="auto"/>
              <w:right w:val="single" w:sz="4" w:space="0" w:color="auto"/>
            </w:tcBorders>
            <w:shd w:val="clear" w:color="auto" w:fill="C6EFCE"/>
            <w:noWrap/>
            <w:vAlign w:val="center"/>
          </w:tcPr>
          <w:p w14:paraId="788BF098"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12</w:t>
            </w:r>
          </w:p>
        </w:tc>
        <w:tc>
          <w:tcPr>
            <w:tcW w:w="1731" w:type="dxa"/>
            <w:tcBorders>
              <w:top w:val="nil"/>
              <w:left w:val="nil"/>
              <w:bottom w:val="single" w:sz="4" w:space="0" w:color="auto"/>
              <w:right w:val="single" w:sz="4" w:space="0" w:color="auto"/>
            </w:tcBorders>
            <w:shd w:val="clear" w:color="auto" w:fill="C6EFCE"/>
            <w:noWrap/>
            <w:vAlign w:val="center"/>
          </w:tcPr>
          <w:p w14:paraId="715BCC23" w14:textId="77777777" w:rsidR="00FC6E0A" w:rsidRPr="001961AA" w:rsidRDefault="006A41D9" w:rsidP="00BD6DD1">
            <w:pPr>
              <w:spacing w:after="0"/>
              <w:rPr>
                <w:rFonts w:ascii="Times New Roman" w:hAnsi="Times New Roman" w:cs="Times New Roman"/>
                <w:noProof/>
                <w:color w:val="006100"/>
                <w:lang w:val="en-GB"/>
              </w:rPr>
            </w:pPr>
            <w:r w:rsidRPr="001961AA">
              <w:rPr>
                <w:rFonts w:ascii="Times New Roman" w:hAnsi="Times New Roman"/>
                <w:noProof/>
                <w:color w:val="006100"/>
                <w:lang w:val="en-GB"/>
              </w:rPr>
              <w:t>Public building renovations</w:t>
            </w:r>
          </w:p>
          <w:p w14:paraId="2B99F77F" w14:textId="704A5CE2" w:rsidR="006A41D9" w:rsidRPr="001961AA" w:rsidRDefault="006A41D9" w:rsidP="00BD6DD1">
            <w:pPr>
              <w:spacing w:after="0"/>
              <w:rPr>
                <w:rFonts w:ascii="Times New Roman" w:hAnsi="Times New Roman" w:cs="Times New Roman"/>
                <w:noProof/>
                <w:color w:val="006100"/>
                <w:lang w:val="en-GB"/>
              </w:rPr>
            </w:pPr>
            <w:r w:rsidRPr="001961AA">
              <w:rPr>
                <w:rFonts w:ascii="Times New Roman" w:hAnsi="Times New Roman"/>
                <w:noProof/>
                <w:color w:val="006100"/>
                <w:lang w:val="en-GB"/>
              </w:rPr>
              <w:t>(I-1B)</w:t>
            </w:r>
          </w:p>
        </w:tc>
        <w:tc>
          <w:tcPr>
            <w:tcW w:w="1128" w:type="dxa"/>
            <w:tcBorders>
              <w:top w:val="nil"/>
              <w:left w:val="nil"/>
              <w:bottom w:val="single" w:sz="4" w:space="0" w:color="auto"/>
              <w:right w:val="single" w:sz="4" w:space="0" w:color="auto"/>
            </w:tcBorders>
            <w:shd w:val="clear" w:color="auto" w:fill="C6EFCE"/>
            <w:noWrap/>
            <w:vAlign w:val="center"/>
          </w:tcPr>
          <w:p w14:paraId="4CB89BC7" w14:textId="357F91E4"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T</w:t>
            </w:r>
          </w:p>
        </w:tc>
        <w:tc>
          <w:tcPr>
            <w:tcW w:w="1672" w:type="dxa"/>
            <w:tcBorders>
              <w:top w:val="nil"/>
              <w:left w:val="nil"/>
              <w:bottom w:val="single" w:sz="4" w:space="0" w:color="auto"/>
              <w:right w:val="single" w:sz="4" w:space="0" w:color="auto"/>
            </w:tcBorders>
            <w:shd w:val="clear" w:color="auto" w:fill="C6EFCE"/>
            <w:noWrap/>
            <w:vAlign w:val="center"/>
          </w:tcPr>
          <w:p w14:paraId="613CF68F"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Renovation of public buildings (step 1)</w:t>
            </w:r>
          </w:p>
        </w:tc>
        <w:tc>
          <w:tcPr>
            <w:tcW w:w="1231" w:type="dxa"/>
            <w:tcBorders>
              <w:top w:val="nil"/>
              <w:left w:val="nil"/>
              <w:bottom w:val="single" w:sz="4" w:space="0" w:color="auto"/>
              <w:right w:val="single" w:sz="4" w:space="0" w:color="auto"/>
            </w:tcBorders>
            <w:shd w:val="clear" w:color="auto" w:fill="C6EFCE"/>
            <w:noWrap/>
            <w:vAlign w:val="center"/>
          </w:tcPr>
          <w:p w14:paraId="7ACBC0E9" w14:textId="77777777"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1200" w:type="dxa"/>
            <w:tcBorders>
              <w:top w:val="nil"/>
              <w:left w:val="nil"/>
              <w:bottom w:val="single" w:sz="4" w:space="0" w:color="auto"/>
              <w:right w:val="single" w:sz="4" w:space="0" w:color="auto"/>
            </w:tcBorders>
            <w:shd w:val="clear" w:color="auto" w:fill="C6EFCE"/>
            <w:noWrap/>
            <w:vAlign w:val="center"/>
          </w:tcPr>
          <w:p w14:paraId="75B4993C"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m²</w:t>
            </w:r>
          </w:p>
        </w:tc>
        <w:tc>
          <w:tcPr>
            <w:tcW w:w="1000" w:type="dxa"/>
            <w:tcBorders>
              <w:top w:val="nil"/>
              <w:left w:val="nil"/>
              <w:bottom w:val="single" w:sz="4" w:space="0" w:color="auto"/>
              <w:right w:val="single" w:sz="4" w:space="0" w:color="auto"/>
            </w:tcBorders>
            <w:shd w:val="clear" w:color="auto" w:fill="C6EFCE"/>
            <w:noWrap/>
            <w:vAlign w:val="center"/>
          </w:tcPr>
          <w:p w14:paraId="2C6796E6"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0</w:t>
            </w:r>
          </w:p>
        </w:tc>
        <w:tc>
          <w:tcPr>
            <w:tcW w:w="1280" w:type="dxa"/>
            <w:tcBorders>
              <w:top w:val="nil"/>
              <w:left w:val="nil"/>
              <w:bottom w:val="single" w:sz="4" w:space="0" w:color="auto"/>
              <w:right w:val="single" w:sz="4" w:space="0" w:color="auto"/>
            </w:tcBorders>
            <w:shd w:val="clear" w:color="auto" w:fill="C6EFCE"/>
            <w:noWrap/>
            <w:vAlign w:val="center"/>
          </w:tcPr>
          <w:p w14:paraId="3DFE5A0F" w14:textId="4315C6DB" w:rsidR="006A41D9" w:rsidRPr="001961AA" w:rsidRDefault="008A3ACD"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4 500</w:t>
            </w:r>
          </w:p>
        </w:tc>
        <w:tc>
          <w:tcPr>
            <w:tcW w:w="960" w:type="dxa"/>
            <w:tcBorders>
              <w:top w:val="nil"/>
              <w:left w:val="nil"/>
              <w:bottom w:val="single" w:sz="4" w:space="0" w:color="auto"/>
              <w:right w:val="single" w:sz="4" w:space="0" w:color="auto"/>
            </w:tcBorders>
            <w:shd w:val="clear" w:color="auto" w:fill="C6EFCE"/>
            <w:noWrap/>
            <w:vAlign w:val="center"/>
          </w:tcPr>
          <w:p w14:paraId="61D1CF08"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Q2</w:t>
            </w:r>
          </w:p>
        </w:tc>
        <w:tc>
          <w:tcPr>
            <w:tcW w:w="720" w:type="dxa"/>
            <w:tcBorders>
              <w:top w:val="nil"/>
              <w:left w:val="nil"/>
              <w:bottom w:val="single" w:sz="4" w:space="0" w:color="auto"/>
              <w:right w:val="single" w:sz="4" w:space="0" w:color="auto"/>
            </w:tcBorders>
            <w:shd w:val="clear" w:color="auto" w:fill="C6EFCE"/>
            <w:noWrap/>
            <w:vAlign w:val="center"/>
          </w:tcPr>
          <w:p w14:paraId="49006117"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2024</w:t>
            </w:r>
          </w:p>
        </w:tc>
        <w:tc>
          <w:tcPr>
            <w:tcW w:w="4410" w:type="dxa"/>
            <w:tcBorders>
              <w:top w:val="nil"/>
              <w:left w:val="single" w:sz="4" w:space="0" w:color="auto"/>
              <w:bottom w:val="single" w:sz="4" w:space="0" w:color="auto"/>
              <w:right w:val="single" w:sz="4" w:space="0" w:color="auto"/>
            </w:tcBorders>
            <w:shd w:val="clear" w:color="auto" w:fill="C6EFCE"/>
            <w:noWrap/>
            <w:vAlign w:val="center"/>
          </w:tcPr>
          <w:p w14:paraId="2E997A83" w14:textId="1519BC3D" w:rsidR="006A41D9" w:rsidRPr="001961AA" w:rsidRDefault="00016273" w:rsidP="006A58CC">
            <w:pPr>
              <w:spacing w:after="120"/>
              <w:rPr>
                <w:rFonts w:ascii="Times New Roman" w:eastAsia="Times New Roman" w:hAnsi="Times New Roman" w:cs="Times New Roman"/>
                <w:noProof/>
                <w:color w:val="006100"/>
                <w:highlight w:val="cyan"/>
                <w:lang w:val="en-GB"/>
              </w:rPr>
            </w:pPr>
            <w:r w:rsidRPr="001961AA">
              <w:rPr>
                <w:rFonts w:ascii="Times New Roman" w:hAnsi="Times New Roman"/>
                <w:noProof/>
                <w:color w:val="006100"/>
                <w:lang w:val="en-GB"/>
              </w:rPr>
              <w:t>Federal state (I-1.04): 4 500 m² of public buildings renovated, including 2 610 m² reducing on average at least 30% of primary energy consumption, as defined in Commission Recommendation (EU) 2019/786 on the renovation of buildings.</w:t>
            </w:r>
          </w:p>
          <w:p w14:paraId="5B60EFDA" w14:textId="2093AD01" w:rsidR="006A41D9" w:rsidRPr="001961AA" w:rsidRDefault="006A41D9" w:rsidP="00BD6DD1">
            <w:pPr>
              <w:spacing w:after="0"/>
              <w:rPr>
                <w:rFonts w:ascii="Times New Roman" w:eastAsia="Times New Roman" w:hAnsi="Times New Roman" w:cs="Times New Roman"/>
                <w:noProof/>
                <w:color w:val="006100"/>
                <w:highlight w:val="cyan"/>
                <w:lang w:val="en-GB" w:eastAsia="en-GB"/>
              </w:rPr>
            </w:pPr>
          </w:p>
        </w:tc>
      </w:tr>
      <w:tr w:rsidR="00292220" w:rsidRPr="009818D6" w14:paraId="567F8DCC" w14:textId="77777777" w:rsidTr="00022287">
        <w:trPr>
          <w:trHeight w:val="313"/>
        </w:trPr>
        <w:tc>
          <w:tcPr>
            <w:tcW w:w="714" w:type="dxa"/>
            <w:tcBorders>
              <w:top w:val="nil"/>
              <w:left w:val="single" w:sz="4" w:space="0" w:color="auto"/>
              <w:bottom w:val="single" w:sz="4" w:space="0" w:color="auto"/>
              <w:right w:val="single" w:sz="4" w:space="0" w:color="auto"/>
            </w:tcBorders>
            <w:shd w:val="clear" w:color="auto" w:fill="C6EFCE"/>
            <w:noWrap/>
            <w:vAlign w:val="center"/>
          </w:tcPr>
          <w:p w14:paraId="619E4C7E"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13</w:t>
            </w:r>
          </w:p>
        </w:tc>
        <w:tc>
          <w:tcPr>
            <w:tcW w:w="173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DDDFFD0" w14:textId="77777777" w:rsidR="00FC6E0A" w:rsidRPr="001961AA" w:rsidRDefault="006A41D9" w:rsidP="00BD6DD1">
            <w:pPr>
              <w:spacing w:after="0"/>
              <w:rPr>
                <w:rFonts w:ascii="Times New Roman" w:hAnsi="Times New Roman" w:cs="Times New Roman"/>
                <w:noProof/>
                <w:color w:val="006100"/>
                <w:lang w:val="en-GB"/>
              </w:rPr>
            </w:pPr>
            <w:r w:rsidRPr="001961AA">
              <w:rPr>
                <w:rFonts w:ascii="Times New Roman" w:hAnsi="Times New Roman"/>
                <w:noProof/>
                <w:color w:val="006100"/>
                <w:lang w:val="en-GB"/>
              </w:rPr>
              <w:t>Public building renovations</w:t>
            </w:r>
          </w:p>
          <w:p w14:paraId="10E974EA" w14:textId="5F5EF0B1"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(I-1B)</w:t>
            </w:r>
          </w:p>
        </w:tc>
        <w:tc>
          <w:tcPr>
            <w:tcW w:w="112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736E123" w14:textId="2A1ED641"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T</w:t>
            </w:r>
          </w:p>
        </w:tc>
        <w:tc>
          <w:tcPr>
            <w:tcW w:w="1672"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F67FB65"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Renovation of public buildings (step 2)</w:t>
            </w:r>
          </w:p>
        </w:tc>
        <w:tc>
          <w:tcPr>
            <w:tcW w:w="123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32418F4" w14:textId="77777777"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120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ADDF226"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m²</w:t>
            </w:r>
          </w:p>
        </w:tc>
        <w:tc>
          <w:tcPr>
            <w:tcW w:w="100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70EA30D" w14:textId="31B3B5CE" w:rsidR="006A41D9" w:rsidRPr="001961AA" w:rsidRDefault="000F4087"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4 500</w:t>
            </w:r>
          </w:p>
        </w:tc>
        <w:tc>
          <w:tcPr>
            <w:tcW w:w="128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791CD16" w14:textId="56527EFE"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256 690</w:t>
            </w:r>
          </w:p>
        </w:tc>
        <w:tc>
          <w:tcPr>
            <w:tcW w:w="96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F75BB02"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Q2</w:t>
            </w:r>
          </w:p>
        </w:tc>
        <w:tc>
          <w:tcPr>
            <w:tcW w:w="72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293F26D"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2025</w:t>
            </w:r>
          </w:p>
        </w:tc>
        <w:tc>
          <w:tcPr>
            <w:tcW w:w="441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0C80A00" w14:textId="6F46740C" w:rsidR="006A41D9" w:rsidRPr="001961AA" w:rsidRDefault="006A41D9" w:rsidP="009E4837">
            <w:pPr>
              <w:spacing w:after="12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Additional 252 190 m² of public buildings renovated, including 20 477 m² reducing on average at least 30% of primary energy consumption, as defined in Commission Recommendation (EU) 2019/786 on the renovation of buildings.</w:t>
            </w:r>
          </w:p>
          <w:p w14:paraId="6DDCB104" w14:textId="507BFDDF"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This target is indicatively broken down into the following sub-targets, which do not have to be reached individually provided that the above total levels of renovation are achieved:</w:t>
            </w:r>
          </w:p>
          <w:p w14:paraId="467FD51F" w14:textId="7CDEE71E" w:rsidR="006A41D9" w:rsidRPr="001961AA" w:rsidRDefault="00F94C63"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 xml:space="preserve">(i) </w:t>
            </w:r>
            <w:r w:rsidRPr="001961AA">
              <w:rPr>
                <w:rFonts w:ascii="Times New Roman" w:hAnsi="Times New Roman"/>
                <w:noProof/>
                <w:color w:val="006100"/>
                <w:u w:val="single"/>
                <w:lang w:val="en-GB"/>
              </w:rPr>
              <w:t>Federal state</w:t>
            </w:r>
            <w:r w:rsidRPr="001961AA">
              <w:rPr>
                <w:rFonts w:ascii="Times New Roman" w:hAnsi="Times New Roman"/>
                <w:noProof/>
                <w:color w:val="006100"/>
                <w:lang w:val="en-GB"/>
              </w:rPr>
              <w:t xml:space="preserve"> (I-1.04): 6 300 m² of which 3 654 m² shall reduce on average at least 30% of primary energy consumption, as defined in Commission Recommendation (EU) 2019/786 on the renovation of buildings.</w:t>
            </w:r>
          </w:p>
          <w:p w14:paraId="311FEB0B" w14:textId="5836B442" w:rsidR="006A41D9" w:rsidRPr="001961AA" w:rsidRDefault="00F94C63" w:rsidP="00BD6DD1">
            <w:pPr>
              <w:spacing w:after="0"/>
              <w:rPr>
                <w:rFonts w:ascii="Times New Roman" w:hAnsi="Times New Roman" w:cs="Times New Roman"/>
                <w:noProof/>
                <w:color w:val="006100"/>
                <w:lang w:val="en-GB"/>
              </w:rPr>
            </w:pPr>
            <w:r w:rsidRPr="001961AA">
              <w:rPr>
                <w:rFonts w:ascii="Times New Roman" w:hAnsi="Times New Roman"/>
                <w:noProof/>
                <w:color w:val="006100"/>
                <w:lang w:val="en-GB"/>
              </w:rPr>
              <w:t xml:space="preserve">(ii) </w:t>
            </w:r>
            <w:r w:rsidRPr="001961AA">
              <w:rPr>
                <w:rFonts w:ascii="Times New Roman" w:hAnsi="Times New Roman"/>
                <w:noProof/>
                <w:color w:val="006100"/>
                <w:u w:val="single"/>
                <w:lang w:val="en-GB"/>
              </w:rPr>
              <w:t>Flemish Region</w:t>
            </w:r>
            <w:r w:rsidRPr="001961AA">
              <w:rPr>
                <w:rFonts w:ascii="Times New Roman" w:hAnsi="Times New Roman"/>
                <w:noProof/>
                <w:color w:val="006100"/>
                <w:lang w:val="en-GB"/>
              </w:rPr>
              <w:t xml:space="preserve"> (I-1.05): 157 245 m².</w:t>
            </w:r>
          </w:p>
          <w:p w14:paraId="15CF12A6" w14:textId="24F31082" w:rsidR="00525C08" w:rsidRPr="001961AA" w:rsidRDefault="00F94C63"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 xml:space="preserve">(iii) </w:t>
            </w:r>
            <w:r w:rsidRPr="001961AA">
              <w:rPr>
                <w:rFonts w:ascii="Times New Roman" w:hAnsi="Times New Roman"/>
                <w:noProof/>
                <w:color w:val="006100"/>
                <w:u w:val="single"/>
                <w:lang w:val="en-GB"/>
              </w:rPr>
              <w:t>Walloon Region</w:t>
            </w:r>
            <w:r w:rsidRPr="001961AA">
              <w:rPr>
                <w:rFonts w:ascii="Times New Roman" w:hAnsi="Times New Roman"/>
                <w:noProof/>
                <w:color w:val="006100"/>
                <w:lang w:val="en-GB"/>
              </w:rPr>
              <w:t xml:space="preserve"> (I-1.07): 16 824 m².</w:t>
            </w:r>
          </w:p>
          <w:p w14:paraId="01D4A9B7" w14:textId="4876B9EF" w:rsidR="006A41D9" w:rsidRPr="001961AA" w:rsidRDefault="00F94C63"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 xml:space="preserve">(iv) </w:t>
            </w:r>
            <w:r w:rsidRPr="001961AA">
              <w:rPr>
                <w:rFonts w:ascii="Times New Roman" w:hAnsi="Times New Roman"/>
                <w:noProof/>
                <w:color w:val="006100"/>
                <w:u w:val="single"/>
                <w:lang w:val="en-GB"/>
              </w:rPr>
              <w:t>French Community</w:t>
            </w:r>
            <w:r w:rsidRPr="001961AA">
              <w:rPr>
                <w:rFonts w:ascii="Times New Roman" w:hAnsi="Times New Roman"/>
                <w:noProof/>
                <w:color w:val="006100"/>
                <w:lang w:val="en-GB"/>
              </w:rPr>
              <w:t xml:space="preserve"> (I-1.09, I-1.10, I-1.11, I-1.12): 71 821 m² of which 16 823 m² shall reduce on average at least 30% of primary energy consumption, as defined in Commission Recommendation (EU) 2019/786 on the renovation of buildings.</w:t>
            </w:r>
          </w:p>
        </w:tc>
      </w:tr>
      <w:tr w:rsidR="00292220" w:rsidRPr="009818D6" w14:paraId="53555842" w14:textId="77777777" w:rsidTr="00022287">
        <w:trPr>
          <w:trHeight w:val="313"/>
        </w:trPr>
        <w:tc>
          <w:tcPr>
            <w:tcW w:w="71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66FAD6A"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14</w:t>
            </w:r>
          </w:p>
        </w:tc>
        <w:tc>
          <w:tcPr>
            <w:tcW w:w="173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1FFF967" w14:textId="77777777" w:rsidR="00FC6E0A" w:rsidRPr="001961AA" w:rsidRDefault="006A41D9" w:rsidP="00BD6DD1">
            <w:pPr>
              <w:spacing w:after="0"/>
              <w:rPr>
                <w:rFonts w:ascii="Times New Roman" w:hAnsi="Times New Roman" w:cs="Times New Roman"/>
                <w:noProof/>
                <w:color w:val="006100"/>
                <w:lang w:val="en-GB"/>
              </w:rPr>
            </w:pPr>
            <w:r w:rsidRPr="001961AA">
              <w:rPr>
                <w:rFonts w:ascii="Times New Roman" w:hAnsi="Times New Roman"/>
                <w:noProof/>
                <w:color w:val="006100"/>
                <w:lang w:val="en-GB"/>
              </w:rPr>
              <w:t>Public building renovations</w:t>
            </w:r>
          </w:p>
          <w:p w14:paraId="355CB857" w14:textId="0DC7E1C4"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(I-1B)</w:t>
            </w:r>
          </w:p>
        </w:tc>
        <w:tc>
          <w:tcPr>
            <w:tcW w:w="112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118ACC2" w14:textId="5C80DD42"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T</w:t>
            </w:r>
          </w:p>
        </w:tc>
        <w:tc>
          <w:tcPr>
            <w:tcW w:w="1672"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AA86F6E"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Renovation of public buildings (step 3)</w:t>
            </w:r>
          </w:p>
        </w:tc>
        <w:tc>
          <w:tcPr>
            <w:tcW w:w="123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AC7D0CF" w14:textId="77777777"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120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EA28D16"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m²</w:t>
            </w:r>
          </w:p>
        </w:tc>
        <w:tc>
          <w:tcPr>
            <w:tcW w:w="100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D0B5071" w14:textId="482CCACF"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256 690</w:t>
            </w:r>
          </w:p>
        </w:tc>
        <w:tc>
          <w:tcPr>
            <w:tcW w:w="128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619FBE2" w14:textId="796D4049"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694 470</w:t>
            </w:r>
          </w:p>
        </w:tc>
        <w:tc>
          <w:tcPr>
            <w:tcW w:w="96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DE0D842"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Q2</w:t>
            </w:r>
          </w:p>
        </w:tc>
        <w:tc>
          <w:tcPr>
            <w:tcW w:w="72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5D51692"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2026</w:t>
            </w:r>
          </w:p>
        </w:tc>
        <w:tc>
          <w:tcPr>
            <w:tcW w:w="441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ACFBA86" w14:textId="0E55665C" w:rsidR="006A41D9" w:rsidRPr="001961AA" w:rsidRDefault="006A41D9" w:rsidP="009E4837">
            <w:pPr>
              <w:spacing w:after="12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Additional 437 780 m² of public buildings renovated, including 163 006 m² reducing on average at least 30% of primary energy consumption, as defined in Commission Recommendation (EU) 2019/786 on the renovation of buildings, and the construction of 126 212 m² of new buildings achieving a Primary Energy Demand (PED) that is at least 20% lower than the NZEB requirement (nearly zero-energy building).</w:t>
            </w:r>
          </w:p>
          <w:p w14:paraId="6AAD8474" w14:textId="430567E0" w:rsidR="006A41D9" w:rsidRPr="001961AA" w:rsidRDefault="006A41D9" w:rsidP="00BD6DD1">
            <w:pPr>
              <w:spacing w:after="0"/>
              <w:rPr>
                <w:rFonts w:ascii="Times New Roman" w:hAnsi="Times New Roman" w:cs="Times New Roman"/>
                <w:noProof/>
                <w:color w:val="006100"/>
                <w:lang w:val="en-GB"/>
              </w:rPr>
            </w:pPr>
            <w:r w:rsidRPr="001961AA">
              <w:rPr>
                <w:rFonts w:ascii="Times New Roman" w:hAnsi="Times New Roman"/>
                <w:noProof/>
                <w:color w:val="006100"/>
                <w:lang w:val="en-GB"/>
              </w:rPr>
              <w:t>This target is indicatively broken down into the following sub-targets, which do not have to be reached individually provided that the above total levels of renovation are achieved:</w:t>
            </w:r>
          </w:p>
          <w:p w14:paraId="1DBF4782" w14:textId="52877FE3" w:rsidR="006A41D9" w:rsidRPr="001961AA" w:rsidRDefault="003B67DA" w:rsidP="00BD6DD1">
            <w:pPr>
              <w:spacing w:after="0"/>
              <w:rPr>
                <w:rFonts w:ascii="Times New Roman" w:hAnsi="Times New Roman" w:cs="Times New Roman"/>
                <w:noProof/>
                <w:color w:val="006100"/>
                <w:lang w:val="en-GB"/>
              </w:rPr>
            </w:pPr>
            <w:r w:rsidRPr="001961AA">
              <w:rPr>
                <w:rFonts w:ascii="Times New Roman" w:hAnsi="Times New Roman"/>
                <w:noProof/>
                <w:color w:val="006100"/>
                <w:lang w:val="en-GB"/>
              </w:rPr>
              <w:t xml:space="preserve">(i) </w:t>
            </w:r>
            <w:r w:rsidRPr="001961AA">
              <w:rPr>
                <w:rFonts w:ascii="Times New Roman" w:hAnsi="Times New Roman"/>
                <w:noProof/>
                <w:color w:val="006100"/>
                <w:u w:val="single"/>
                <w:lang w:val="en-GB"/>
              </w:rPr>
              <w:t>Flemish Region</w:t>
            </w:r>
            <w:r w:rsidRPr="001961AA">
              <w:rPr>
                <w:rFonts w:ascii="Times New Roman" w:hAnsi="Times New Roman"/>
                <w:noProof/>
                <w:color w:val="006100"/>
                <w:lang w:val="en-GB"/>
              </w:rPr>
              <w:t xml:space="preserve"> (I-1.05): 78 040 m².</w:t>
            </w:r>
          </w:p>
          <w:p w14:paraId="4E27193F" w14:textId="0657D01E" w:rsidR="006A41D9" w:rsidRPr="001961AA" w:rsidRDefault="003B67DA" w:rsidP="00BD6DD1">
            <w:pPr>
              <w:spacing w:after="0"/>
              <w:rPr>
                <w:rFonts w:ascii="Times New Roman" w:hAnsi="Times New Roman" w:cs="Times New Roman"/>
                <w:noProof/>
                <w:color w:val="006100"/>
                <w:lang w:val="en-GB"/>
              </w:rPr>
            </w:pPr>
            <w:r w:rsidRPr="001961AA">
              <w:rPr>
                <w:rFonts w:ascii="Times New Roman" w:hAnsi="Times New Roman"/>
                <w:noProof/>
                <w:color w:val="006100"/>
                <w:lang w:val="en-GB"/>
              </w:rPr>
              <w:t xml:space="preserve">(ii) </w:t>
            </w:r>
            <w:r w:rsidRPr="001961AA">
              <w:rPr>
                <w:rFonts w:ascii="Times New Roman" w:hAnsi="Times New Roman"/>
                <w:noProof/>
                <w:color w:val="006100"/>
                <w:u w:val="single"/>
                <w:lang w:val="en-GB"/>
              </w:rPr>
              <w:t>Walloon Region</w:t>
            </w:r>
            <w:r w:rsidRPr="001961AA">
              <w:rPr>
                <w:rFonts w:ascii="Times New Roman" w:hAnsi="Times New Roman"/>
                <w:noProof/>
                <w:color w:val="006100"/>
                <w:lang w:val="en-GB"/>
              </w:rPr>
              <w:t xml:space="preserve"> (I-1.07): 170 282 m² of which 102 984 m² shall reduce primary energy consumption on average by at least 30% , as defined in Commission Recommendation (EU) 2019/786 on the renovation of buildings.</w:t>
            </w:r>
          </w:p>
          <w:p w14:paraId="4D00699E" w14:textId="50725398" w:rsidR="006A41D9" w:rsidRPr="001961AA" w:rsidRDefault="003B67DA" w:rsidP="00BD6DD1">
            <w:pPr>
              <w:spacing w:after="0"/>
              <w:rPr>
                <w:rFonts w:ascii="Times New Roman" w:hAnsi="Times New Roman" w:cs="Times New Roman"/>
                <w:noProof/>
                <w:color w:val="006100"/>
                <w:lang w:val="en-GB"/>
              </w:rPr>
            </w:pPr>
            <w:r w:rsidRPr="001961AA">
              <w:rPr>
                <w:rFonts w:ascii="Times New Roman" w:hAnsi="Times New Roman"/>
                <w:noProof/>
                <w:color w:val="006100"/>
                <w:lang w:val="en-GB"/>
              </w:rPr>
              <w:t xml:space="preserve">(iii) </w:t>
            </w:r>
            <w:r w:rsidRPr="001961AA">
              <w:rPr>
                <w:rFonts w:ascii="Times New Roman" w:hAnsi="Times New Roman"/>
                <w:noProof/>
                <w:color w:val="006100"/>
                <w:u w:val="single"/>
                <w:lang w:val="en-GB"/>
              </w:rPr>
              <w:t>Brussels-Capital Region</w:t>
            </w:r>
            <w:r w:rsidRPr="001961AA">
              <w:rPr>
                <w:rFonts w:ascii="Times New Roman" w:hAnsi="Times New Roman"/>
                <w:noProof/>
                <w:color w:val="006100"/>
                <w:lang w:val="en-GB"/>
              </w:rPr>
              <w:t xml:space="preserve"> (I-1.08): 27 724 m² shall reduce on average at least 30% of primary energy consumption, as defined in Commission Recommendation (EU) 2019/786 on the renovation of buildings.</w:t>
            </w:r>
          </w:p>
          <w:p w14:paraId="739FC4FF" w14:textId="73C8C588" w:rsidR="006A41D9" w:rsidRPr="001961AA" w:rsidRDefault="003B67DA"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 xml:space="preserve">(iv) </w:t>
            </w:r>
            <w:r w:rsidRPr="001961AA">
              <w:rPr>
                <w:rFonts w:ascii="Times New Roman" w:hAnsi="Times New Roman"/>
                <w:noProof/>
                <w:color w:val="006100"/>
                <w:u w:val="single"/>
                <w:lang w:val="en-GB"/>
              </w:rPr>
              <w:t>French Community</w:t>
            </w:r>
            <w:r w:rsidRPr="001961AA">
              <w:rPr>
                <w:rFonts w:ascii="Times New Roman" w:hAnsi="Times New Roman"/>
                <w:noProof/>
                <w:color w:val="006100"/>
                <w:lang w:val="en-GB"/>
              </w:rPr>
              <w:t xml:space="preserve"> (I-1.09, I-1.10, I-1.11, I-1.12): 161 734 m² of which 32 298 m² shall reduce on average at least 30% of primary energy consumption, as defined in Commission Recommendation (EU) 2019/786 on the renovation of buildings. The construction of 126 212 m² of new buildings shall achieve a Primary Energy Demand (PED) that is at least 20% lower than the NZEB requirement (nearly zero-energy building).</w:t>
            </w:r>
          </w:p>
        </w:tc>
      </w:tr>
    </w:tbl>
    <w:p w14:paraId="0C27ABEE" w14:textId="77777777" w:rsidR="006A41D9" w:rsidRPr="001961AA" w:rsidRDefault="006A41D9" w:rsidP="00BD6DD1">
      <w:pPr>
        <w:ind w:left="709"/>
        <w:rPr>
          <w:rFonts w:ascii="Times New Roman" w:hAnsi="Times New Roman" w:cs="Times New Roman"/>
          <w:noProof/>
          <w:lang w:val="en-GB"/>
        </w:rPr>
        <w:sectPr w:rsidR="006A41D9" w:rsidRPr="001961AA" w:rsidSect="007F56C3">
          <w:headerReference w:type="even" r:id="rId24"/>
          <w:headerReference w:type="default" r:id="rId25"/>
          <w:footerReference w:type="even" r:id="rId26"/>
          <w:footerReference w:type="default" r:id="rId27"/>
          <w:headerReference w:type="first" r:id="rId28"/>
          <w:footerReference w:type="first" r:id="rId29"/>
          <w:pgSz w:w="16839" w:h="11907" w:orient="landscape"/>
          <w:pgMar w:top="1134" w:right="1134" w:bottom="1134" w:left="1134" w:header="567" w:footer="567" w:gutter="0"/>
          <w:cols w:space="720"/>
          <w:docGrid w:linePitch="360"/>
        </w:sectPr>
      </w:pPr>
    </w:p>
    <w:p w14:paraId="68FB75AB" w14:textId="0D91B86C" w:rsidR="006A41D9" w:rsidRPr="001961AA" w:rsidRDefault="006A41D9" w:rsidP="00B34BB0">
      <w:pPr>
        <w:pStyle w:val="ManualHeading1"/>
        <w:spacing w:before="120"/>
        <w:ind w:left="0" w:firstLine="0"/>
        <w:rPr>
          <w:noProof/>
          <w:szCs w:val="24"/>
          <w:lang w:val="en-GB"/>
        </w:rPr>
      </w:pPr>
      <w:r w:rsidRPr="001961AA">
        <w:rPr>
          <w:noProof/>
          <w:lang w:val="en-GB"/>
        </w:rPr>
        <w:t>B. COMPONENT 1.2: Emerging energy technologies</w:t>
      </w:r>
    </w:p>
    <w:p w14:paraId="11DE0168" w14:textId="77777777" w:rsidR="006A41D9" w:rsidRPr="001961AA" w:rsidRDefault="006A41D9" w:rsidP="004A286D">
      <w:pPr>
        <w:spacing w:before="120" w:after="120" w:line="240" w:lineRule="auto"/>
        <w:jc w:val="both"/>
        <w:rPr>
          <w:rFonts w:ascii="Times New Roman" w:hAnsi="Times New Roman" w:cs="Times New Roman"/>
          <w:noProof/>
          <w:sz w:val="24"/>
          <w:szCs w:val="24"/>
          <w:lang w:val="en-GB"/>
        </w:rPr>
      </w:pPr>
      <w:r w:rsidRPr="001961AA">
        <w:rPr>
          <w:rFonts w:ascii="Times New Roman" w:hAnsi="Times New Roman"/>
          <w:noProof/>
          <w:sz w:val="24"/>
          <w:lang w:val="en-GB"/>
        </w:rPr>
        <w:t>This component of the Belgian recovery and resilience plan aims at providing a strong impetus to technological developments to support the energy transition to further reduce CO</w:t>
      </w:r>
      <w:r w:rsidRPr="001961AA">
        <w:rPr>
          <w:rFonts w:ascii="Times New Roman" w:hAnsi="Times New Roman"/>
          <w:noProof/>
          <w:sz w:val="24"/>
          <w:vertAlign w:val="subscript"/>
          <w:lang w:val="en-GB"/>
        </w:rPr>
        <w:t>2</w:t>
      </w:r>
      <w:r w:rsidRPr="001961AA">
        <w:rPr>
          <w:rFonts w:ascii="Times New Roman" w:hAnsi="Times New Roman"/>
          <w:noProof/>
          <w:sz w:val="24"/>
          <w:lang w:val="en-GB"/>
        </w:rPr>
        <w:t xml:space="preserve"> emissions, with emphasis on system integration and industrial decarbonisation.</w:t>
      </w:r>
    </w:p>
    <w:p w14:paraId="0CE8B5EC" w14:textId="77777777" w:rsidR="006A41D9" w:rsidRPr="001961AA" w:rsidRDefault="006A41D9" w:rsidP="004A286D">
      <w:pPr>
        <w:spacing w:before="120" w:after="120" w:line="240" w:lineRule="auto"/>
        <w:jc w:val="both"/>
        <w:rPr>
          <w:rFonts w:ascii="Times New Roman" w:hAnsi="Times New Roman" w:cs="Times New Roman"/>
          <w:noProof/>
          <w:sz w:val="24"/>
          <w:szCs w:val="24"/>
          <w:lang w:val="en-GB"/>
        </w:rPr>
      </w:pPr>
      <w:r w:rsidRPr="001961AA">
        <w:rPr>
          <w:rFonts w:ascii="Times New Roman" w:hAnsi="Times New Roman"/>
          <w:noProof/>
          <w:sz w:val="24"/>
          <w:lang w:val="en-GB"/>
        </w:rPr>
        <w:t xml:space="preserve">The component contributes to addressing Country Specific Recommendation 2019.3, calling on Belgium to focus investment-related economic policy on, </w:t>
      </w:r>
      <w:r w:rsidRPr="001961AA">
        <w:rPr>
          <w:rFonts w:ascii="Times New Roman" w:hAnsi="Times New Roman"/>
          <w:i/>
          <w:noProof/>
          <w:sz w:val="24"/>
          <w:lang w:val="en-GB"/>
        </w:rPr>
        <w:t>inter alia</w:t>
      </w:r>
      <w:r w:rsidRPr="001961AA">
        <w:rPr>
          <w:rFonts w:ascii="Times New Roman" w:hAnsi="Times New Roman"/>
          <w:noProof/>
          <w:sz w:val="24"/>
          <w:lang w:val="en-GB"/>
        </w:rPr>
        <w:t>, the low carbon and energy transition, and research and innovation, as well as Country Specific Recommendation 2020.3 to front-load mature public investment projects.</w:t>
      </w:r>
    </w:p>
    <w:p w14:paraId="5697C89E" w14:textId="77777777" w:rsidR="006A41D9" w:rsidRPr="001961AA" w:rsidRDefault="006A41D9" w:rsidP="004A286D">
      <w:pPr>
        <w:spacing w:before="120" w:after="120" w:line="240" w:lineRule="auto"/>
        <w:jc w:val="both"/>
        <w:rPr>
          <w:rFonts w:ascii="Times New Roman" w:hAnsi="Times New Roman" w:cs="Times New Roman"/>
          <w:noProof/>
          <w:sz w:val="24"/>
          <w:szCs w:val="24"/>
          <w:lang w:val="en-GB"/>
        </w:rPr>
      </w:pPr>
      <w:r w:rsidRPr="001961AA">
        <w:rPr>
          <w:rFonts w:ascii="Times New Roman" w:hAnsi="Times New Roman"/>
          <w:noProof/>
          <w:sz w:val="24"/>
          <w:lang w:val="en-GB"/>
        </w:rPr>
        <w:t>It is expected that no measure in this component does significant harm to environmental objectives within the meaning of Article 17 of Regulation (EU) 2020/852, taking into account the description of the measures and the mitigating steps set out in the recovery and resilience plan in accordance with the DNSH Technical Guidance (2021/C58/01).</w:t>
      </w:r>
    </w:p>
    <w:p w14:paraId="17F843D8" w14:textId="77777777" w:rsidR="006A41D9" w:rsidRPr="001961AA" w:rsidRDefault="006A41D9" w:rsidP="00BD6DD1">
      <w:pPr>
        <w:pStyle w:val="Text1"/>
        <w:ind w:left="0"/>
        <w:rPr>
          <w:b/>
          <w:i/>
          <w:noProof/>
          <w:szCs w:val="24"/>
          <w:lang w:val="en-GB"/>
        </w:rPr>
      </w:pPr>
      <w:r w:rsidRPr="001961AA">
        <w:rPr>
          <w:b/>
          <w:noProof/>
          <w:u w:val="single"/>
          <w:lang w:val="en-GB"/>
        </w:rPr>
        <w:t xml:space="preserve">B.1. </w:t>
      </w:r>
      <w:r w:rsidRPr="001961AA">
        <w:rPr>
          <w:noProof/>
          <w:lang w:val="en-GB"/>
        </w:rPr>
        <w:tab/>
      </w:r>
      <w:r w:rsidRPr="001961AA">
        <w:rPr>
          <w:b/>
          <w:noProof/>
          <w:u w:val="single"/>
          <w:lang w:val="en-GB"/>
        </w:rPr>
        <w:t>Description of the reforms and investments for non-repayable financial support</w:t>
      </w:r>
    </w:p>
    <w:p w14:paraId="2A4F8545" w14:textId="1B1D0F86" w:rsidR="006A41D9" w:rsidRPr="001961AA" w:rsidRDefault="006A41D9" w:rsidP="00BD6DD1">
      <w:pPr>
        <w:pStyle w:val="Text1"/>
        <w:ind w:left="0"/>
        <w:rPr>
          <w:noProof/>
          <w:u w:val="single"/>
          <w:lang w:val="en-GB"/>
        </w:rPr>
      </w:pPr>
      <w:r w:rsidRPr="001961AA">
        <w:rPr>
          <w:noProof/>
          <w:u w:val="single"/>
          <w:lang w:val="en-GB"/>
        </w:rPr>
        <w:t>Reform R-1.04: ‘Regulatory framework for the H</w:t>
      </w:r>
      <w:r w:rsidRPr="001961AA">
        <w:rPr>
          <w:noProof/>
          <w:u w:val="single"/>
          <w:vertAlign w:val="subscript"/>
          <w:lang w:val="en-GB"/>
        </w:rPr>
        <w:t>2</w:t>
      </w:r>
      <w:r w:rsidRPr="001961AA">
        <w:rPr>
          <w:noProof/>
          <w:u w:val="single"/>
          <w:lang w:val="en-GB"/>
        </w:rPr>
        <w:t xml:space="preserve"> market’</w:t>
      </w:r>
    </w:p>
    <w:p w14:paraId="092EF78E" w14:textId="196D36ED" w:rsidR="006A41D9" w:rsidRPr="001961AA" w:rsidRDefault="2DF8951B" w:rsidP="00BD6DD1">
      <w:pPr>
        <w:pStyle w:val="Text1"/>
        <w:ind w:left="0"/>
        <w:rPr>
          <w:noProof/>
          <w:lang w:val="en-GB"/>
        </w:rPr>
      </w:pPr>
      <w:r w:rsidRPr="001961AA">
        <w:rPr>
          <w:noProof/>
          <w:lang w:val="en-GB"/>
        </w:rPr>
        <w:t>The reform consists of the necessary steps to allow for legislative revisions aimed at establishing a more detailed regulatory framework for the functioning of the H</w:t>
      </w:r>
      <w:r w:rsidRPr="001961AA">
        <w:rPr>
          <w:noProof/>
          <w:vertAlign w:val="subscript"/>
          <w:lang w:val="en-GB"/>
        </w:rPr>
        <w:t>2</w:t>
      </w:r>
      <w:r w:rsidRPr="001961AA">
        <w:rPr>
          <w:noProof/>
          <w:lang w:val="en-GB"/>
        </w:rPr>
        <w:t xml:space="preserve"> market, covering topics such as supervision, non-discriminatory access to transport networks and setting of network access charges. For the transport of H</w:t>
      </w:r>
      <w:r w:rsidRPr="001961AA">
        <w:rPr>
          <w:noProof/>
          <w:vertAlign w:val="subscript"/>
          <w:lang w:val="en-GB"/>
        </w:rPr>
        <w:t>2</w:t>
      </w:r>
      <w:r w:rsidRPr="001961AA">
        <w:rPr>
          <w:noProof/>
          <w:lang w:val="en-GB"/>
        </w:rPr>
        <w:t>, the new legal provisions adopted by the government(s) shall enter into force by 1 January 2024.</w:t>
      </w:r>
    </w:p>
    <w:p w14:paraId="69DBC4F8" w14:textId="44E94D83" w:rsidR="006A41D9" w:rsidRPr="001961AA" w:rsidRDefault="006A41D9" w:rsidP="00BD6DD1">
      <w:pPr>
        <w:pStyle w:val="Text1"/>
        <w:ind w:left="0"/>
        <w:rPr>
          <w:noProof/>
          <w:u w:val="single"/>
          <w:lang w:val="en-GB"/>
        </w:rPr>
      </w:pPr>
      <w:r w:rsidRPr="001961AA">
        <w:rPr>
          <w:noProof/>
          <w:u w:val="single"/>
          <w:lang w:val="en-GB"/>
        </w:rPr>
        <w:t>Reform R-1.05: ‘Regulatory framework for the CO2 market in Flanders’ of the Flemish Region</w:t>
      </w:r>
    </w:p>
    <w:p w14:paraId="076C9FAF" w14:textId="41F0B221" w:rsidR="006A41D9" w:rsidRPr="001961AA" w:rsidRDefault="006A41D9" w:rsidP="00BD6DD1">
      <w:pPr>
        <w:pStyle w:val="Text1"/>
        <w:ind w:left="0"/>
        <w:rPr>
          <w:rFonts w:eastAsia="Times New Roman"/>
          <w:noProof/>
          <w:color w:val="000000" w:themeColor="text1"/>
          <w:lang w:val="en-GB"/>
        </w:rPr>
      </w:pPr>
      <w:r w:rsidRPr="001961AA">
        <w:rPr>
          <w:noProof/>
          <w:lang w:val="en-GB"/>
        </w:rPr>
        <w:t>The reform consists of the necessary steps to allow for legislative revisions aimed at establishing a more detailed regulatory framework for the functioning of CO</w:t>
      </w:r>
      <w:r w:rsidRPr="001961AA">
        <w:rPr>
          <w:noProof/>
          <w:vertAlign w:val="subscript"/>
          <w:lang w:val="en-GB"/>
        </w:rPr>
        <w:t>2</w:t>
      </w:r>
      <w:r w:rsidRPr="001961AA">
        <w:rPr>
          <w:noProof/>
          <w:lang w:val="en-GB"/>
        </w:rPr>
        <w:t xml:space="preserve"> markets, covering topics such as supervision, non-discriminatory access to transport networks and setting of network access charges. </w:t>
      </w:r>
      <w:r w:rsidRPr="001961AA">
        <w:rPr>
          <w:noProof/>
          <w:color w:val="000000" w:themeColor="text1"/>
          <w:lang w:val="en-GB"/>
        </w:rPr>
        <w:t>The new legal provisions adopted by the government of the Flemish Region shall enter into force by 1 January 2024.</w:t>
      </w:r>
    </w:p>
    <w:p w14:paraId="0BE13911" w14:textId="454F7F85" w:rsidR="0085068A" w:rsidRPr="001961AA" w:rsidRDefault="0085068A" w:rsidP="0085068A">
      <w:pPr>
        <w:pStyle w:val="Text1"/>
        <w:ind w:left="0"/>
        <w:rPr>
          <w:noProof/>
          <w:u w:val="single"/>
          <w:lang w:val="en-GB"/>
        </w:rPr>
      </w:pPr>
      <w:r w:rsidRPr="001961AA">
        <w:rPr>
          <w:noProof/>
          <w:u w:val="single"/>
          <w:lang w:val="en-GB"/>
        </w:rPr>
        <w:t>Reform R-1.06: ‘Regulatory framework for the CO2 market in Wallonia’ of the Walloon Region</w:t>
      </w:r>
    </w:p>
    <w:p w14:paraId="09ABEE4A" w14:textId="5DC06573" w:rsidR="006A41D9" w:rsidRPr="001961AA" w:rsidRDefault="0085068A" w:rsidP="00BD6DD1">
      <w:pPr>
        <w:pStyle w:val="Text1"/>
        <w:ind w:left="0"/>
        <w:rPr>
          <w:noProof/>
          <w:lang w:val="en-GB"/>
        </w:rPr>
      </w:pPr>
      <w:r w:rsidRPr="001961AA">
        <w:rPr>
          <w:noProof/>
          <w:lang w:val="en-GB"/>
        </w:rPr>
        <w:t>The reform consists of the necessary steps to allow for legislative revisions aimed at establishing a more detailed regulatory framework for the functioning of CO</w:t>
      </w:r>
      <w:r w:rsidRPr="001961AA">
        <w:rPr>
          <w:noProof/>
          <w:vertAlign w:val="subscript"/>
          <w:lang w:val="en-GB"/>
        </w:rPr>
        <w:t>2</w:t>
      </w:r>
      <w:r w:rsidRPr="001961AA">
        <w:rPr>
          <w:noProof/>
          <w:lang w:val="en-GB"/>
        </w:rPr>
        <w:t xml:space="preserve"> markets, covering topics such as supervision, non-discriminatory access to transport networks and setting of network access charges. </w:t>
      </w:r>
      <w:r w:rsidRPr="001961AA">
        <w:rPr>
          <w:noProof/>
          <w:color w:val="000000" w:themeColor="text1"/>
          <w:lang w:val="en-GB"/>
        </w:rPr>
        <w:t>The new legal provisions adopted by the government of the Walloon Region shall enter into force by 1 January 2024.</w:t>
      </w:r>
    </w:p>
    <w:p w14:paraId="23E14C33" w14:textId="77777777" w:rsidR="006A41D9" w:rsidRPr="001961AA" w:rsidRDefault="006A41D9" w:rsidP="00BD6DD1">
      <w:pPr>
        <w:pStyle w:val="Text1"/>
        <w:ind w:left="0"/>
        <w:rPr>
          <w:noProof/>
          <w:lang w:val="en-GB"/>
        </w:rPr>
      </w:pPr>
      <w:r w:rsidRPr="001961AA">
        <w:rPr>
          <w:noProof/>
          <w:lang w:val="en-GB"/>
        </w:rPr>
        <w:t>The following three measures, at Federal, Flemish and Walloon level focus on ‘An industrial value chain for hydrogen transition’.</w:t>
      </w:r>
    </w:p>
    <w:p w14:paraId="153506AA" w14:textId="15DBDE7F" w:rsidR="006A41D9" w:rsidRPr="001961AA" w:rsidRDefault="006A41D9" w:rsidP="00BD6DD1">
      <w:pPr>
        <w:pStyle w:val="Text1"/>
        <w:ind w:left="0"/>
        <w:rPr>
          <w:noProof/>
          <w:szCs w:val="24"/>
          <w:u w:val="single"/>
          <w:lang w:val="en-GB"/>
        </w:rPr>
      </w:pPr>
      <w:r w:rsidRPr="001961AA">
        <w:rPr>
          <w:noProof/>
          <w:u w:val="single"/>
          <w:lang w:val="en-GB"/>
        </w:rPr>
        <w:t>Investment I-1.15: ‘An industrial value chain for hydrogen transition’ of the Federal State</w:t>
      </w:r>
    </w:p>
    <w:p w14:paraId="2E4D5BD6" w14:textId="7D447FA8" w:rsidR="006A41D9" w:rsidRPr="001961AA" w:rsidRDefault="006A41D9" w:rsidP="00BD6DD1">
      <w:pPr>
        <w:pStyle w:val="Text1"/>
        <w:ind w:left="0"/>
        <w:rPr>
          <w:noProof/>
          <w:lang w:val="en-GB"/>
        </w:rPr>
      </w:pPr>
      <w:r w:rsidRPr="001961AA">
        <w:rPr>
          <w:noProof/>
          <w:lang w:val="en-GB"/>
        </w:rPr>
        <w:t>The federal measure shall promote various demonstration projects related to the production and use of hydrogen under the competence of the federal government. The aim is to stimulate innovative projects with high potential to accelerate the energy transition, so that they reach maturity and scale up for commercial use. The projects shall be selected via a call for projects, which shall cover demonstration plants for green and low-carbon hydrogen production as well as the use of hydrogen, for instance in vessels, insofar as the projects fall under the competence of the federal government. As regards demonstration plants for green and low carbon hydrogen production, the call shall be open for all technologies with zero process emissions, such as electrolysis powered by renewable electricity or methane pyrolysis. The RRF shall support part of the costs of this investment. This investment may also receive support from other Union programmes or instruments for costs that are not supported by the RRF.</w:t>
      </w:r>
    </w:p>
    <w:p w14:paraId="0D9ED779" w14:textId="77777777" w:rsidR="000D0DAC" w:rsidRPr="001961AA" w:rsidRDefault="000D0DAC" w:rsidP="00BD6DD1">
      <w:pPr>
        <w:pStyle w:val="Text1"/>
        <w:ind w:left="0"/>
        <w:rPr>
          <w:noProof/>
          <w:lang w:val="en-GB"/>
        </w:rPr>
      </w:pPr>
    </w:p>
    <w:p w14:paraId="68C8DD6F" w14:textId="2EF3650F" w:rsidR="006A41D9" w:rsidRPr="001961AA" w:rsidRDefault="006A41D9" w:rsidP="00BD6DD1">
      <w:pPr>
        <w:pStyle w:val="Text1"/>
        <w:ind w:left="0"/>
        <w:rPr>
          <w:noProof/>
          <w:szCs w:val="24"/>
          <w:u w:val="single"/>
          <w:lang w:val="en-GB"/>
        </w:rPr>
      </w:pPr>
      <w:r w:rsidRPr="001961AA">
        <w:rPr>
          <w:noProof/>
          <w:u w:val="single"/>
          <w:lang w:val="en-GB"/>
        </w:rPr>
        <w:t>Investment I-1.16: ‘An industrial value chain for hydrogen transition’ of the Flemish Region</w:t>
      </w:r>
    </w:p>
    <w:p w14:paraId="7CE3CA1B" w14:textId="77777777" w:rsidR="006A41D9" w:rsidRPr="001961AA" w:rsidRDefault="006A41D9" w:rsidP="00BD6DD1">
      <w:pPr>
        <w:pStyle w:val="Text1"/>
        <w:ind w:left="0"/>
        <w:rPr>
          <w:noProof/>
          <w:szCs w:val="24"/>
          <w:lang w:val="en-GB"/>
        </w:rPr>
      </w:pPr>
      <w:r w:rsidRPr="001961AA">
        <w:rPr>
          <w:noProof/>
          <w:lang w:val="en-GB"/>
        </w:rPr>
        <w:t>This measure aims at supporting the transition to a sustainable hydrogen industry in Flanders through investment and project financing. In large part, the funding shall support a portfolio of projects which, like the planned wider cross-border Important Project of Common European interest (IPCEI)</w:t>
      </w:r>
      <w:r w:rsidRPr="001961AA">
        <w:rPr>
          <w:rStyle w:val="FootnoteReference"/>
          <w:noProof/>
          <w:szCs w:val="24"/>
          <w:lang w:val="en-GB"/>
        </w:rPr>
        <w:footnoteReference w:id="2"/>
      </w:r>
      <w:r w:rsidRPr="001961AA">
        <w:rPr>
          <w:noProof/>
          <w:lang w:val="en-GB"/>
        </w:rPr>
        <w:t xml:space="preserve"> project, of which it shall form an integral part, aims at developing an industrial value chain towards hydrogen production, transport, storage and related applications. Outside the IPCEI portfolio, additional projects with a focus on hydrogen are also included, mostly both in the field of research and development and investment projects.</w:t>
      </w:r>
    </w:p>
    <w:p w14:paraId="49CD6565" w14:textId="4A78CFC2" w:rsidR="006A41D9" w:rsidRPr="001961AA" w:rsidRDefault="006A41D9" w:rsidP="00BD6DD1">
      <w:pPr>
        <w:pStyle w:val="Text1"/>
        <w:ind w:left="0"/>
        <w:rPr>
          <w:noProof/>
          <w:szCs w:val="24"/>
          <w:u w:val="single"/>
          <w:lang w:val="en-GB"/>
        </w:rPr>
      </w:pPr>
      <w:r w:rsidRPr="001961AA">
        <w:rPr>
          <w:noProof/>
          <w:u w:val="single"/>
          <w:lang w:val="en-GB"/>
        </w:rPr>
        <w:t>Investment I-1.17: ‘An industrial value chain for hydrogen transition’ of the Walloon Region</w:t>
      </w:r>
    </w:p>
    <w:p w14:paraId="67B7A9A2" w14:textId="799F1BB2" w:rsidR="006A41D9" w:rsidRPr="001961AA" w:rsidRDefault="006A41D9" w:rsidP="00BD6DD1">
      <w:pPr>
        <w:pStyle w:val="Text1"/>
        <w:ind w:left="0"/>
        <w:rPr>
          <w:noProof/>
          <w:lang w:val="en-GB"/>
        </w:rPr>
      </w:pPr>
      <w:r w:rsidRPr="001961AA">
        <w:rPr>
          <w:noProof/>
          <w:lang w:val="en-GB"/>
        </w:rPr>
        <w:t>This Walloon measure aims at reducing the carbon footprint of industry, transport and building sectors through project financing and investment. It shall consist of a series of coherent sub-projects (mostly in the field of research and development and first industrial development) covering the whole green hydrogen production value chain, as well as developing various applications of hydrogen as an energy carrier and the adaptation of devices (such as engines), that enable the use and valorisation of hydrogen. This project shall be part of the planned cross-border IPCEI</w:t>
      </w:r>
      <w:r w:rsidRPr="001961AA">
        <w:rPr>
          <w:rStyle w:val="FootnoteReference"/>
          <w:noProof/>
          <w:lang w:val="en-GB"/>
        </w:rPr>
        <w:footnoteReference w:id="3"/>
      </w:r>
      <w:r w:rsidRPr="001961AA">
        <w:rPr>
          <w:noProof/>
          <w:lang w:val="en-GB"/>
        </w:rPr>
        <w:t xml:space="preserve"> project on hydrogen. </w:t>
      </w:r>
    </w:p>
    <w:p w14:paraId="0BF392CE" w14:textId="17C7211E" w:rsidR="006A41D9" w:rsidRPr="001961AA" w:rsidRDefault="006A41D9" w:rsidP="00BD6DD1">
      <w:pPr>
        <w:pStyle w:val="Text1"/>
        <w:ind w:left="0"/>
        <w:rPr>
          <w:noProof/>
          <w:u w:val="single"/>
          <w:lang w:val="en-GB"/>
        </w:rPr>
      </w:pPr>
      <w:r w:rsidRPr="001961AA">
        <w:rPr>
          <w:noProof/>
          <w:u w:val="single"/>
          <w:lang w:val="en-GB"/>
        </w:rPr>
        <w:t>Investment I-1.18: ‘Developing the low-carbon industry’ of the Walloon Region</w:t>
      </w:r>
    </w:p>
    <w:p w14:paraId="269FABFC" w14:textId="77777777" w:rsidR="00022287" w:rsidRPr="001961AA" w:rsidRDefault="006A41D9" w:rsidP="00BD6DD1">
      <w:pPr>
        <w:pStyle w:val="Text1"/>
        <w:ind w:left="0"/>
        <w:rPr>
          <w:noProof/>
          <w:szCs w:val="24"/>
          <w:lang w:val="en-GB"/>
        </w:rPr>
        <w:sectPr w:rsidR="00022287" w:rsidRPr="001961AA" w:rsidSect="00022287">
          <w:headerReference w:type="even" r:id="rId30"/>
          <w:headerReference w:type="default" r:id="rId31"/>
          <w:footerReference w:type="even" r:id="rId32"/>
          <w:footerReference w:type="default" r:id="rId33"/>
          <w:headerReference w:type="first" r:id="rId34"/>
          <w:footerReference w:type="first" r:id="rId35"/>
          <w:pgSz w:w="11907" w:h="16839"/>
          <w:pgMar w:top="1134" w:right="1134" w:bottom="1134" w:left="1134" w:header="567" w:footer="567" w:gutter="0"/>
          <w:cols w:space="720"/>
          <w:docGrid w:linePitch="360"/>
        </w:sectPr>
      </w:pPr>
      <w:r w:rsidRPr="001961AA">
        <w:rPr>
          <w:noProof/>
          <w:lang w:val="en-GB"/>
        </w:rPr>
        <w:t>The investment measure shall promote various projects aimed at reducing CO</w:t>
      </w:r>
      <w:r w:rsidRPr="001961AA">
        <w:rPr>
          <w:noProof/>
          <w:vertAlign w:val="subscript"/>
          <w:lang w:val="en-GB"/>
        </w:rPr>
        <w:t>2</w:t>
      </w:r>
      <w:r w:rsidRPr="001961AA">
        <w:rPr>
          <w:noProof/>
          <w:lang w:val="en-GB"/>
        </w:rPr>
        <w:t xml:space="preserve"> emissions resulting from energy consumption and emissions from industrial processes. It shall be implemented through a project call for R&amp;D partnership projects aimed at bringing technologies to the level of (pre)-industrial demonstration or pilot versions in the following domains: electrification of industrial processes, hydrogen production by electrolysis, direct use of hydrogen in industrial applications, capture and concentration of CO</w:t>
      </w:r>
      <w:r w:rsidRPr="001961AA">
        <w:rPr>
          <w:noProof/>
          <w:vertAlign w:val="subscript"/>
          <w:lang w:val="en-GB"/>
        </w:rPr>
        <w:t>2</w:t>
      </w:r>
      <w:r w:rsidRPr="001961AA">
        <w:rPr>
          <w:noProof/>
          <w:lang w:val="en-GB"/>
        </w:rPr>
        <w:t xml:space="preserve"> emissions and decarbonisation of ammonia production processes.</w:t>
      </w:r>
    </w:p>
    <w:p w14:paraId="6756431B" w14:textId="4FC850DA" w:rsidR="006A41D9" w:rsidRPr="001961AA" w:rsidRDefault="00022287" w:rsidP="00BD6DD1">
      <w:pPr>
        <w:pStyle w:val="Text1"/>
        <w:ind w:left="0"/>
        <w:rPr>
          <w:b/>
          <w:bCs/>
          <w:noProof/>
          <w:szCs w:val="24"/>
          <w:u w:val="single"/>
          <w:lang w:val="en-GB"/>
        </w:rPr>
      </w:pPr>
      <w:r w:rsidRPr="001961AA">
        <w:rPr>
          <w:b/>
          <w:noProof/>
          <w:u w:val="single"/>
          <w:lang w:val="en-GB"/>
        </w:rPr>
        <w:t xml:space="preserve">B.2. </w:t>
      </w:r>
      <w:r w:rsidRPr="001961AA">
        <w:rPr>
          <w:noProof/>
          <w:lang w:val="en-GB"/>
        </w:rPr>
        <w:tab/>
      </w:r>
      <w:r w:rsidRPr="001961AA">
        <w:rPr>
          <w:b/>
          <w:noProof/>
          <w:u w:val="single"/>
          <w:lang w:val="en-GB"/>
        </w:rPr>
        <w:t>Milestones, targets, indicators, and timetable for monitoring and implementation for non-repayable financial support</w:t>
      </w:r>
    </w:p>
    <w:tbl>
      <w:tblPr>
        <w:tblW w:w="15807" w:type="dxa"/>
        <w:tblInd w:w="-572" w:type="dxa"/>
        <w:tblLayout w:type="fixed"/>
        <w:tblLook w:val="04A0" w:firstRow="1" w:lastRow="0" w:firstColumn="1" w:lastColumn="0" w:noHBand="0" w:noVBand="1"/>
      </w:tblPr>
      <w:tblGrid>
        <w:gridCol w:w="993"/>
        <w:gridCol w:w="1464"/>
        <w:gridCol w:w="1229"/>
        <w:gridCol w:w="1559"/>
        <w:gridCol w:w="1843"/>
        <w:gridCol w:w="1039"/>
        <w:gridCol w:w="960"/>
        <w:gridCol w:w="840"/>
        <w:gridCol w:w="960"/>
        <w:gridCol w:w="720"/>
        <w:gridCol w:w="4200"/>
      </w:tblGrid>
      <w:tr w:rsidR="004868CC" w:rsidRPr="009818D6" w14:paraId="3F0FABE5" w14:textId="77777777" w:rsidTr="00AD78C9">
        <w:trPr>
          <w:trHeight w:val="927"/>
          <w:tblHeader/>
        </w:trPr>
        <w:tc>
          <w:tcPr>
            <w:tcW w:w="99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55FB13EF" w14:textId="32C942F8" w:rsidR="006A41D9" w:rsidRPr="001961AA" w:rsidRDefault="006A41D9" w:rsidP="00BD6DD1">
            <w:pPr>
              <w:spacing w:after="0"/>
              <w:jc w:val="center"/>
              <w:rPr>
                <w:rFonts w:ascii="Times New Roman" w:eastAsia="Times New Roman" w:hAnsi="Times New Roman" w:cs="Times New Roman"/>
                <w:b/>
                <w:noProof/>
                <w:sz w:val="20"/>
                <w:szCs w:val="20"/>
                <w:lang w:val="en-GB"/>
              </w:rPr>
            </w:pPr>
            <w:r w:rsidRPr="001961AA">
              <w:rPr>
                <w:rFonts w:ascii="Times New Roman" w:hAnsi="Times New Roman"/>
                <w:b/>
                <w:noProof/>
                <w:sz w:val="20"/>
                <w:lang w:val="en-GB"/>
              </w:rPr>
              <w:t>Seq. Nb.</w:t>
            </w:r>
          </w:p>
        </w:tc>
        <w:tc>
          <w:tcPr>
            <w:tcW w:w="146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C389AE2" w14:textId="77777777" w:rsidR="006A41D9" w:rsidRPr="001961AA" w:rsidRDefault="006A41D9" w:rsidP="00BD6DD1">
            <w:pPr>
              <w:spacing w:after="0"/>
              <w:jc w:val="center"/>
              <w:rPr>
                <w:rFonts w:ascii="Times New Roman" w:eastAsia="Times New Roman" w:hAnsi="Times New Roman" w:cs="Times New Roman"/>
                <w:b/>
                <w:noProof/>
                <w:sz w:val="20"/>
                <w:szCs w:val="20"/>
                <w:lang w:val="en-GB"/>
              </w:rPr>
            </w:pPr>
            <w:r w:rsidRPr="001961AA">
              <w:rPr>
                <w:rFonts w:ascii="Times New Roman" w:hAnsi="Times New Roman"/>
                <w:b/>
                <w:noProof/>
                <w:sz w:val="20"/>
                <w:lang w:val="en-GB"/>
              </w:rPr>
              <w:t>Related Measure (Reform or Investment)</w:t>
            </w:r>
          </w:p>
        </w:tc>
        <w:tc>
          <w:tcPr>
            <w:tcW w:w="122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429A8886" w14:textId="77777777" w:rsidR="006A41D9" w:rsidRPr="001961AA" w:rsidRDefault="006A41D9" w:rsidP="00BD6DD1">
            <w:pPr>
              <w:spacing w:after="0"/>
              <w:jc w:val="center"/>
              <w:rPr>
                <w:rFonts w:ascii="Times New Roman" w:eastAsia="Times New Roman" w:hAnsi="Times New Roman" w:cs="Times New Roman"/>
                <w:b/>
                <w:noProof/>
                <w:sz w:val="20"/>
                <w:szCs w:val="20"/>
                <w:lang w:val="en-GB"/>
              </w:rPr>
            </w:pPr>
            <w:r w:rsidRPr="001961AA">
              <w:rPr>
                <w:rFonts w:ascii="Times New Roman" w:hAnsi="Times New Roman"/>
                <w:b/>
                <w:noProof/>
                <w:sz w:val="20"/>
                <w:lang w:val="en-GB"/>
              </w:rPr>
              <w:t>Milestone / Target</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D744DE7" w14:textId="77777777" w:rsidR="006A41D9" w:rsidRPr="001961AA" w:rsidRDefault="006A41D9" w:rsidP="00BD6DD1">
            <w:pPr>
              <w:spacing w:after="0"/>
              <w:jc w:val="center"/>
              <w:rPr>
                <w:rFonts w:ascii="Times New Roman" w:eastAsia="Times New Roman" w:hAnsi="Times New Roman" w:cs="Times New Roman"/>
                <w:b/>
                <w:noProof/>
                <w:sz w:val="20"/>
                <w:szCs w:val="20"/>
                <w:lang w:val="en-GB"/>
              </w:rPr>
            </w:pPr>
            <w:r w:rsidRPr="001961AA">
              <w:rPr>
                <w:rFonts w:ascii="Times New Roman" w:hAnsi="Times New Roman"/>
                <w:b/>
                <w:noProof/>
                <w:sz w:val="20"/>
                <w:lang w:val="en-GB"/>
              </w:rPr>
              <w:t>Name</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1DD6CDD" w14:textId="77777777" w:rsidR="006A41D9" w:rsidRPr="001961AA" w:rsidRDefault="006A41D9" w:rsidP="00BD6DD1">
            <w:pPr>
              <w:spacing w:after="0"/>
              <w:jc w:val="center"/>
              <w:rPr>
                <w:rFonts w:ascii="Times New Roman" w:eastAsia="Times New Roman" w:hAnsi="Times New Roman" w:cs="Times New Roman"/>
                <w:b/>
                <w:noProof/>
                <w:sz w:val="20"/>
                <w:szCs w:val="20"/>
                <w:lang w:val="en-GB"/>
              </w:rPr>
            </w:pPr>
            <w:r w:rsidRPr="001961AA">
              <w:rPr>
                <w:rFonts w:ascii="Times New Roman" w:hAnsi="Times New Roman"/>
                <w:b/>
                <w:noProof/>
                <w:sz w:val="20"/>
                <w:lang w:val="en-GB"/>
              </w:rPr>
              <w:t xml:space="preserve">Qualitative indicators </w:t>
            </w:r>
            <w:r w:rsidRPr="001961AA">
              <w:rPr>
                <w:noProof/>
                <w:lang w:val="en-GB"/>
              </w:rPr>
              <w:t xml:space="preserve"> </w:t>
            </w:r>
            <w:r w:rsidRPr="001961AA">
              <w:rPr>
                <w:noProof/>
                <w:lang w:val="en-GB"/>
              </w:rPr>
              <w:br/>
            </w:r>
            <w:r w:rsidRPr="001961AA">
              <w:rPr>
                <w:rFonts w:ascii="Times New Roman" w:hAnsi="Times New Roman"/>
                <w:b/>
                <w:noProof/>
                <w:sz w:val="20"/>
                <w:lang w:val="en-GB"/>
              </w:rPr>
              <w:t>(for milestones)</w:t>
            </w:r>
          </w:p>
        </w:tc>
        <w:tc>
          <w:tcPr>
            <w:tcW w:w="2839" w:type="dxa"/>
            <w:gridSpan w:val="3"/>
            <w:tcBorders>
              <w:top w:val="single" w:sz="4" w:space="0" w:color="auto"/>
              <w:left w:val="single" w:sz="4" w:space="0" w:color="auto"/>
              <w:bottom w:val="single" w:sz="4" w:space="0" w:color="auto"/>
              <w:right w:val="single" w:sz="4" w:space="0" w:color="auto"/>
            </w:tcBorders>
            <w:shd w:val="clear" w:color="auto" w:fill="BDD7EE"/>
            <w:vAlign w:val="center"/>
            <w:hideMark/>
          </w:tcPr>
          <w:p w14:paraId="16A61AE0" w14:textId="77777777" w:rsidR="006A41D9" w:rsidRPr="001961AA" w:rsidRDefault="006A41D9" w:rsidP="00BD6DD1">
            <w:pPr>
              <w:spacing w:after="0"/>
              <w:jc w:val="center"/>
              <w:rPr>
                <w:rFonts w:ascii="Times New Roman" w:eastAsia="Times New Roman" w:hAnsi="Times New Roman" w:cs="Times New Roman"/>
                <w:b/>
                <w:noProof/>
                <w:sz w:val="20"/>
                <w:szCs w:val="20"/>
                <w:lang w:val="en-GB"/>
              </w:rPr>
            </w:pPr>
            <w:r w:rsidRPr="001961AA">
              <w:rPr>
                <w:rFonts w:ascii="Times New Roman" w:hAnsi="Times New Roman"/>
                <w:b/>
                <w:noProof/>
                <w:sz w:val="20"/>
                <w:lang w:val="en-GB"/>
              </w:rPr>
              <w:t xml:space="preserve">Quantitative indicators </w:t>
            </w:r>
            <w:r w:rsidRPr="001961AA">
              <w:rPr>
                <w:noProof/>
                <w:lang w:val="en-GB"/>
              </w:rPr>
              <w:t xml:space="preserve"> </w:t>
            </w:r>
            <w:r w:rsidRPr="001961AA">
              <w:rPr>
                <w:noProof/>
                <w:lang w:val="en-GB"/>
              </w:rPr>
              <w:br/>
            </w:r>
            <w:r w:rsidRPr="001961AA">
              <w:rPr>
                <w:rFonts w:ascii="Times New Roman" w:hAnsi="Times New Roman"/>
                <w:b/>
                <w:noProof/>
                <w:sz w:val="20"/>
                <w:lang w:val="en-GB"/>
              </w:rPr>
              <w:t>(for targets)</w:t>
            </w:r>
          </w:p>
        </w:tc>
        <w:tc>
          <w:tcPr>
            <w:tcW w:w="1680" w:type="dxa"/>
            <w:gridSpan w:val="2"/>
            <w:tcBorders>
              <w:top w:val="single" w:sz="4" w:space="0" w:color="auto"/>
              <w:left w:val="single" w:sz="4" w:space="0" w:color="auto"/>
              <w:bottom w:val="single" w:sz="4" w:space="0" w:color="auto"/>
              <w:right w:val="single" w:sz="4" w:space="0" w:color="auto"/>
            </w:tcBorders>
            <w:shd w:val="clear" w:color="auto" w:fill="BDD7EE"/>
            <w:vAlign w:val="center"/>
            <w:hideMark/>
          </w:tcPr>
          <w:p w14:paraId="7D61CCE0" w14:textId="77777777" w:rsidR="006A41D9" w:rsidRPr="001961AA" w:rsidRDefault="006A41D9" w:rsidP="00BD6DD1">
            <w:pPr>
              <w:spacing w:after="0"/>
              <w:jc w:val="center"/>
              <w:rPr>
                <w:rFonts w:ascii="Times New Roman" w:eastAsia="Times New Roman" w:hAnsi="Times New Roman" w:cs="Times New Roman"/>
                <w:b/>
                <w:noProof/>
                <w:sz w:val="20"/>
                <w:szCs w:val="20"/>
                <w:lang w:val="en-GB"/>
              </w:rPr>
            </w:pPr>
            <w:r w:rsidRPr="001961AA">
              <w:rPr>
                <w:rFonts w:ascii="Times New Roman" w:hAnsi="Times New Roman"/>
                <w:b/>
                <w:noProof/>
                <w:sz w:val="20"/>
                <w:lang w:val="en-GB"/>
              </w:rPr>
              <w:t xml:space="preserve">Indicative timeline for completion </w:t>
            </w:r>
          </w:p>
        </w:tc>
        <w:tc>
          <w:tcPr>
            <w:tcW w:w="420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BFDB4D9" w14:textId="77777777" w:rsidR="006A41D9" w:rsidRPr="001961AA" w:rsidRDefault="006A41D9" w:rsidP="00BD6DD1">
            <w:pPr>
              <w:spacing w:after="0"/>
              <w:jc w:val="center"/>
              <w:rPr>
                <w:rFonts w:ascii="Times New Roman" w:eastAsia="Times New Roman" w:hAnsi="Times New Roman" w:cs="Times New Roman"/>
                <w:b/>
                <w:noProof/>
                <w:sz w:val="20"/>
                <w:szCs w:val="20"/>
                <w:lang w:val="en-GB"/>
              </w:rPr>
            </w:pPr>
            <w:r w:rsidRPr="001961AA">
              <w:rPr>
                <w:rFonts w:ascii="Times New Roman" w:hAnsi="Times New Roman"/>
                <w:b/>
                <w:noProof/>
                <w:sz w:val="20"/>
                <w:lang w:val="en-GB"/>
              </w:rPr>
              <w:t>Description of each milestone and target</w:t>
            </w:r>
          </w:p>
        </w:tc>
      </w:tr>
      <w:tr w:rsidR="004868CC" w:rsidRPr="001961AA" w14:paraId="1A902227" w14:textId="77777777" w:rsidTr="00AD78C9">
        <w:trPr>
          <w:trHeight w:val="1013"/>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57423978" w14:textId="77777777" w:rsidR="006A41D9" w:rsidRPr="001961AA" w:rsidRDefault="006A41D9" w:rsidP="00BD6DD1">
            <w:pPr>
              <w:spacing w:after="0"/>
              <w:jc w:val="center"/>
              <w:rPr>
                <w:rFonts w:ascii="Times New Roman" w:eastAsia="Times New Roman" w:hAnsi="Times New Roman" w:cs="Times New Roman"/>
                <w:b/>
                <w:bCs/>
                <w:noProof/>
                <w:lang w:val="en-GB" w:eastAsia="en-GB"/>
              </w:rPr>
            </w:pPr>
          </w:p>
        </w:tc>
        <w:tc>
          <w:tcPr>
            <w:tcW w:w="1464" w:type="dxa"/>
            <w:vMerge/>
            <w:tcBorders>
              <w:top w:val="single" w:sz="4" w:space="0" w:color="auto"/>
              <w:left w:val="single" w:sz="4" w:space="0" w:color="auto"/>
              <w:bottom w:val="single" w:sz="4" w:space="0" w:color="auto"/>
              <w:right w:val="single" w:sz="4" w:space="0" w:color="auto"/>
            </w:tcBorders>
            <w:vAlign w:val="center"/>
            <w:hideMark/>
          </w:tcPr>
          <w:p w14:paraId="22A3A329" w14:textId="77777777" w:rsidR="006A41D9" w:rsidRPr="001961AA" w:rsidRDefault="006A41D9" w:rsidP="00BD6DD1">
            <w:pPr>
              <w:spacing w:after="0"/>
              <w:rPr>
                <w:rFonts w:ascii="Times New Roman" w:eastAsia="Times New Roman" w:hAnsi="Times New Roman" w:cs="Times New Roman"/>
                <w:b/>
                <w:bCs/>
                <w:noProof/>
                <w:lang w:val="en-GB" w:eastAsia="en-GB"/>
              </w:rPr>
            </w:pPr>
          </w:p>
        </w:tc>
        <w:tc>
          <w:tcPr>
            <w:tcW w:w="1229" w:type="dxa"/>
            <w:vMerge/>
            <w:tcBorders>
              <w:top w:val="single" w:sz="4" w:space="0" w:color="auto"/>
              <w:left w:val="single" w:sz="4" w:space="0" w:color="auto"/>
              <w:bottom w:val="single" w:sz="4" w:space="0" w:color="auto"/>
              <w:right w:val="single" w:sz="4" w:space="0" w:color="auto"/>
            </w:tcBorders>
            <w:vAlign w:val="center"/>
            <w:hideMark/>
          </w:tcPr>
          <w:p w14:paraId="7AB72B51" w14:textId="77777777" w:rsidR="006A41D9" w:rsidRPr="001961AA" w:rsidRDefault="006A41D9" w:rsidP="00BD6DD1">
            <w:pPr>
              <w:spacing w:after="0"/>
              <w:rPr>
                <w:rFonts w:ascii="Times New Roman" w:eastAsia="Times New Roman" w:hAnsi="Times New Roman" w:cs="Times New Roman"/>
                <w:b/>
                <w:bCs/>
                <w:noProof/>
                <w:lang w:val="en-GB" w:eastAsia="en-GB"/>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005B0F2" w14:textId="77777777" w:rsidR="006A41D9" w:rsidRPr="001961AA" w:rsidRDefault="006A41D9" w:rsidP="00BD6DD1">
            <w:pPr>
              <w:spacing w:after="0"/>
              <w:rPr>
                <w:rFonts w:ascii="Times New Roman" w:eastAsia="Times New Roman" w:hAnsi="Times New Roman" w:cs="Times New Roman"/>
                <w:b/>
                <w:bCs/>
                <w:noProof/>
                <w:lang w:val="en-GB" w:eastAsia="en-GB"/>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5620AC1" w14:textId="77777777" w:rsidR="006A41D9" w:rsidRPr="001961AA" w:rsidRDefault="006A41D9" w:rsidP="00BD6DD1">
            <w:pPr>
              <w:spacing w:after="0"/>
              <w:rPr>
                <w:rFonts w:ascii="Times New Roman" w:eastAsia="Times New Roman" w:hAnsi="Times New Roman" w:cs="Times New Roman"/>
                <w:b/>
                <w:bCs/>
                <w:noProof/>
                <w:lang w:val="en-GB" w:eastAsia="en-GB"/>
              </w:rPr>
            </w:pPr>
          </w:p>
        </w:tc>
        <w:tc>
          <w:tcPr>
            <w:tcW w:w="1039"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2D437BF6" w14:textId="77777777" w:rsidR="006A41D9" w:rsidRPr="001961AA" w:rsidRDefault="006A41D9" w:rsidP="00BD6DD1">
            <w:pPr>
              <w:spacing w:after="0"/>
              <w:jc w:val="center"/>
              <w:rPr>
                <w:rFonts w:ascii="Times New Roman" w:eastAsia="Times New Roman" w:hAnsi="Times New Roman" w:cs="Times New Roman"/>
                <w:b/>
                <w:noProof/>
                <w:sz w:val="20"/>
                <w:szCs w:val="20"/>
                <w:lang w:val="en-GB"/>
              </w:rPr>
            </w:pPr>
            <w:r w:rsidRPr="001961AA">
              <w:rPr>
                <w:rFonts w:ascii="Times New Roman" w:hAnsi="Times New Roman"/>
                <w:b/>
                <w:noProof/>
                <w:sz w:val="20"/>
                <w:lang w:val="en-GB"/>
              </w:rPr>
              <w:t>Unit of measure</w:t>
            </w:r>
          </w:p>
        </w:tc>
        <w:tc>
          <w:tcPr>
            <w:tcW w:w="960" w:type="dxa"/>
            <w:tcBorders>
              <w:top w:val="single" w:sz="4" w:space="0" w:color="auto"/>
              <w:left w:val="nil"/>
              <w:bottom w:val="single" w:sz="4" w:space="0" w:color="auto"/>
              <w:right w:val="single" w:sz="4" w:space="0" w:color="auto"/>
            </w:tcBorders>
            <w:shd w:val="clear" w:color="auto" w:fill="BDD7EE"/>
            <w:vAlign w:val="center"/>
            <w:hideMark/>
          </w:tcPr>
          <w:p w14:paraId="10F74AC9" w14:textId="77777777" w:rsidR="006A41D9" w:rsidRPr="001961AA" w:rsidRDefault="006A41D9" w:rsidP="00BD6DD1">
            <w:pPr>
              <w:spacing w:after="0"/>
              <w:jc w:val="center"/>
              <w:rPr>
                <w:rFonts w:ascii="Times New Roman" w:eastAsia="Times New Roman" w:hAnsi="Times New Roman" w:cs="Times New Roman"/>
                <w:b/>
                <w:noProof/>
                <w:sz w:val="20"/>
                <w:szCs w:val="20"/>
                <w:lang w:val="en-GB"/>
              </w:rPr>
            </w:pPr>
            <w:r w:rsidRPr="001961AA">
              <w:rPr>
                <w:rFonts w:ascii="Times New Roman" w:hAnsi="Times New Roman"/>
                <w:b/>
                <w:noProof/>
                <w:sz w:val="20"/>
                <w:lang w:val="en-GB"/>
              </w:rPr>
              <w:t xml:space="preserve">Baseline </w:t>
            </w:r>
          </w:p>
        </w:tc>
        <w:tc>
          <w:tcPr>
            <w:tcW w:w="840" w:type="dxa"/>
            <w:tcBorders>
              <w:top w:val="single" w:sz="4" w:space="0" w:color="auto"/>
              <w:left w:val="nil"/>
              <w:bottom w:val="single" w:sz="4" w:space="0" w:color="auto"/>
              <w:right w:val="single" w:sz="4" w:space="0" w:color="auto"/>
            </w:tcBorders>
            <w:shd w:val="clear" w:color="auto" w:fill="BDD7EE"/>
            <w:vAlign w:val="center"/>
            <w:hideMark/>
          </w:tcPr>
          <w:p w14:paraId="79FCC041" w14:textId="77777777" w:rsidR="006A41D9" w:rsidRPr="001961AA" w:rsidRDefault="006A41D9" w:rsidP="00BD6DD1">
            <w:pPr>
              <w:spacing w:after="0"/>
              <w:jc w:val="center"/>
              <w:rPr>
                <w:rFonts w:ascii="Times New Roman" w:eastAsia="Times New Roman" w:hAnsi="Times New Roman" w:cs="Times New Roman"/>
                <w:b/>
                <w:noProof/>
                <w:sz w:val="20"/>
                <w:szCs w:val="20"/>
                <w:lang w:val="en-GB"/>
              </w:rPr>
            </w:pPr>
            <w:r w:rsidRPr="001961AA">
              <w:rPr>
                <w:rFonts w:ascii="Times New Roman" w:hAnsi="Times New Roman"/>
                <w:b/>
                <w:noProof/>
                <w:sz w:val="20"/>
                <w:lang w:val="en-GB"/>
              </w:rPr>
              <w:t xml:space="preserve">Goal </w:t>
            </w:r>
          </w:p>
        </w:tc>
        <w:tc>
          <w:tcPr>
            <w:tcW w:w="960" w:type="dxa"/>
            <w:tcBorders>
              <w:top w:val="single" w:sz="4" w:space="0" w:color="auto"/>
              <w:left w:val="nil"/>
              <w:bottom w:val="single" w:sz="4" w:space="0" w:color="auto"/>
              <w:right w:val="single" w:sz="4" w:space="0" w:color="auto"/>
            </w:tcBorders>
            <w:shd w:val="clear" w:color="auto" w:fill="BDD7EE"/>
            <w:vAlign w:val="center"/>
            <w:hideMark/>
          </w:tcPr>
          <w:p w14:paraId="70688980" w14:textId="77777777" w:rsidR="006A41D9" w:rsidRPr="001961AA" w:rsidRDefault="006A41D9" w:rsidP="00BD6DD1">
            <w:pPr>
              <w:spacing w:after="0"/>
              <w:jc w:val="center"/>
              <w:rPr>
                <w:rFonts w:ascii="Times New Roman" w:eastAsia="Times New Roman" w:hAnsi="Times New Roman" w:cs="Times New Roman"/>
                <w:b/>
                <w:noProof/>
                <w:sz w:val="20"/>
                <w:szCs w:val="20"/>
                <w:lang w:val="en-GB"/>
              </w:rPr>
            </w:pPr>
            <w:r w:rsidRPr="001961AA">
              <w:rPr>
                <w:rFonts w:ascii="Times New Roman" w:hAnsi="Times New Roman"/>
                <w:b/>
                <w:noProof/>
                <w:sz w:val="20"/>
                <w:lang w:val="en-GB"/>
              </w:rPr>
              <w:t>Quarter</w:t>
            </w:r>
          </w:p>
        </w:tc>
        <w:tc>
          <w:tcPr>
            <w:tcW w:w="720" w:type="dxa"/>
            <w:tcBorders>
              <w:top w:val="single" w:sz="4" w:space="0" w:color="auto"/>
              <w:left w:val="nil"/>
              <w:bottom w:val="single" w:sz="4" w:space="0" w:color="auto"/>
              <w:right w:val="single" w:sz="4" w:space="0" w:color="auto"/>
            </w:tcBorders>
            <w:shd w:val="clear" w:color="auto" w:fill="BDD7EE"/>
            <w:vAlign w:val="center"/>
            <w:hideMark/>
          </w:tcPr>
          <w:p w14:paraId="756FF87F" w14:textId="77777777" w:rsidR="006A41D9" w:rsidRPr="001961AA" w:rsidRDefault="006A41D9" w:rsidP="00BD6DD1">
            <w:pPr>
              <w:spacing w:after="0"/>
              <w:jc w:val="center"/>
              <w:rPr>
                <w:rFonts w:ascii="Times New Roman" w:eastAsia="Times New Roman" w:hAnsi="Times New Roman" w:cs="Times New Roman"/>
                <w:b/>
                <w:noProof/>
                <w:sz w:val="20"/>
                <w:szCs w:val="20"/>
                <w:lang w:val="en-GB"/>
              </w:rPr>
            </w:pPr>
            <w:r w:rsidRPr="001961AA">
              <w:rPr>
                <w:rFonts w:ascii="Times New Roman" w:hAnsi="Times New Roman"/>
                <w:b/>
                <w:noProof/>
                <w:sz w:val="20"/>
                <w:lang w:val="en-GB"/>
              </w:rPr>
              <w:t>Year</w:t>
            </w:r>
          </w:p>
        </w:tc>
        <w:tc>
          <w:tcPr>
            <w:tcW w:w="4200" w:type="dxa"/>
            <w:vMerge/>
            <w:tcBorders>
              <w:top w:val="single" w:sz="4" w:space="0" w:color="auto"/>
              <w:bottom w:val="single" w:sz="4" w:space="0" w:color="auto"/>
              <w:right w:val="single" w:sz="4" w:space="0" w:color="auto"/>
            </w:tcBorders>
            <w:vAlign w:val="center"/>
            <w:hideMark/>
          </w:tcPr>
          <w:p w14:paraId="639D09DC" w14:textId="77777777" w:rsidR="006A41D9" w:rsidRPr="001961AA" w:rsidRDefault="006A41D9" w:rsidP="00BD6DD1">
            <w:pPr>
              <w:spacing w:after="0"/>
              <w:rPr>
                <w:rFonts w:ascii="Times New Roman" w:eastAsia="Times New Roman" w:hAnsi="Times New Roman" w:cs="Times New Roman"/>
                <w:b/>
                <w:bCs/>
                <w:noProof/>
                <w:lang w:val="en-GB" w:eastAsia="en-GB"/>
              </w:rPr>
            </w:pPr>
          </w:p>
        </w:tc>
      </w:tr>
      <w:tr w:rsidR="00292220" w:rsidRPr="009818D6" w14:paraId="3B8F71BE" w14:textId="77777777" w:rsidTr="00AD78C9">
        <w:trPr>
          <w:trHeight w:val="309"/>
        </w:trPr>
        <w:tc>
          <w:tcPr>
            <w:tcW w:w="993"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267AF4DB" w14:textId="77777777" w:rsidR="006A41D9" w:rsidRPr="001961AA" w:rsidRDefault="006A41D9" w:rsidP="00AF35F0">
            <w:pPr>
              <w:spacing w:after="0"/>
              <w:jc w:val="center"/>
              <w:rPr>
                <w:rFonts w:ascii="Times New Roman" w:eastAsia="Times New Roman" w:hAnsi="Times New Roman" w:cs="Times New Roman"/>
                <w:noProof/>
                <w:color w:val="006100"/>
                <w:lang w:val="en-GB"/>
              </w:rPr>
            </w:pPr>
            <w:bookmarkStart w:id="2" w:name="_1683304835"/>
            <w:bookmarkEnd w:id="2"/>
            <w:r w:rsidRPr="001961AA">
              <w:rPr>
                <w:rFonts w:ascii="Times New Roman" w:hAnsi="Times New Roman"/>
                <w:noProof/>
                <w:color w:val="006100"/>
                <w:lang w:val="en-GB"/>
              </w:rPr>
              <w:t>15</w:t>
            </w:r>
          </w:p>
        </w:tc>
        <w:tc>
          <w:tcPr>
            <w:tcW w:w="1464" w:type="dxa"/>
            <w:tcBorders>
              <w:top w:val="single" w:sz="4" w:space="0" w:color="auto"/>
              <w:left w:val="nil"/>
              <w:bottom w:val="single" w:sz="4" w:space="0" w:color="auto"/>
              <w:right w:val="single" w:sz="4" w:space="0" w:color="auto"/>
            </w:tcBorders>
            <w:shd w:val="clear" w:color="auto" w:fill="C6EFCE"/>
            <w:noWrap/>
            <w:vAlign w:val="center"/>
            <w:hideMark/>
          </w:tcPr>
          <w:p w14:paraId="5610425C" w14:textId="00795514"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Regulatory framework for the H2 market (R-1.04)</w:t>
            </w:r>
          </w:p>
        </w:tc>
        <w:tc>
          <w:tcPr>
            <w:tcW w:w="1229" w:type="dxa"/>
            <w:tcBorders>
              <w:top w:val="single" w:sz="4" w:space="0" w:color="auto"/>
              <w:left w:val="nil"/>
              <w:bottom w:val="single" w:sz="4" w:space="0" w:color="auto"/>
              <w:right w:val="single" w:sz="4" w:space="0" w:color="auto"/>
            </w:tcBorders>
            <w:shd w:val="clear" w:color="auto" w:fill="C6EFCE"/>
            <w:noWrap/>
            <w:vAlign w:val="center"/>
            <w:hideMark/>
          </w:tcPr>
          <w:p w14:paraId="48CEA43B" w14:textId="675B60D6"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M</w:t>
            </w:r>
          </w:p>
        </w:tc>
        <w:tc>
          <w:tcPr>
            <w:tcW w:w="1559" w:type="dxa"/>
            <w:tcBorders>
              <w:top w:val="single" w:sz="4" w:space="0" w:color="auto"/>
              <w:left w:val="nil"/>
              <w:bottom w:val="single" w:sz="4" w:space="0" w:color="auto"/>
              <w:right w:val="single" w:sz="4" w:space="0" w:color="auto"/>
            </w:tcBorders>
            <w:shd w:val="clear" w:color="auto" w:fill="C6EFCE"/>
            <w:noWrap/>
            <w:vAlign w:val="center"/>
            <w:hideMark/>
          </w:tcPr>
          <w:p w14:paraId="3A7F38FC" w14:textId="20B2A431"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Entry into force of the new or modified laws and related regulations to enable market development of H2</w:t>
            </w:r>
          </w:p>
        </w:tc>
        <w:tc>
          <w:tcPr>
            <w:tcW w:w="1843" w:type="dxa"/>
            <w:tcBorders>
              <w:top w:val="single" w:sz="4" w:space="0" w:color="auto"/>
              <w:left w:val="nil"/>
              <w:bottom w:val="single" w:sz="4" w:space="0" w:color="auto"/>
              <w:right w:val="single" w:sz="4" w:space="0" w:color="auto"/>
            </w:tcBorders>
            <w:shd w:val="clear" w:color="auto" w:fill="C6EFCE"/>
            <w:noWrap/>
            <w:vAlign w:val="center"/>
            <w:hideMark/>
          </w:tcPr>
          <w:p w14:paraId="3DB9F550" w14:textId="7EB1E1B0"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Publication of the new or modified laws and related regulations (Official Journal)</w:t>
            </w:r>
          </w:p>
        </w:tc>
        <w:tc>
          <w:tcPr>
            <w:tcW w:w="1039" w:type="dxa"/>
            <w:tcBorders>
              <w:top w:val="nil"/>
              <w:left w:val="nil"/>
              <w:bottom w:val="single" w:sz="4" w:space="0" w:color="auto"/>
              <w:right w:val="single" w:sz="4" w:space="0" w:color="auto"/>
            </w:tcBorders>
            <w:shd w:val="clear" w:color="auto" w:fill="C6EFCE"/>
            <w:noWrap/>
            <w:vAlign w:val="center"/>
          </w:tcPr>
          <w:p w14:paraId="2204C8C5" w14:textId="77777777"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960" w:type="dxa"/>
            <w:tcBorders>
              <w:top w:val="nil"/>
              <w:left w:val="nil"/>
              <w:bottom w:val="single" w:sz="4" w:space="0" w:color="auto"/>
              <w:right w:val="single" w:sz="4" w:space="0" w:color="auto"/>
            </w:tcBorders>
            <w:shd w:val="clear" w:color="auto" w:fill="C6EFCE"/>
            <w:noWrap/>
            <w:vAlign w:val="center"/>
          </w:tcPr>
          <w:p w14:paraId="2C96E4B7" w14:textId="77777777" w:rsidR="006A41D9" w:rsidRPr="001961AA" w:rsidRDefault="006A41D9" w:rsidP="00BD6DD1">
            <w:pPr>
              <w:spacing w:after="0"/>
              <w:jc w:val="right"/>
              <w:rPr>
                <w:rFonts w:ascii="Times New Roman" w:eastAsia="Times New Roman" w:hAnsi="Times New Roman" w:cs="Times New Roman"/>
                <w:noProof/>
                <w:color w:val="006100"/>
                <w:lang w:val="en-GB" w:eastAsia="en-GB"/>
              </w:rPr>
            </w:pPr>
          </w:p>
        </w:tc>
        <w:tc>
          <w:tcPr>
            <w:tcW w:w="840" w:type="dxa"/>
            <w:tcBorders>
              <w:top w:val="nil"/>
              <w:left w:val="nil"/>
              <w:bottom w:val="single" w:sz="4" w:space="0" w:color="auto"/>
              <w:right w:val="single" w:sz="4" w:space="0" w:color="auto"/>
            </w:tcBorders>
            <w:shd w:val="clear" w:color="auto" w:fill="C6EFCE"/>
            <w:noWrap/>
            <w:vAlign w:val="center"/>
          </w:tcPr>
          <w:p w14:paraId="33D10E55" w14:textId="77777777" w:rsidR="006A41D9" w:rsidRPr="001961AA" w:rsidRDefault="006A41D9" w:rsidP="00BD6DD1">
            <w:pPr>
              <w:spacing w:after="0"/>
              <w:jc w:val="right"/>
              <w:rPr>
                <w:rFonts w:ascii="Times New Roman" w:eastAsia="Times New Roman" w:hAnsi="Times New Roman" w:cs="Times New Roman"/>
                <w:noProof/>
                <w:color w:val="006100"/>
                <w:lang w:val="en-GB" w:eastAsia="en-GB"/>
              </w:rPr>
            </w:pPr>
          </w:p>
        </w:tc>
        <w:tc>
          <w:tcPr>
            <w:tcW w:w="960" w:type="dxa"/>
            <w:tcBorders>
              <w:top w:val="nil"/>
              <w:left w:val="nil"/>
              <w:bottom w:val="single" w:sz="4" w:space="0" w:color="auto"/>
              <w:right w:val="single" w:sz="4" w:space="0" w:color="auto"/>
            </w:tcBorders>
            <w:shd w:val="clear" w:color="auto" w:fill="C6EFCE"/>
            <w:noWrap/>
            <w:vAlign w:val="center"/>
            <w:hideMark/>
          </w:tcPr>
          <w:p w14:paraId="761FA226"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Q1</w:t>
            </w:r>
          </w:p>
        </w:tc>
        <w:tc>
          <w:tcPr>
            <w:tcW w:w="720" w:type="dxa"/>
            <w:tcBorders>
              <w:top w:val="nil"/>
              <w:left w:val="nil"/>
              <w:bottom w:val="single" w:sz="4" w:space="0" w:color="auto"/>
              <w:right w:val="single" w:sz="4" w:space="0" w:color="auto"/>
            </w:tcBorders>
            <w:shd w:val="clear" w:color="auto" w:fill="C6EFCE"/>
            <w:noWrap/>
            <w:vAlign w:val="center"/>
            <w:hideMark/>
          </w:tcPr>
          <w:p w14:paraId="369C92C0" w14:textId="092C1E58"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2024</w:t>
            </w:r>
          </w:p>
        </w:tc>
        <w:tc>
          <w:tcPr>
            <w:tcW w:w="4200" w:type="dxa"/>
            <w:tcBorders>
              <w:top w:val="single" w:sz="4" w:space="0" w:color="auto"/>
              <w:left w:val="nil"/>
              <w:bottom w:val="single" w:sz="4" w:space="0" w:color="auto"/>
              <w:right w:val="single" w:sz="4" w:space="0" w:color="auto"/>
            </w:tcBorders>
            <w:shd w:val="clear" w:color="auto" w:fill="C6EFCE"/>
            <w:noWrap/>
            <w:vAlign w:val="center"/>
            <w:hideMark/>
          </w:tcPr>
          <w:p w14:paraId="2FB6AED6" w14:textId="52855A96"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Entry into force of the new or modified laws to:</w:t>
            </w:r>
          </w:p>
          <w:p w14:paraId="0E5E0E7A" w14:textId="60F11B02" w:rsidR="006A41D9" w:rsidRPr="001961AA" w:rsidRDefault="006A41D9" w:rsidP="009E6286">
            <w:pPr>
              <w:pStyle w:val="ListParagraph"/>
              <w:numPr>
                <w:ilvl w:val="0"/>
                <w:numId w:val="31"/>
              </w:num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enable market development of H2,</w:t>
            </w:r>
          </w:p>
          <w:p w14:paraId="495E23C7" w14:textId="77777777" w:rsidR="006A41D9" w:rsidRPr="001961AA" w:rsidRDefault="006A41D9" w:rsidP="009E6286">
            <w:pPr>
              <w:pStyle w:val="ListParagraph"/>
              <w:numPr>
                <w:ilvl w:val="0"/>
                <w:numId w:val="31"/>
              </w:num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cover topics such as supervision, non-discriminatory access and tariffs.</w:t>
            </w:r>
          </w:p>
        </w:tc>
      </w:tr>
      <w:tr w:rsidR="00292220" w:rsidRPr="009818D6" w14:paraId="552A1EAB" w14:textId="77777777" w:rsidTr="00AD78C9">
        <w:trPr>
          <w:trHeight w:val="309"/>
        </w:trPr>
        <w:tc>
          <w:tcPr>
            <w:tcW w:w="993" w:type="dxa"/>
            <w:tcBorders>
              <w:top w:val="nil"/>
              <w:left w:val="single" w:sz="4" w:space="0" w:color="auto"/>
              <w:bottom w:val="single" w:sz="4" w:space="0" w:color="auto"/>
              <w:right w:val="single" w:sz="4" w:space="0" w:color="auto"/>
            </w:tcBorders>
            <w:shd w:val="clear" w:color="auto" w:fill="C6EFCE"/>
            <w:noWrap/>
            <w:vAlign w:val="center"/>
          </w:tcPr>
          <w:p w14:paraId="0283A6BE" w14:textId="46764E06" w:rsidR="003A67C6" w:rsidRPr="001961AA" w:rsidRDefault="00B74E0C" w:rsidP="00AF35F0">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15bis</w:t>
            </w:r>
          </w:p>
        </w:tc>
        <w:tc>
          <w:tcPr>
            <w:tcW w:w="1464" w:type="dxa"/>
            <w:tcBorders>
              <w:top w:val="nil"/>
              <w:left w:val="nil"/>
              <w:bottom w:val="single" w:sz="4" w:space="0" w:color="auto"/>
              <w:right w:val="single" w:sz="4" w:space="0" w:color="auto"/>
            </w:tcBorders>
            <w:shd w:val="clear" w:color="auto" w:fill="C6EFCE"/>
            <w:noWrap/>
            <w:vAlign w:val="center"/>
          </w:tcPr>
          <w:p w14:paraId="0FA08B49" w14:textId="634D0FE9" w:rsidR="003A67C6" w:rsidRPr="001961AA" w:rsidRDefault="00B74E0C"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Regulatory framework for the CO2 market in Flanders (R-1.05)</w:t>
            </w:r>
          </w:p>
        </w:tc>
        <w:tc>
          <w:tcPr>
            <w:tcW w:w="1229" w:type="dxa"/>
            <w:tcBorders>
              <w:top w:val="nil"/>
              <w:left w:val="nil"/>
              <w:bottom w:val="single" w:sz="4" w:space="0" w:color="auto"/>
              <w:right w:val="single" w:sz="4" w:space="0" w:color="auto"/>
            </w:tcBorders>
            <w:shd w:val="clear" w:color="auto" w:fill="C6EFCE"/>
            <w:noWrap/>
            <w:vAlign w:val="center"/>
          </w:tcPr>
          <w:p w14:paraId="1D0C3535" w14:textId="1E685B74" w:rsidR="003A67C6" w:rsidRPr="001961AA" w:rsidRDefault="00B74E0C"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M</w:t>
            </w:r>
          </w:p>
        </w:tc>
        <w:tc>
          <w:tcPr>
            <w:tcW w:w="1559" w:type="dxa"/>
            <w:tcBorders>
              <w:top w:val="nil"/>
              <w:left w:val="nil"/>
              <w:bottom w:val="single" w:sz="4" w:space="0" w:color="auto"/>
              <w:right w:val="single" w:sz="4" w:space="0" w:color="auto"/>
            </w:tcBorders>
            <w:shd w:val="clear" w:color="auto" w:fill="C6EFCE"/>
            <w:noWrap/>
            <w:vAlign w:val="center"/>
          </w:tcPr>
          <w:p w14:paraId="7861F9E2" w14:textId="13D9925A" w:rsidR="003A67C6" w:rsidRPr="001961AA" w:rsidRDefault="00B74E0C"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Entry into force of the new or modified decrees and related regulations to enable market development of CO2 in Flanders</w:t>
            </w:r>
          </w:p>
        </w:tc>
        <w:tc>
          <w:tcPr>
            <w:tcW w:w="1843" w:type="dxa"/>
            <w:tcBorders>
              <w:top w:val="nil"/>
              <w:left w:val="nil"/>
              <w:bottom w:val="single" w:sz="4" w:space="0" w:color="auto"/>
              <w:right w:val="single" w:sz="4" w:space="0" w:color="auto"/>
            </w:tcBorders>
            <w:shd w:val="clear" w:color="auto" w:fill="C6EFCE"/>
            <w:noWrap/>
            <w:vAlign w:val="center"/>
          </w:tcPr>
          <w:p w14:paraId="61BC45D1" w14:textId="3B697D7F" w:rsidR="003A67C6" w:rsidRPr="001961AA" w:rsidRDefault="00B74E0C"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Publication of the new or modified decrees and related regulations (Official Journal)</w:t>
            </w:r>
          </w:p>
        </w:tc>
        <w:tc>
          <w:tcPr>
            <w:tcW w:w="1039" w:type="dxa"/>
            <w:tcBorders>
              <w:top w:val="nil"/>
              <w:left w:val="nil"/>
              <w:bottom w:val="single" w:sz="4" w:space="0" w:color="auto"/>
              <w:right w:val="single" w:sz="4" w:space="0" w:color="auto"/>
            </w:tcBorders>
            <w:shd w:val="clear" w:color="auto" w:fill="C6EFCE"/>
            <w:noWrap/>
            <w:vAlign w:val="center"/>
          </w:tcPr>
          <w:p w14:paraId="0ECF405D" w14:textId="77777777" w:rsidR="003A67C6" w:rsidRPr="001961AA" w:rsidRDefault="003A67C6" w:rsidP="00BD6DD1">
            <w:pPr>
              <w:spacing w:after="0"/>
              <w:rPr>
                <w:rFonts w:ascii="Times New Roman" w:eastAsia="Times New Roman" w:hAnsi="Times New Roman" w:cs="Times New Roman"/>
                <w:noProof/>
                <w:color w:val="006100"/>
                <w:lang w:val="en-GB" w:eastAsia="en-GB"/>
              </w:rPr>
            </w:pPr>
          </w:p>
        </w:tc>
        <w:tc>
          <w:tcPr>
            <w:tcW w:w="960" w:type="dxa"/>
            <w:tcBorders>
              <w:top w:val="nil"/>
              <w:left w:val="nil"/>
              <w:bottom w:val="single" w:sz="4" w:space="0" w:color="auto"/>
              <w:right w:val="single" w:sz="4" w:space="0" w:color="auto"/>
            </w:tcBorders>
            <w:shd w:val="clear" w:color="auto" w:fill="C6EFCE"/>
            <w:noWrap/>
            <w:vAlign w:val="center"/>
          </w:tcPr>
          <w:p w14:paraId="3FE4F6AB" w14:textId="77777777" w:rsidR="003A67C6" w:rsidRPr="001961AA" w:rsidRDefault="003A67C6" w:rsidP="00BD6DD1">
            <w:pPr>
              <w:spacing w:after="0"/>
              <w:jc w:val="right"/>
              <w:rPr>
                <w:rFonts w:ascii="Times New Roman" w:eastAsia="Times New Roman" w:hAnsi="Times New Roman" w:cs="Times New Roman"/>
                <w:noProof/>
                <w:color w:val="006100"/>
                <w:lang w:val="en-GB" w:eastAsia="en-GB"/>
              </w:rPr>
            </w:pPr>
          </w:p>
        </w:tc>
        <w:tc>
          <w:tcPr>
            <w:tcW w:w="840" w:type="dxa"/>
            <w:tcBorders>
              <w:top w:val="nil"/>
              <w:left w:val="nil"/>
              <w:bottom w:val="single" w:sz="4" w:space="0" w:color="auto"/>
              <w:right w:val="single" w:sz="4" w:space="0" w:color="auto"/>
            </w:tcBorders>
            <w:shd w:val="clear" w:color="auto" w:fill="C6EFCE"/>
            <w:noWrap/>
            <w:vAlign w:val="center"/>
          </w:tcPr>
          <w:p w14:paraId="4DD7D184" w14:textId="77777777" w:rsidR="003A67C6" w:rsidRPr="001961AA" w:rsidRDefault="003A67C6" w:rsidP="00BD6DD1">
            <w:pPr>
              <w:spacing w:after="0"/>
              <w:jc w:val="right"/>
              <w:rPr>
                <w:rFonts w:ascii="Times New Roman" w:eastAsia="Times New Roman" w:hAnsi="Times New Roman" w:cs="Times New Roman"/>
                <w:noProof/>
                <w:color w:val="006100"/>
                <w:lang w:val="en-GB" w:eastAsia="en-GB"/>
              </w:rPr>
            </w:pPr>
          </w:p>
        </w:tc>
        <w:tc>
          <w:tcPr>
            <w:tcW w:w="960" w:type="dxa"/>
            <w:tcBorders>
              <w:top w:val="nil"/>
              <w:left w:val="nil"/>
              <w:bottom w:val="single" w:sz="4" w:space="0" w:color="auto"/>
              <w:right w:val="single" w:sz="4" w:space="0" w:color="auto"/>
            </w:tcBorders>
            <w:shd w:val="clear" w:color="auto" w:fill="C6EFCE"/>
            <w:noWrap/>
            <w:vAlign w:val="center"/>
          </w:tcPr>
          <w:p w14:paraId="6B8D9529" w14:textId="78B4083C" w:rsidR="003A67C6" w:rsidRPr="001961AA" w:rsidRDefault="00B74E0C"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Q1</w:t>
            </w:r>
          </w:p>
        </w:tc>
        <w:tc>
          <w:tcPr>
            <w:tcW w:w="720" w:type="dxa"/>
            <w:tcBorders>
              <w:top w:val="nil"/>
              <w:left w:val="nil"/>
              <w:bottom w:val="single" w:sz="4" w:space="0" w:color="auto"/>
              <w:right w:val="single" w:sz="4" w:space="0" w:color="auto"/>
            </w:tcBorders>
            <w:shd w:val="clear" w:color="auto" w:fill="C6EFCE"/>
            <w:noWrap/>
            <w:vAlign w:val="center"/>
          </w:tcPr>
          <w:p w14:paraId="31A0286D" w14:textId="4C0343DC" w:rsidR="003A67C6" w:rsidRPr="001961AA" w:rsidRDefault="00B74E0C"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2024</w:t>
            </w:r>
          </w:p>
        </w:tc>
        <w:tc>
          <w:tcPr>
            <w:tcW w:w="4200" w:type="dxa"/>
            <w:tcBorders>
              <w:top w:val="nil"/>
              <w:left w:val="nil"/>
              <w:bottom w:val="single" w:sz="4" w:space="0" w:color="auto"/>
              <w:right w:val="single" w:sz="4" w:space="0" w:color="auto"/>
            </w:tcBorders>
            <w:shd w:val="clear" w:color="auto" w:fill="C6EFCE"/>
            <w:noWrap/>
            <w:vAlign w:val="center"/>
          </w:tcPr>
          <w:p w14:paraId="724B0EE2" w14:textId="77777777" w:rsidR="00B74E0C" w:rsidRPr="001961AA" w:rsidRDefault="00B74E0C" w:rsidP="00B74E0C">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Entry into force of the new or modified decrees at the Flemish level to:</w:t>
            </w:r>
          </w:p>
          <w:p w14:paraId="4486EE4F" w14:textId="77777777" w:rsidR="00B74E0C" w:rsidRPr="001961AA" w:rsidRDefault="00B74E0C" w:rsidP="00DF5893">
            <w:pPr>
              <w:pStyle w:val="ListParagraph"/>
              <w:numPr>
                <w:ilvl w:val="0"/>
                <w:numId w:val="1"/>
              </w:num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enable market development of CO2,</w:t>
            </w:r>
          </w:p>
          <w:p w14:paraId="683BB20A" w14:textId="211651B0" w:rsidR="003A67C6" w:rsidRPr="001961AA" w:rsidRDefault="00B74E0C" w:rsidP="00DF5893">
            <w:pPr>
              <w:pStyle w:val="ListParagraph"/>
              <w:numPr>
                <w:ilvl w:val="0"/>
                <w:numId w:val="1"/>
              </w:num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cover topics such as supervision, non-discriminatory access and tariffs.</w:t>
            </w:r>
          </w:p>
        </w:tc>
      </w:tr>
      <w:tr w:rsidR="00292220" w:rsidRPr="009818D6" w14:paraId="20975991" w14:textId="77777777" w:rsidTr="00AD78C9">
        <w:trPr>
          <w:trHeight w:val="309"/>
        </w:trPr>
        <w:tc>
          <w:tcPr>
            <w:tcW w:w="993" w:type="dxa"/>
            <w:tcBorders>
              <w:top w:val="nil"/>
              <w:left w:val="single" w:sz="4" w:space="0" w:color="auto"/>
              <w:bottom w:val="single" w:sz="4" w:space="0" w:color="auto"/>
              <w:right w:val="single" w:sz="4" w:space="0" w:color="auto"/>
            </w:tcBorders>
            <w:shd w:val="clear" w:color="auto" w:fill="C6EFCE"/>
            <w:noWrap/>
            <w:vAlign w:val="center"/>
          </w:tcPr>
          <w:p w14:paraId="29E13757" w14:textId="1E599890" w:rsidR="004A48AA" w:rsidRPr="001961AA" w:rsidRDefault="004A48AA" w:rsidP="00AF35F0">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15ter</w:t>
            </w:r>
          </w:p>
        </w:tc>
        <w:tc>
          <w:tcPr>
            <w:tcW w:w="1464" w:type="dxa"/>
            <w:tcBorders>
              <w:top w:val="nil"/>
              <w:left w:val="nil"/>
              <w:bottom w:val="single" w:sz="4" w:space="0" w:color="auto"/>
              <w:right w:val="single" w:sz="4" w:space="0" w:color="auto"/>
            </w:tcBorders>
            <w:shd w:val="clear" w:color="auto" w:fill="C6EFCE"/>
            <w:noWrap/>
            <w:vAlign w:val="center"/>
          </w:tcPr>
          <w:p w14:paraId="4014C6FE" w14:textId="2A9E8A52" w:rsidR="004A48AA" w:rsidRPr="001961AA" w:rsidRDefault="004A48AA" w:rsidP="004A48AA">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Regulatory framework for the CO2 market in Wallonia (R-1.06)</w:t>
            </w:r>
          </w:p>
        </w:tc>
        <w:tc>
          <w:tcPr>
            <w:tcW w:w="1229" w:type="dxa"/>
            <w:tcBorders>
              <w:top w:val="nil"/>
              <w:left w:val="nil"/>
              <w:bottom w:val="single" w:sz="4" w:space="0" w:color="auto"/>
              <w:right w:val="single" w:sz="4" w:space="0" w:color="auto"/>
            </w:tcBorders>
            <w:shd w:val="clear" w:color="auto" w:fill="C6EFCE"/>
            <w:noWrap/>
            <w:vAlign w:val="center"/>
          </w:tcPr>
          <w:p w14:paraId="7822D590" w14:textId="1F2D3AC4" w:rsidR="004A48AA" w:rsidRPr="001961AA" w:rsidRDefault="004A48AA" w:rsidP="004A48AA">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M</w:t>
            </w:r>
          </w:p>
        </w:tc>
        <w:tc>
          <w:tcPr>
            <w:tcW w:w="1559" w:type="dxa"/>
            <w:tcBorders>
              <w:top w:val="nil"/>
              <w:left w:val="nil"/>
              <w:bottom w:val="single" w:sz="4" w:space="0" w:color="auto"/>
              <w:right w:val="single" w:sz="4" w:space="0" w:color="auto"/>
            </w:tcBorders>
            <w:shd w:val="clear" w:color="auto" w:fill="C6EFCE"/>
            <w:noWrap/>
            <w:vAlign w:val="center"/>
          </w:tcPr>
          <w:p w14:paraId="6B67E69A" w14:textId="253435EA" w:rsidR="004A48AA" w:rsidRPr="001961AA" w:rsidRDefault="004A48AA" w:rsidP="004A48AA">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Entry into force of the new or modified decrees and related regulations to enable market development of CO2 in Wallonia</w:t>
            </w:r>
          </w:p>
        </w:tc>
        <w:tc>
          <w:tcPr>
            <w:tcW w:w="1843" w:type="dxa"/>
            <w:tcBorders>
              <w:top w:val="nil"/>
              <w:left w:val="nil"/>
              <w:bottom w:val="single" w:sz="4" w:space="0" w:color="auto"/>
              <w:right w:val="single" w:sz="4" w:space="0" w:color="auto"/>
            </w:tcBorders>
            <w:shd w:val="clear" w:color="auto" w:fill="C6EFCE"/>
            <w:noWrap/>
            <w:vAlign w:val="center"/>
          </w:tcPr>
          <w:p w14:paraId="0C06945D" w14:textId="5F051B23" w:rsidR="004A48AA" w:rsidRPr="001961AA" w:rsidRDefault="004A48AA" w:rsidP="004A48AA">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Publication of the new or modified decrees and related regulations (Official Journal)</w:t>
            </w:r>
          </w:p>
        </w:tc>
        <w:tc>
          <w:tcPr>
            <w:tcW w:w="1039" w:type="dxa"/>
            <w:tcBorders>
              <w:top w:val="nil"/>
              <w:left w:val="nil"/>
              <w:bottom w:val="single" w:sz="4" w:space="0" w:color="auto"/>
              <w:right w:val="single" w:sz="4" w:space="0" w:color="auto"/>
            </w:tcBorders>
            <w:shd w:val="clear" w:color="auto" w:fill="C6EFCE"/>
            <w:noWrap/>
            <w:vAlign w:val="center"/>
          </w:tcPr>
          <w:p w14:paraId="73767558" w14:textId="77777777" w:rsidR="004A48AA" w:rsidRPr="001961AA" w:rsidRDefault="004A48AA" w:rsidP="004A48AA">
            <w:pPr>
              <w:spacing w:after="0"/>
              <w:rPr>
                <w:rFonts w:ascii="Times New Roman" w:eastAsia="Times New Roman" w:hAnsi="Times New Roman" w:cs="Times New Roman"/>
                <w:noProof/>
                <w:color w:val="006100"/>
                <w:lang w:val="en-GB" w:eastAsia="en-GB"/>
              </w:rPr>
            </w:pPr>
          </w:p>
        </w:tc>
        <w:tc>
          <w:tcPr>
            <w:tcW w:w="960" w:type="dxa"/>
            <w:tcBorders>
              <w:top w:val="nil"/>
              <w:left w:val="nil"/>
              <w:bottom w:val="single" w:sz="4" w:space="0" w:color="auto"/>
              <w:right w:val="single" w:sz="4" w:space="0" w:color="auto"/>
            </w:tcBorders>
            <w:shd w:val="clear" w:color="auto" w:fill="C6EFCE"/>
            <w:noWrap/>
            <w:vAlign w:val="center"/>
          </w:tcPr>
          <w:p w14:paraId="2280AEB3" w14:textId="77777777" w:rsidR="004A48AA" w:rsidRPr="001961AA" w:rsidRDefault="004A48AA" w:rsidP="004A48AA">
            <w:pPr>
              <w:spacing w:after="0"/>
              <w:jc w:val="right"/>
              <w:rPr>
                <w:rFonts w:ascii="Times New Roman" w:eastAsia="Times New Roman" w:hAnsi="Times New Roman" w:cs="Times New Roman"/>
                <w:noProof/>
                <w:color w:val="006100"/>
                <w:lang w:val="en-GB" w:eastAsia="en-GB"/>
              </w:rPr>
            </w:pPr>
          </w:p>
        </w:tc>
        <w:tc>
          <w:tcPr>
            <w:tcW w:w="840" w:type="dxa"/>
            <w:tcBorders>
              <w:top w:val="nil"/>
              <w:left w:val="nil"/>
              <w:bottom w:val="single" w:sz="4" w:space="0" w:color="auto"/>
              <w:right w:val="single" w:sz="4" w:space="0" w:color="auto"/>
            </w:tcBorders>
            <w:shd w:val="clear" w:color="auto" w:fill="C6EFCE"/>
            <w:noWrap/>
            <w:vAlign w:val="center"/>
          </w:tcPr>
          <w:p w14:paraId="3DBADB13" w14:textId="77777777" w:rsidR="004A48AA" w:rsidRPr="001961AA" w:rsidRDefault="004A48AA" w:rsidP="004A48AA">
            <w:pPr>
              <w:spacing w:after="0"/>
              <w:jc w:val="right"/>
              <w:rPr>
                <w:rFonts w:ascii="Times New Roman" w:eastAsia="Times New Roman" w:hAnsi="Times New Roman" w:cs="Times New Roman"/>
                <w:noProof/>
                <w:color w:val="006100"/>
                <w:lang w:val="en-GB" w:eastAsia="en-GB"/>
              </w:rPr>
            </w:pPr>
          </w:p>
        </w:tc>
        <w:tc>
          <w:tcPr>
            <w:tcW w:w="960" w:type="dxa"/>
            <w:tcBorders>
              <w:top w:val="nil"/>
              <w:left w:val="nil"/>
              <w:bottom w:val="single" w:sz="4" w:space="0" w:color="auto"/>
              <w:right w:val="single" w:sz="4" w:space="0" w:color="auto"/>
            </w:tcBorders>
            <w:shd w:val="clear" w:color="auto" w:fill="C6EFCE"/>
            <w:noWrap/>
            <w:vAlign w:val="center"/>
          </w:tcPr>
          <w:p w14:paraId="44733DC5" w14:textId="61EEF257" w:rsidR="004A48AA" w:rsidRPr="001961AA" w:rsidRDefault="004A48AA" w:rsidP="004A48AA">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Q1</w:t>
            </w:r>
          </w:p>
        </w:tc>
        <w:tc>
          <w:tcPr>
            <w:tcW w:w="720" w:type="dxa"/>
            <w:tcBorders>
              <w:top w:val="nil"/>
              <w:left w:val="nil"/>
              <w:bottom w:val="single" w:sz="4" w:space="0" w:color="auto"/>
              <w:right w:val="single" w:sz="4" w:space="0" w:color="auto"/>
            </w:tcBorders>
            <w:shd w:val="clear" w:color="auto" w:fill="C6EFCE"/>
            <w:noWrap/>
            <w:vAlign w:val="center"/>
          </w:tcPr>
          <w:p w14:paraId="14158E8D" w14:textId="26D3F1A3" w:rsidR="004A48AA" w:rsidRPr="001961AA" w:rsidRDefault="004A48AA" w:rsidP="004A48AA">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2024</w:t>
            </w:r>
          </w:p>
        </w:tc>
        <w:tc>
          <w:tcPr>
            <w:tcW w:w="4200" w:type="dxa"/>
            <w:tcBorders>
              <w:top w:val="nil"/>
              <w:left w:val="nil"/>
              <w:bottom w:val="single" w:sz="4" w:space="0" w:color="auto"/>
              <w:right w:val="single" w:sz="4" w:space="0" w:color="auto"/>
            </w:tcBorders>
            <w:shd w:val="clear" w:color="auto" w:fill="C6EFCE"/>
            <w:noWrap/>
            <w:vAlign w:val="center"/>
          </w:tcPr>
          <w:p w14:paraId="2BE9C1A0" w14:textId="0FBF8AA1" w:rsidR="004A48AA" w:rsidRPr="001961AA" w:rsidRDefault="004A48AA" w:rsidP="006C6C54">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Entry into force of the new or modified decrees at the Walloon level to:</w:t>
            </w:r>
          </w:p>
          <w:p w14:paraId="41B5CE92" w14:textId="1CA618DC" w:rsidR="004A48AA" w:rsidRPr="001961AA" w:rsidRDefault="004A48AA" w:rsidP="00DF5893">
            <w:pPr>
              <w:pStyle w:val="ListParagraph"/>
              <w:numPr>
                <w:ilvl w:val="0"/>
                <w:numId w:val="1"/>
              </w:num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enable market development of CO2,</w:t>
            </w:r>
          </w:p>
          <w:p w14:paraId="1A0A84DA" w14:textId="76C2A0C3" w:rsidR="004A48AA" w:rsidRPr="001961AA" w:rsidRDefault="004A48AA" w:rsidP="00DF5893">
            <w:pPr>
              <w:pStyle w:val="ListParagraph"/>
              <w:numPr>
                <w:ilvl w:val="0"/>
                <w:numId w:val="1"/>
              </w:num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cover topics such as supervision, non-discriminatory access and tariffs.</w:t>
            </w:r>
          </w:p>
        </w:tc>
      </w:tr>
      <w:tr w:rsidR="00292220" w:rsidRPr="009818D6" w14:paraId="43385E53" w14:textId="77777777" w:rsidTr="00AD78C9">
        <w:trPr>
          <w:trHeight w:val="309"/>
        </w:trPr>
        <w:tc>
          <w:tcPr>
            <w:tcW w:w="993" w:type="dxa"/>
            <w:tcBorders>
              <w:top w:val="nil"/>
              <w:left w:val="single" w:sz="4" w:space="0" w:color="auto"/>
              <w:bottom w:val="single" w:sz="4" w:space="0" w:color="auto"/>
              <w:right w:val="single" w:sz="4" w:space="0" w:color="auto"/>
            </w:tcBorders>
            <w:shd w:val="clear" w:color="auto" w:fill="C6EFCE"/>
            <w:noWrap/>
            <w:vAlign w:val="center"/>
            <w:hideMark/>
          </w:tcPr>
          <w:p w14:paraId="7C533F6A"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18</w:t>
            </w:r>
          </w:p>
        </w:tc>
        <w:tc>
          <w:tcPr>
            <w:tcW w:w="1464" w:type="dxa"/>
            <w:tcBorders>
              <w:top w:val="nil"/>
              <w:left w:val="nil"/>
              <w:bottom w:val="single" w:sz="4" w:space="0" w:color="auto"/>
              <w:right w:val="single" w:sz="4" w:space="0" w:color="auto"/>
            </w:tcBorders>
            <w:shd w:val="clear" w:color="auto" w:fill="C6EFCE"/>
            <w:noWrap/>
            <w:vAlign w:val="center"/>
            <w:hideMark/>
          </w:tcPr>
          <w:p w14:paraId="20B4C171"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An industrial value chain for hydrogen transition (I-1.15)</w:t>
            </w:r>
          </w:p>
        </w:tc>
        <w:tc>
          <w:tcPr>
            <w:tcW w:w="1229" w:type="dxa"/>
            <w:tcBorders>
              <w:top w:val="nil"/>
              <w:left w:val="nil"/>
              <w:bottom w:val="single" w:sz="4" w:space="0" w:color="auto"/>
              <w:right w:val="single" w:sz="4" w:space="0" w:color="auto"/>
            </w:tcBorders>
            <w:shd w:val="clear" w:color="auto" w:fill="C6EFCE"/>
            <w:noWrap/>
            <w:vAlign w:val="center"/>
            <w:hideMark/>
          </w:tcPr>
          <w:p w14:paraId="516DD04F" w14:textId="6881C735"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M</w:t>
            </w:r>
          </w:p>
        </w:tc>
        <w:tc>
          <w:tcPr>
            <w:tcW w:w="1559" w:type="dxa"/>
            <w:tcBorders>
              <w:top w:val="nil"/>
              <w:left w:val="nil"/>
              <w:bottom w:val="single" w:sz="4" w:space="0" w:color="auto"/>
              <w:right w:val="single" w:sz="4" w:space="0" w:color="auto"/>
            </w:tcBorders>
            <w:shd w:val="clear" w:color="auto" w:fill="C6EFCE"/>
            <w:noWrap/>
            <w:vAlign w:val="center"/>
            <w:hideMark/>
          </w:tcPr>
          <w:p w14:paraId="7CDD52BE" w14:textId="5B130448"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Award of contracts under the call for projects</w:t>
            </w:r>
          </w:p>
        </w:tc>
        <w:tc>
          <w:tcPr>
            <w:tcW w:w="1843" w:type="dxa"/>
            <w:tcBorders>
              <w:top w:val="nil"/>
              <w:left w:val="nil"/>
              <w:bottom w:val="single" w:sz="4" w:space="0" w:color="auto"/>
              <w:right w:val="single" w:sz="4" w:space="0" w:color="auto"/>
            </w:tcBorders>
            <w:shd w:val="clear" w:color="auto" w:fill="C6EFCE"/>
            <w:noWrap/>
            <w:vAlign w:val="center"/>
            <w:hideMark/>
          </w:tcPr>
          <w:p w14:paraId="51BC4061"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Written notification of contract awards to successful candidates</w:t>
            </w:r>
          </w:p>
        </w:tc>
        <w:tc>
          <w:tcPr>
            <w:tcW w:w="1039" w:type="dxa"/>
            <w:tcBorders>
              <w:top w:val="nil"/>
              <w:left w:val="nil"/>
              <w:bottom w:val="single" w:sz="4" w:space="0" w:color="auto"/>
              <w:right w:val="single" w:sz="4" w:space="0" w:color="auto"/>
            </w:tcBorders>
            <w:shd w:val="clear" w:color="auto" w:fill="C6EFCE"/>
            <w:noWrap/>
            <w:vAlign w:val="center"/>
            <w:hideMark/>
          </w:tcPr>
          <w:p w14:paraId="3DFE9EBB"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 xml:space="preserve"> </w:t>
            </w:r>
          </w:p>
        </w:tc>
        <w:tc>
          <w:tcPr>
            <w:tcW w:w="960" w:type="dxa"/>
            <w:tcBorders>
              <w:top w:val="nil"/>
              <w:left w:val="nil"/>
              <w:bottom w:val="single" w:sz="4" w:space="0" w:color="auto"/>
              <w:right w:val="single" w:sz="4" w:space="0" w:color="auto"/>
            </w:tcBorders>
            <w:shd w:val="clear" w:color="auto" w:fill="C6EFCE"/>
            <w:noWrap/>
            <w:vAlign w:val="center"/>
            <w:hideMark/>
          </w:tcPr>
          <w:p w14:paraId="6C1C4F70"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 xml:space="preserve"> </w:t>
            </w:r>
          </w:p>
        </w:tc>
        <w:tc>
          <w:tcPr>
            <w:tcW w:w="840" w:type="dxa"/>
            <w:tcBorders>
              <w:top w:val="nil"/>
              <w:left w:val="nil"/>
              <w:bottom w:val="single" w:sz="4" w:space="0" w:color="auto"/>
              <w:right w:val="single" w:sz="4" w:space="0" w:color="auto"/>
            </w:tcBorders>
            <w:shd w:val="clear" w:color="auto" w:fill="C6EFCE"/>
            <w:noWrap/>
            <w:vAlign w:val="center"/>
            <w:hideMark/>
          </w:tcPr>
          <w:p w14:paraId="15205DEC"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 xml:space="preserve"> </w:t>
            </w:r>
          </w:p>
        </w:tc>
        <w:tc>
          <w:tcPr>
            <w:tcW w:w="960" w:type="dxa"/>
            <w:tcBorders>
              <w:top w:val="nil"/>
              <w:left w:val="nil"/>
              <w:bottom w:val="single" w:sz="4" w:space="0" w:color="auto"/>
              <w:right w:val="single" w:sz="4" w:space="0" w:color="auto"/>
            </w:tcBorders>
            <w:shd w:val="clear" w:color="auto" w:fill="C6EFCE"/>
            <w:noWrap/>
            <w:vAlign w:val="center"/>
            <w:hideMark/>
          </w:tcPr>
          <w:p w14:paraId="15BFDF4F" w14:textId="77777777" w:rsidR="006A41D9" w:rsidRPr="001961AA" w:rsidRDefault="006A41D9" w:rsidP="00BD6DD1">
            <w:pPr>
              <w:spacing w:after="0"/>
              <w:rPr>
                <w:rFonts w:ascii="Times New Roman" w:eastAsia="Times New Roman" w:hAnsi="Times New Roman" w:cs="Times New Roman"/>
                <w:noProof/>
                <w:color w:val="006100"/>
                <w:highlight w:val="yellow"/>
                <w:lang w:val="en-GB"/>
              </w:rPr>
            </w:pPr>
            <w:r w:rsidRPr="001961AA">
              <w:rPr>
                <w:rFonts w:ascii="Times New Roman" w:hAnsi="Times New Roman"/>
                <w:noProof/>
                <w:color w:val="006100"/>
                <w:lang w:val="en-GB"/>
              </w:rPr>
              <w:t>Q2</w:t>
            </w:r>
          </w:p>
        </w:tc>
        <w:tc>
          <w:tcPr>
            <w:tcW w:w="720" w:type="dxa"/>
            <w:tcBorders>
              <w:top w:val="nil"/>
              <w:left w:val="nil"/>
              <w:bottom w:val="single" w:sz="4" w:space="0" w:color="auto"/>
              <w:right w:val="single" w:sz="4" w:space="0" w:color="auto"/>
            </w:tcBorders>
            <w:shd w:val="clear" w:color="auto" w:fill="C6EFCE"/>
            <w:noWrap/>
            <w:vAlign w:val="center"/>
            <w:hideMark/>
          </w:tcPr>
          <w:p w14:paraId="7CE6927E"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2022</w:t>
            </w:r>
          </w:p>
        </w:tc>
        <w:tc>
          <w:tcPr>
            <w:tcW w:w="4200" w:type="dxa"/>
            <w:tcBorders>
              <w:top w:val="nil"/>
              <w:left w:val="nil"/>
              <w:bottom w:val="single" w:sz="4" w:space="0" w:color="auto"/>
              <w:right w:val="single" w:sz="4" w:space="0" w:color="auto"/>
            </w:tcBorders>
            <w:shd w:val="clear" w:color="auto" w:fill="C6EFCE"/>
            <w:noWrap/>
            <w:vAlign w:val="center"/>
            <w:hideMark/>
          </w:tcPr>
          <w:p w14:paraId="348EDFD7" w14:textId="07CFEC6A" w:rsidR="006A41D9" w:rsidRPr="001961AA" w:rsidRDefault="00075F3A"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Notification of the award of contracts for a total value of at least EUR 27 000 000 to sucessful candidates under the call for projects “An industrial value chain for hydrogen transition (federal level). The projects shall be selected via a call for projects, which shall cover demonstration plants for clean hydrogen production as well as the use of hydrogen, for instance in vessels, insofar as the projects fall under the competence of the federal government. As regards demonstration plants for clean hydrogen production, the call shall be open for all technologies with zero process emissions, such as electrolysis powered by renewable electricity, pyrolysis.</w:t>
            </w:r>
          </w:p>
          <w:p w14:paraId="682DFC84" w14:textId="77777777" w:rsidR="006A41D9" w:rsidRPr="001961AA" w:rsidRDefault="006A41D9" w:rsidP="00BD6DD1">
            <w:pPr>
              <w:spacing w:after="0"/>
              <w:rPr>
                <w:rFonts w:ascii="Times New Roman" w:eastAsia="Times New Roman" w:hAnsi="Times New Roman" w:cs="Times New Roman"/>
                <w:noProof/>
                <w:color w:val="006100"/>
                <w:lang w:val="en-GB" w:eastAsia="en-GB"/>
              </w:rPr>
            </w:pPr>
          </w:p>
          <w:p w14:paraId="473D43BF" w14:textId="4EAD5282"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 xml:space="preserve">Call for projects for research and innovation (R&amp;I) projects shall comply with the following conditions: </w:t>
            </w:r>
          </w:p>
          <w:p w14:paraId="145CD087" w14:textId="2B147070"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 The R&amp;I exclusively or primarily focuses on low-impact options (such as. renewable hydrogen production or other zero emission environmental innovations) or</w:t>
            </w:r>
          </w:p>
          <w:p w14:paraId="47B8923A" w14:textId="4A2A3B39"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 The R&amp;I is dedicated to improving “best in class” technology (such as. technologies with the most limited impact (but not zero / low impact) among those currently available), and appropriate flanking measures are put in place to prevent lock-in effects (measures enabling the uptake of low impact technologies, or their development); or</w:t>
            </w:r>
          </w:p>
          <w:p w14:paraId="0ECE83FB"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 The results of the R&amp;I process are technologically neutral at the level of their application (i.e. they may be applied across all available technologies)</w:t>
            </w:r>
          </w:p>
          <w:p w14:paraId="4BEA39E3"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 Any electricity used in the projects is of green origin (such as. using RES-e) or based on green PPAs.</w:t>
            </w:r>
          </w:p>
          <w:p w14:paraId="0874E3CE" w14:textId="77777777" w:rsidR="00F25AD9" w:rsidRPr="001961AA" w:rsidRDefault="00F25AD9" w:rsidP="00BD6DD1">
            <w:pPr>
              <w:spacing w:after="0"/>
              <w:rPr>
                <w:rFonts w:ascii="Times New Roman" w:eastAsia="Times New Roman" w:hAnsi="Times New Roman" w:cs="Times New Roman"/>
                <w:noProof/>
                <w:color w:val="006100"/>
                <w:lang w:val="en-GB" w:eastAsia="en-GB"/>
              </w:rPr>
            </w:pPr>
          </w:p>
          <w:p w14:paraId="46A50186" w14:textId="502722F5" w:rsidR="00F25AD9" w:rsidRPr="001961AA" w:rsidRDefault="00F25A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Any amounts provided by other Union programmes or instruments shall not be counted towards this amount.</w:t>
            </w:r>
          </w:p>
        </w:tc>
      </w:tr>
      <w:tr w:rsidR="00292220" w:rsidRPr="009818D6" w14:paraId="44160E0B" w14:textId="77777777" w:rsidTr="00AD78C9">
        <w:trPr>
          <w:trHeight w:val="1550"/>
        </w:trPr>
        <w:tc>
          <w:tcPr>
            <w:tcW w:w="993" w:type="dxa"/>
            <w:tcBorders>
              <w:top w:val="nil"/>
              <w:left w:val="single" w:sz="4" w:space="0" w:color="auto"/>
              <w:bottom w:val="single" w:sz="4" w:space="0" w:color="auto"/>
              <w:right w:val="single" w:sz="4" w:space="0" w:color="auto"/>
            </w:tcBorders>
            <w:shd w:val="clear" w:color="auto" w:fill="C6EFCE"/>
            <w:noWrap/>
            <w:vAlign w:val="center"/>
            <w:hideMark/>
          </w:tcPr>
          <w:p w14:paraId="64877E87"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19</w:t>
            </w:r>
          </w:p>
        </w:tc>
        <w:tc>
          <w:tcPr>
            <w:tcW w:w="1464" w:type="dxa"/>
            <w:tcBorders>
              <w:top w:val="nil"/>
              <w:left w:val="nil"/>
              <w:bottom w:val="single" w:sz="4" w:space="0" w:color="auto"/>
              <w:right w:val="single" w:sz="4" w:space="0" w:color="auto"/>
            </w:tcBorders>
            <w:shd w:val="clear" w:color="auto" w:fill="C6EFCE"/>
            <w:noWrap/>
            <w:vAlign w:val="center"/>
            <w:hideMark/>
          </w:tcPr>
          <w:p w14:paraId="3D0DDBDB"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An industrial value chain for hydrogen transition (I-1.15)</w:t>
            </w:r>
          </w:p>
        </w:tc>
        <w:tc>
          <w:tcPr>
            <w:tcW w:w="1229" w:type="dxa"/>
            <w:tcBorders>
              <w:top w:val="nil"/>
              <w:left w:val="nil"/>
              <w:bottom w:val="single" w:sz="4" w:space="0" w:color="auto"/>
              <w:right w:val="single" w:sz="4" w:space="0" w:color="auto"/>
            </w:tcBorders>
            <w:shd w:val="clear" w:color="auto" w:fill="C6EFCE"/>
            <w:noWrap/>
            <w:vAlign w:val="center"/>
            <w:hideMark/>
          </w:tcPr>
          <w:p w14:paraId="57B84017" w14:textId="7E5AFF23"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M</w:t>
            </w:r>
          </w:p>
        </w:tc>
        <w:tc>
          <w:tcPr>
            <w:tcW w:w="1559" w:type="dxa"/>
            <w:tcBorders>
              <w:top w:val="nil"/>
              <w:left w:val="nil"/>
              <w:bottom w:val="single" w:sz="4" w:space="0" w:color="auto"/>
              <w:right w:val="single" w:sz="4" w:space="0" w:color="auto"/>
            </w:tcBorders>
            <w:shd w:val="clear" w:color="auto" w:fill="C6EFCE"/>
            <w:noWrap/>
            <w:vAlign w:val="center"/>
            <w:hideMark/>
          </w:tcPr>
          <w:p w14:paraId="527FA2E6" w14:textId="6A432150"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Award of contracts under the 2nd call for projects</w:t>
            </w:r>
          </w:p>
        </w:tc>
        <w:tc>
          <w:tcPr>
            <w:tcW w:w="1843" w:type="dxa"/>
            <w:tcBorders>
              <w:top w:val="nil"/>
              <w:left w:val="nil"/>
              <w:bottom w:val="single" w:sz="4" w:space="0" w:color="auto"/>
              <w:right w:val="single" w:sz="4" w:space="0" w:color="auto"/>
            </w:tcBorders>
            <w:shd w:val="clear" w:color="auto" w:fill="C6EFCE"/>
            <w:noWrap/>
            <w:vAlign w:val="center"/>
            <w:hideMark/>
          </w:tcPr>
          <w:p w14:paraId="059924A7"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Written notification of contract award to successful candidates</w:t>
            </w:r>
          </w:p>
        </w:tc>
        <w:tc>
          <w:tcPr>
            <w:tcW w:w="1039" w:type="dxa"/>
            <w:tcBorders>
              <w:top w:val="nil"/>
              <w:left w:val="nil"/>
              <w:bottom w:val="single" w:sz="4" w:space="0" w:color="auto"/>
              <w:right w:val="single" w:sz="4" w:space="0" w:color="auto"/>
            </w:tcBorders>
            <w:shd w:val="clear" w:color="auto" w:fill="C6EFCE"/>
            <w:noWrap/>
            <w:vAlign w:val="center"/>
            <w:hideMark/>
          </w:tcPr>
          <w:p w14:paraId="5F1FDF00"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 xml:space="preserve"> </w:t>
            </w:r>
          </w:p>
        </w:tc>
        <w:tc>
          <w:tcPr>
            <w:tcW w:w="960" w:type="dxa"/>
            <w:tcBorders>
              <w:top w:val="nil"/>
              <w:left w:val="nil"/>
              <w:bottom w:val="single" w:sz="4" w:space="0" w:color="auto"/>
              <w:right w:val="single" w:sz="4" w:space="0" w:color="auto"/>
            </w:tcBorders>
            <w:shd w:val="clear" w:color="auto" w:fill="C6EFCE"/>
            <w:noWrap/>
            <w:vAlign w:val="center"/>
            <w:hideMark/>
          </w:tcPr>
          <w:p w14:paraId="64BAF603"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 xml:space="preserve"> </w:t>
            </w:r>
          </w:p>
        </w:tc>
        <w:tc>
          <w:tcPr>
            <w:tcW w:w="840" w:type="dxa"/>
            <w:tcBorders>
              <w:top w:val="nil"/>
              <w:left w:val="nil"/>
              <w:bottom w:val="single" w:sz="4" w:space="0" w:color="auto"/>
              <w:right w:val="single" w:sz="4" w:space="0" w:color="auto"/>
            </w:tcBorders>
            <w:shd w:val="clear" w:color="auto" w:fill="C6EFCE"/>
            <w:noWrap/>
            <w:vAlign w:val="center"/>
            <w:hideMark/>
          </w:tcPr>
          <w:p w14:paraId="737CCA52"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 xml:space="preserve"> </w:t>
            </w:r>
          </w:p>
        </w:tc>
        <w:tc>
          <w:tcPr>
            <w:tcW w:w="960" w:type="dxa"/>
            <w:tcBorders>
              <w:top w:val="nil"/>
              <w:left w:val="nil"/>
              <w:bottom w:val="single" w:sz="4" w:space="0" w:color="auto"/>
              <w:right w:val="single" w:sz="4" w:space="0" w:color="auto"/>
            </w:tcBorders>
            <w:shd w:val="clear" w:color="auto" w:fill="C6EFCE"/>
            <w:noWrap/>
            <w:vAlign w:val="center"/>
            <w:hideMark/>
          </w:tcPr>
          <w:p w14:paraId="156AA7F3"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Q2</w:t>
            </w:r>
          </w:p>
        </w:tc>
        <w:tc>
          <w:tcPr>
            <w:tcW w:w="720" w:type="dxa"/>
            <w:tcBorders>
              <w:top w:val="nil"/>
              <w:left w:val="nil"/>
              <w:bottom w:val="single" w:sz="4" w:space="0" w:color="auto"/>
              <w:right w:val="single" w:sz="4" w:space="0" w:color="auto"/>
            </w:tcBorders>
            <w:shd w:val="clear" w:color="auto" w:fill="C6EFCE"/>
            <w:noWrap/>
            <w:vAlign w:val="center"/>
            <w:hideMark/>
          </w:tcPr>
          <w:p w14:paraId="37B9C801" w14:textId="512EDEEF"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2024</w:t>
            </w:r>
          </w:p>
        </w:tc>
        <w:tc>
          <w:tcPr>
            <w:tcW w:w="4200" w:type="dxa"/>
            <w:tcBorders>
              <w:top w:val="nil"/>
              <w:left w:val="nil"/>
              <w:bottom w:val="single" w:sz="4" w:space="0" w:color="auto"/>
              <w:right w:val="single" w:sz="4" w:space="0" w:color="auto"/>
            </w:tcBorders>
            <w:shd w:val="clear" w:color="auto" w:fill="C6EFCE"/>
            <w:noWrap/>
            <w:vAlign w:val="center"/>
            <w:hideMark/>
          </w:tcPr>
          <w:p w14:paraId="6D3AA713" w14:textId="4166E6F1"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Award of contracts under the 2</w:t>
            </w:r>
            <w:r w:rsidRPr="001961AA">
              <w:rPr>
                <w:rFonts w:ascii="Times New Roman" w:hAnsi="Times New Roman"/>
                <w:noProof/>
                <w:color w:val="006100"/>
                <w:vertAlign w:val="superscript"/>
                <w:lang w:val="en-GB"/>
              </w:rPr>
              <w:t>nd</w:t>
            </w:r>
            <w:r w:rsidRPr="001961AA">
              <w:rPr>
                <w:rFonts w:ascii="Times New Roman" w:hAnsi="Times New Roman"/>
                <w:noProof/>
                <w:color w:val="006100"/>
                <w:lang w:val="en-GB"/>
              </w:rPr>
              <w:t xml:space="preserve"> call for projects “An industrial value chain for hydrogen transition (Federal level). The projects shall be selected via a call for projects, which shall cover demonstration plants for clean hydrogen production as well as the use of hydrogen, for instance in vessels, insofar as the projects fall under the competence of the federal government. As regards demonstration plants for clean hydrogen production, the call shall be open for all technologies with zero process emissions, such as electrolysis powered by renewable electricity, pyrolysis. </w:t>
            </w:r>
          </w:p>
          <w:p w14:paraId="7E288680" w14:textId="77777777" w:rsidR="006A41D9" w:rsidRPr="001961AA" w:rsidRDefault="006A41D9" w:rsidP="00BD6DD1">
            <w:pPr>
              <w:spacing w:after="0"/>
              <w:rPr>
                <w:rFonts w:ascii="Times New Roman" w:eastAsia="Times New Roman" w:hAnsi="Times New Roman" w:cs="Times New Roman"/>
                <w:noProof/>
                <w:color w:val="006100"/>
                <w:lang w:val="en-GB" w:eastAsia="en-GB"/>
              </w:rPr>
            </w:pPr>
          </w:p>
          <w:p w14:paraId="73BCCD6A" w14:textId="23B68504"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 xml:space="preserve">Call for projects for research and innovation (R&amp;I) projects shall comply with the following conditions: </w:t>
            </w:r>
          </w:p>
          <w:p w14:paraId="2D215185"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 The R&amp;I exclusively or primarily focuses on low-impact options (such as renewable hydrogen production or other zero emission environmental innovations); or</w:t>
            </w:r>
          </w:p>
          <w:p w14:paraId="72413873"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 The R&amp;I is dedicated to improving “best in class” technology (such as technologies with the most limited impact (but not zero / low impact) among those currently available), and appropriate flanking measures are put in place to prevent lock-in effects (measures enabling the uptake of low impact technologies, or their development); or</w:t>
            </w:r>
          </w:p>
          <w:p w14:paraId="4B1F8B83"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 The results of the R&amp;I process are technologically neutral at the level of their application (i.e. they may be applied across all available technologies)</w:t>
            </w:r>
          </w:p>
          <w:p w14:paraId="1438049F" w14:textId="70B3D50A"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 Any electricity used in the projects is of green origin (such as using RES-e) or based on green PPAs.</w:t>
            </w:r>
          </w:p>
        </w:tc>
      </w:tr>
      <w:tr w:rsidR="00292220" w:rsidRPr="009818D6" w14:paraId="4707C91B" w14:textId="77777777" w:rsidTr="00AD78C9">
        <w:trPr>
          <w:trHeight w:val="309"/>
        </w:trPr>
        <w:tc>
          <w:tcPr>
            <w:tcW w:w="993" w:type="dxa"/>
            <w:tcBorders>
              <w:top w:val="nil"/>
              <w:left w:val="single" w:sz="4" w:space="0" w:color="auto"/>
              <w:bottom w:val="single" w:sz="4" w:space="0" w:color="auto"/>
              <w:right w:val="single" w:sz="4" w:space="0" w:color="auto"/>
            </w:tcBorders>
            <w:shd w:val="clear" w:color="auto" w:fill="C6EFCE"/>
            <w:noWrap/>
            <w:vAlign w:val="center"/>
          </w:tcPr>
          <w:p w14:paraId="1D25A460"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w:t>
            </w:r>
          </w:p>
        </w:tc>
        <w:tc>
          <w:tcPr>
            <w:tcW w:w="1464" w:type="dxa"/>
            <w:tcBorders>
              <w:top w:val="nil"/>
              <w:left w:val="nil"/>
              <w:bottom w:val="single" w:sz="4" w:space="0" w:color="auto"/>
              <w:right w:val="single" w:sz="4" w:space="0" w:color="auto"/>
            </w:tcBorders>
            <w:shd w:val="clear" w:color="auto" w:fill="C6EFCE"/>
            <w:noWrap/>
            <w:vAlign w:val="center"/>
          </w:tcPr>
          <w:p w14:paraId="481FAB53"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An industrial value chain for hydrogen transition (I-1.15)</w:t>
            </w:r>
          </w:p>
        </w:tc>
        <w:tc>
          <w:tcPr>
            <w:tcW w:w="1229" w:type="dxa"/>
            <w:tcBorders>
              <w:top w:val="nil"/>
              <w:left w:val="nil"/>
              <w:bottom w:val="single" w:sz="4" w:space="0" w:color="auto"/>
              <w:right w:val="single" w:sz="4" w:space="0" w:color="auto"/>
            </w:tcBorders>
            <w:shd w:val="clear" w:color="auto" w:fill="C6EFCE"/>
            <w:noWrap/>
            <w:vAlign w:val="center"/>
          </w:tcPr>
          <w:p w14:paraId="01FC6EB1" w14:textId="2087C08E"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M</w:t>
            </w:r>
          </w:p>
        </w:tc>
        <w:tc>
          <w:tcPr>
            <w:tcW w:w="1559" w:type="dxa"/>
            <w:tcBorders>
              <w:top w:val="nil"/>
              <w:left w:val="nil"/>
              <w:bottom w:val="single" w:sz="4" w:space="0" w:color="auto"/>
              <w:right w:val="single" w:sz="4" w:space="0" w:color="auto"/>
            </w:tcBorders>
            <w:shd w:val="clear" w:color="auto" w:fill="C6EFCE"/>
            <w:noWrap/>
            <w:vAlign w:val="center"/>
          </w:tcPr>
          <w:p w14:paraId="4C2F201E" w14:textId="31E2658A" w:rsidR="006A41D9" w:rsidRPr="001961AA" w:rsidRDefault="006C7BDF"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Projects funded under the calls for projects</w:t>
            </w:r>
          </w:p>
        </w:tc>
        <w:tc>
          <w:tcPr>
            <w:tcW w:w="1843" w:type="dxa"/>
            <w:tcBorders>
              <w:top w:val="nil"/>
              <w:left w:val="nil"/>
              <w:bottom w:val="single" w:sz="4" w:space="0" w:color="auto"/>
              <w:right w:val="single" w:sz="4" w:space="0" w:color="auto"/>
            </w:tcBorders>
            <w:shd w:val="clear" w:color="auto" w:fill="C6EFCE"/>
            <w:noWrap/>
            <w:vAlign w:val="center"/>
          </w:tcPr>
          <w:p w14:paraId="46EFF1FF" w14:textId="555E3C91" w:rsidR="006A41D9" w:rsidRPr="001961AA" w:rsidRDefault="006C7BDF"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Payments to awarded projects</w:t>
            </w:r>
          </w:p>
        </w:tc>
        <w:tc>
          <w:tcPr>
            <w:tcW w:w="1039" w:type="dxa"/>
            <w:tcBorders>
              <w:top w:val="nil"/>
              <w:left w:val="nil"/>
              <w:bottom w:val="single" w:sz="4" w:space="0" w:color="auto"/>
              <w:right w:val="single" w:sz="4" w:space="0" w:color="auto"/>
            </w:tcBorders>
            <w:shd w:val="clear" w:color="auto" w:fill="C6EFCE"/>
            <w:noWrap/>
            <w:vAlign w:val="center"/>
          </w:tcPr>
          <w:p w14:paraId="7E239EF9" w14:textId="77777777"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960" w:type="dxa"/>
            <w:tcBorders>
              <w:top w:val="nil"/>
              <w:left w:val="nil"/>
              <w:bottom w:val="single" w:sz="4" w:space="0" w:color="auto"/>
              <w:right w:val="single" w:sz="4" w:space="0" w:color="auto"/>
            </w:tcBorders>
            <w:shd w:val="clear" w:color="auto" w:fill="C6EFCE"/>
            <w:noWrap/>
            <w:vAlign w:val="center"/>
          </w:tcPr>
          <w:p w14:paraId="3796A068" w14:textId="77777777"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840" w:type="dxa"/>
            <w:tcBorders>
              <w:top w:val="nil"/>
              <w:left w:val="nil"/>
              <w:bottom w:val="single" w:sz="4" w:space="0" w:color="auto"/>
              <w:right w:val="single" w:sz="4" w:space="0" w:color="auto"/>
            </w:tcBorders>
            <w:shd w:val="clear" w:color="auto" w:fill="C6EFCE"/>
            <w:noWrap/>
            <w:vAlign w:val="center"/>
          </w:tcPr>
          <w:p w14:paraId="289489A1" w14:textId="77777777"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960" w:type="dxa"/>
            <w:tcBorders>
              <w:top w:val="nil"/>
              <w:left w:val="nil"/>
              <w:bottom w:val="single" w:sz="4" w:space="0" w:color="auto"/>
              <w:right w:val="single" w:sz="4" w:space="0" w:color="auto"/>
            </w:tcBorders>
            <w:shd w:val="clear" w:color="auto" w:fill="C6EFCE"/>
            <w:noWrap/>
            <w:vAlign w:val="center"/>
          </w:tcPr>
          <w:p w14:paraId="6570A2C7"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Q4</w:t>
            </w:r>
          </w:p>
        </w:tc>
        <w:tc>
          <w:tcPr>
            <w:tcW w:w="720" w:type="dxa"/>
            <w:tcBorders>
              <w:top w:val="nil"/>
              <w:left w:val="nil"/>
              <w:bottom w:val="single" w:sz="4" w:space="0" w:color="auto"/>
              <w:right w:val="single" w:sz="4" w:space="0" w:color="auto"/>
            </w:tcBorders>
            <w:shd w:val="clear" w:color="auto" w:fill="C6EFCE"/>
            <w:noWrap/>
            <w:vAlign w:val="center"/>
          </w:tcPr>
          <w:p w14:paraId="2D219C76"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2025</w:t>
            </w:r>
          </w:p>
        </w:tc>
        <w:tc>
          <w:tcPr>
            <w:tcW w:w="4200" w:type="dxa"/>
            <w:tcBorders>
              <w:top w:val="nil"/>
              <w:left w:val="nil"/>
              <w:bottom w:val="single" w:sz="4" w:space="0" w:color="auto"/>
              <w:right w:val="single" w:sz="4" w:space="0" w:color="auto"/>
            </w:tcBorders>
            <w:shd w:val="clear" w:color="auto" w:fill="C6EFCE"/>
            <w:noWrap/>
            <w:vAlign w:val="center"/>
          </w:tcPr>
          <w:p w14:paraId="7D7C317B" w14:textId="2991F021" w:rsidR="006A41D9" w:rsidRPr="001961AA" w:rsidRDefault="00DD4CAA"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At least EUR 45 000 000 shall be paid to projects awarded under the call for projects “An industrial value chain for hydrogen transition” (federal level).</w:t>
            </w:r>
          </w:p>
          <w:p w14:paraId="6969E2E0" w14:textId="77777777" w:rsidR="003D1403" w:rsidRPr="001961AA" w:rsidRDefault="003D1403" w:rsidP="00BD6DD1">
            <w:pPr>
              <w:spacing w:after="0"/>
              <w:rPr>
                <w:rFonts w:ascii="Times New Roman" w:eastAsia="Times New Roman" w:hAnsi="Times New Roman" w:cs="Times New Roman"/>
                <w:noProof/>
                <w:color w:val="006100"/>
                <w:lang w:val="en-GB" w:eastAsia="en-GB"/>
              </w:rPr>
            </w:pPr>
          </w:p>
          <w:p w14:paraId="4634F7AB" w14:textId="741A4F9A" w:rsidR="00AD18A7" w:rsidRPr="001961AA" w:rsidRDefault="00AD18A7"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Any amounts provided by other Union programmes or instruments shall not be counted towards this amount.</w:t>
            </w:r>
          </w:p>
          <w:p w14:paraId="2FE8D68C" w14:textId="77777777" w:rsidR="00AD18A7" w:rsidRPr="001961AA" w:rsidRDefault="00AD18A7" w:rsidP="00BD6DD1">
            <w:pPr>
              <w:spacing w:after="0"/>
              <w:rPr>
                <w:rFonts w:ascii="Times New Roman" w:eastAsia="Times New Roman" w:hAnsi="Times New Roman" w:cs="Times New Roman"/>
                <w:noProof/>
                <w:color w:val="006100"/>
                <w:lang w:val="en-GB" w:eastAsia="en-GB"/>
              </w:rPr>
            </w:pPr>
          </w:p>
          <w:p w14:paraId="7DA89277" w14:textId="65815338" w:rsidR="006A41D9" w:rsidRPr="001961AA" w:rsidRDefault="006A41D9" w:rsidP="00BD6DD1">
            <w:pPr>
              <w:spacing w:after="0"/>
              <w:rPr>
                <w:rFonts w:ascii="Times New Roman" w:eastAsia="Times New Roman" w:hAnsi="Times New Roman" w:cs="Times New Roman"/>
                <w:noProof/>
                <w:color w:val="006100"/>
                <w:lang w:val="en-GB" w:eastAsia="en-GB"/>
              </w:rPr>
            </w:pPr>
          </w:p>
        </w:tc>
      </w:tr>
      <w:tr w:rsidR="00292220" w:rsidRPr="009818D6" w14:paraId="042156EC" w14:textId="77777777" w:rsidTr="00AD78C9">
        <w:trPr>
          <w:trHeight w:val="309"/>
        </w:trPr>
        <w:tc>
          <w:tcPr>
            <w:tcW w:w="993" w:type="dxa"/>
            <w:tcBorders>
              <w:top w:val="nil"/>
              <w:left w:val="single" w:sz="4" w:space="0" w:color="auto"/>
              <w:bottom w:val="single" w:sz="4" w:space="0" w:color="auto"/>
              <w:right w:val="single" w:sz="4" w:space="0" w:color="auto"/>
            </w:tcBorders>
            <w:shd w:val="clear" w:color="auto" w:fill="C6EFCE"/>
            <w:noWrap/>
            <w:vAlign w:val="center"/>
          </w:tcPr>
          <w:p w14:paraId="10BADD9D"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21</w:t>
            </w:r>
          </w:p>
        </w:tc>
        <w:tc>
          <w:tcPr>
            <w:tcW w:w="1464" w:type="dxa"/>
            <w:tcBorders>
              <w:top w:val="nil"/>
              <w:left w:val="nil"/>
              <w:bottom w:val="single" w:sz="4" w:space="0" w:color="auto"/>
              <w:right w:val="single" w:sz="4" w:space="0" w:color="auto"/>
            </w:tcBorders>
            <w:shd w:val="clear" w:color="auto" w:fill="C6EFCE"/>
            <w:noWrap/>
            <w:vAlign w:val="center"/>
          </w:tcPr>
          <w:p w14:paraId="6BD48A7A"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An industrial value chain for hydrogen transition (I-1.16)</w:t>
            </w:r>
          </w:p>
        </w:tc>
        <w:tc>
          <w:tcPr>
            <w:tcW w:w="1229" w:type="dxa"/>
            <w:tcBorders>
              <w:top w:val="nil"/>
              <w:left w:val="nil"/>
              <w:bottom w:val="single" w:sz="4" w:space="0" w:color="auto"/>
              <w:right w:val="single" w:sz="4" w:space="0" w:color="auto"/>
            </w:tcBorders>
            <w:shd w:val="clear" w:color="auto" w:fill="C6EFCE"/>
            <w:noWrap/>
            <w:vAlign w:val="center"/>
          </w:tcPr>
          <w:p w14:paraId="53D15E3C" w14:textId="1F56C25B"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M</w:t>
            </w:r>
          </w:p>
        </w:tc>
        <w:tc>
          <w:tcPr>
            <w:tcW w:w="1559" w:type="dxa"/>
            <w:tcBorders>
              <w:top w:val="nil"/>
              <w:left w:val="nil"/>
              <w:bottom w:val="single" w:sz="4" w:space="0" w:color="auto"/>
              <w:right w:val="single" w:sz="4" w:space="0" w:color="auto"/>
            </w:tcBorders>
            <w:shd w:val="clear" w:color="auto" w:fill="C6EFCE"/>
            <w:noWrap/>
            <w:vAlign w:val="center"/>
          </w:tcPr>
          <w:p w14:paraId="2218FDA3"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Award of contracts to hydrogen IPCEI projects</w:t>
            </w:r>
          </w:p>
        </w:tc>
        <w:tc>
          <w:tcPr>
            <w:tcW w:w="1843" w:type="dxa"/>
            <w:tcBorders>
              <w:top w:val="nil"/>
              <w:left w:val="nil"/>
              <w:bottom w:val="single" w:sz="4" w:space="0" w:color="auto"/>
              <w:right w:val="single" w:sz="4" w:space="0" w:color="auto"/>
            </w:tcBorders>
            <w:shd w:val="clear" w:color="auto" w:fill="C6EFCE"/>
            <w:noWrap/>
            <w:vAlign w:val="center"/>
          </w:tcPr>
          <w:p w14:paraId="33C727E3"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Written notification of contract awards to successful candidates</w:t>
            </w:r>
          </w:p>
        </w:tc>
        <w:tc>
          <w:tcPr>
            <w:tcW w:w="1039" w:type="dxa"/>
            <w:tcBorders>
              <w:top w:val="nil"/>
              <w:left w:val="nil"/>
              <w:bottom w:val="single" w:sz="4" w:space="0" w:color="auto"/>
              <w:right w:val="single" w:sz="4" w:space="0" w:color="auto"/>
            </w:tcBorders>
            <w:shd w:val="clear" w:color="auto" w:fill="C6EFCE"/>
            <w:noWrap/>
            <w:vAlign w:val="center"/>
          </w:tcPr>
          <w:p w14:paraId="7A5208DA" w14:textId="77777777"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960" w:type="dxa"/>
            <w:tcBorders>
              <w:top w:val="nil"/>
              <w:left w:val="nil"/>
              <w:bottom w:val="single" w:sz="4" w:space="0" w:color="auto"/>
              <w:right w:val="single" w:sz="4" w:space="0" w:color="auto"/>
            </w:tcBorders>
            <w:shd w:val="clear" w:color="auto" w:fill="C6EFCE"/>
            <w:noWrap/>
            <w:vAlign w:val="center"/>
          </w:tcPr>
          <w:p w14:paraId="382A87C9" w14:textId="77777777"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840" w:type="dxa"/>
            <w:tcBorders>
              <w:top w:val="nil"/>
              <w:left w:val="nil"/>
              <w:bottom w:val="single" w:sz="4" w:space="0" w:color="auto"/>
              <w:right w:val="single" w:sz="4" w:space="0" w:color="auto"/>
            </w:tcBorders>
            <w:shd w:val="clear" w:color="auto" w:fill="C6EFCE"/>
            <w:noWrap/>
            <w:vAlign w:val="center"/>
          </w:tcPr>
          <w:p w14:paraId="52A7F5C5" w14:textId="77777777"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960" w:type="dxa"/>
            <w:tcBorders>
              <w:top w:val="nil"/>
              <w:left w:val="nil"/>
              <w:bottom w:val="single" w:sz="4" w:space="0" w:color="auto"/>
              <w:right w:val="single" w:sz="4" w:space="0" w:color="auto"/>
            </w:tcBorders>
            <w:shd w:val="clear" w:color="auto" w:fill="C6EFCE"/>
            <w:noWrap/>
            <w:vAlign w:val="center"/>
          </w:tcPr>
          <w:p w14:paraId="108C78E9"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Q4</w:t>
            </w:r>
          </w:p>
        </w:tc>
        <w:tc>
          <w:tcPr>
            <w:tcW w:w="720" w:type="dxa"/>
            <w:tcBorders>
              <w:top w:val="nil"/>
              <w:left w:val="nil"/>
              <w:bottom w:val="single" w:sz="4" w:space="0" w:color="auto"/>
              <w:right w:val="single" w:sz="4" w:space="0" w:color="auto"/>
            </w:tcBorders>
            <w:shd w:val="clear" w:color="auto" w:fill="C6EFCE"/>
            <w:noWrap/>
            <w:vAlign w:val="center"/>
          </w:tcPr>
          <w:p w14:paraId="78073D29"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2022</w:t>
            </w:r>
          </w:p>
        </w:tc>
        <w:tc>
          <w:tcPr>
            <w:tcW w:w="4200" w:type="dxa"/>
            <w:tcBorders>
              <w:top w:val="nil"/>
              <w:left w:val="nil"/>
              <w:bottom w:val="single" w:sz="4" w:space="0" w:color="auto"/>
              <w:right w:val="single" w:sz="4" w:space="0" w:color="auto"/>
            </w:tcBorders>
            <w:shd w:val="clear" w:color="auto" w:fill="C6EFCE"/>
            <w:noWrap/>
            <w:vAlign w:val="center"/>
          </w:tcPr>
          <w:p w14:paraId="48C248C7" w14:textId="77777777" w:rsidR="006A41D9" w:rsidRPr="001961AA" w:rsidRDefault="006A41D9" w:rsidP="000029C0">
            <w:pPr>
              <w:spacing w:after="12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Award of contracts to hydrogen IPCEI projects (defined as those projects forming the subject of the IPCEI State aid notification) under the measure “An industrial value chain for hydrogen transition” (Flanders). Are excluded from selected projects: all activities under the Emission Trading Scheme (ETS) with projected CO2 equivalent emissions that are not substantially lower than the relevant benchmarks established for free allocation.</w:t>
            </w:r>
          </w:p>
          <w:p w14:paraId="162BF545"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 xml:space="preserve">Selected research and innovation (R&amp;I) projects shall comply with the following conditions: </w:t>
            </w:r>
          </w:p>
          <w:p w14:paraId="2F6D0BB1"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 The R&amp;I exclusively or primarily focuses on low-impact options (such as renewable hydrogen production or other zero emission environmental innovations); or</w:t>
            </w:r>
          </w:p>
          <w:p w14:paraId="056664EA"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 The R&amp;I is dedicated to improving “best in class” technology (such as technologies with the most limited impact (but not zero / low impact) among those currently available), and appropriate flanking measures are put in place to prevent lock-in effects (measures enabling the uptake of low impact technologies, or their development); or</w:t>
            </w:r>
          </w:p>
          <w:p w14:paraId="443A0FCB"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 The results of the R&amp;I process are technologically neutral at the level of their application (i.e. they may be applied across all available technologies)</w:t>
            </w:r>
          </w:p>
          <w:p w14:paraId="027CADB9"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 Any electricity used in the projects is of green origin (such as using RES-e) or based on green PPAs.</w:t>
            </w:r>
          </w:p>
        </w:tc>
      </w:tr>
      <w:tr w:rsidR="00292220" w:rsidRPr="009818D6" w14:paraId="27D2D573" w14:textId="77777777" w:rsidTr="00AD78C9">
        <w:trPr>
          <w:trHeight w:val="309"/>
        </w:trPr>
        <w:tc>
          <w:tcPr>
            <w:tcW w:w="993" w:type="dxa"/>
            <w:tcBorders>
              <w:top w:val="nil"/>
              <w:left w:val="single" w:sz="4" w:space="0" w:color="auto"/>
              <w:bottom w:val="single" w:sz="4" w:space="0" w:color="auto"/>
              <w:right w:val="single" w:sz="4" w:space="0" w:color="auto"/>
            </w:tcBorders>
            <w:shd w:val="clear" w:color="auto" w:fill="C6EFCE"/>
            <w:noWrap/>
            <w:vAlign w:val="center"/>
          </w:tcPr>
          <w:p w14:paraId="0E103E82"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22</w:t>
            </w:r>
          </w:p>
        </w:tc>
        <w:tc>
          <w:tcPr>
            <w:tcW w:w="1464" w:type="dxa"/>
            <w:tcBorders>
              <w:top w:val="nil"/>
              <w:left w:val="nil"/>
              <w:bottom w:val="single" w:sz="4" w:space="0" w:color="auto"/>
              <w:right w:val="single" w:sz="4" w:space="0" w:color="auto"/>
            </w:tcBorders>
            <w:shd w:val="clear" w:color="auto" w:fill="C6EFCE"/>
            <w:noWrap/>
            <w:vAlign w:val="center"/>
          </w:tcPr>
          <w:p w14:paraId="203AB020"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An industrial value chain for hydrogen transition (I-1.16)</w:t>
            </w:r>
          </w:p>
        </w:tc>
        <w:tc>
          <w:tcPr>
            <w:tcW w:w="1229" w:type="dxa"/>
            <w:tcBorders>
              <w:top w:val="nil"/>
              <w:left w:val="nil"/>
              <w:bottom w:val="single" w:sz="4" w:space="0" w:color="auto"/>
              <w:right w:val="single" w:sz="4" w:space="0" w:color="auto"/>
            </w:tcBorders>
            <w:shd w:val="clear" w:color="auto" w:fill="C6EFCE"/>
            <w:noWrap/>
            <w:vAlign w:val="center"/>
          </w:tcPr>
          <w:p w14:paraId="06837AFB" w14:textId="128D66FF"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M</w:t>
            </w:r>
          </w:p>
        </w:tc>
        <w:tc>
          <w:tcPr>
            <w:tcW w:w="1559" w:type="dxa"/>
            <w:tcBorders>
              <w:top w:val="nil"/>
              <w:left w:val="nil"/>
              <w:bottom w:val="single" w:sz="4" w:space="0" w:color="auto"/>
              <w:right w:val="single" w:sz="4" w:space="0" w:color="auto"/>
            </w:tcBorders>
            <w:shd w:val="clear" w:color="auto" w:fill="C6EFCE"/>
            <w:noWrap/>
            <w:vAlign w:val="center"/>
          </w:tcPr>
          <w:p w14:paraId="7D11A59E"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Award of contracts for non-IPCEI hydrogen projects</w:t>
            </w:r>
          </w:p>
        </w:tc>
        <w:tc>
          <w:tcPr>
            <w:tcW w:w="1843" w:type="dxa"/>
            <w:tcBorders>
              <w:top w:val="nil"/>
              <w:left w:val="nil"/>
              <w:bottom w:val="single" w:sz="4" w:space="0" w:color="auto"/>
              <w:right w:val="single" w:sz="4" w:space="0" w:color="auto"/>
            </w:tcBorders>
            <w:shd w:val="clear" w:color="auto" w:fill="C6EFCE"/>
            <w:noWrap/>
            <w:vAlign w:val="center"/>
          </w:tcPr>
          <w:p w14:paraId="290B89F6"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Written notification of contract awards to successful candidates</w:t>
            </w:r>
          </w:p>
        </w:tc>
        <w:tc>
          <w:tcPr>
            <w:tcW w:w="1039" w:type="dxa"/>
            <w:tcBorders>
              <w:top w:val="nil"/>
              <w:left w:val="nil"/>
              <w:bottom w:val="single" w:sz="4" w:space="0" w:color="auto"/>
              <w:right w:val="single" w:sz="4" w:space="0" w:color="auto"/>
            </w:tcBorders>
            <w:shd w:val="clear" w:color="auto" w:fill="C6EFCE"/>
            <w:noWrap/>
            <w:vAlign w:val="center"/>
          </w:tcPr>
          <w:p w14:paraId="3AB85F49" w14:textId="77777777"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960" w:type="dxa"/>
            <w:tcBorders>
              <w:top w:val="nil"/>
              <w:left w:val="nil"/>
              <w:bottom w:val="single" w:sz="4" w:space="0" w:color="auto"/>
              <w:right w:val="single" w:sz="4" w:space="0" w:color="auto"/>
            </w:tcBorders>
            <w:shd w:val="clear" w:color="auto" w:fill="C6EFCE"/>
            <w:noWrap/>
            <w:vAlign w:val="center"/>
          </w:tcPr>
          <w:p w14:paraId="4E2C40D8" w14:textId="77777777"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840" w:type="dxa"/>
            <w:tcBorders>
              <w:top w:val="nil"/>
              <w:left w:val="nil"/>
              <w:bottom w:val="single" w:sz="4" w:space="0" w:color="auto"/>
              <w:right w:val="single" w:sz="4" w:space="0" w:color="auto"/>
            </w:tcBorders>
            <w:shd w:val="clear" w:color="auto" w:fill="C6EFCE"/>
            <w:noWrap/>
            <w:vAlign w:val="center"/>
          </w:tcPr>
          <w:p w14:paraId="12C089B2" w14:textId="77777777"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960" w:type="dxa"/>
            <w:tcBorders>
              <w:top w:val="nil"/>
              <w:left w:val="nil"/>
              <w:bottom w:val="single" w:sz="4" w:space="0" w:color="auto"/>
              <w:right w:val="single" w:sz="4" w:space="0" w:color="auto"/>
            </w:tcBorders>
            <w:shd w:val="clear" w:color="auto" w:fill="C6EFCE"/>
            <w:noWrap/>
            <w:vAlign w:val="center"/>
          </w:tcPr>
          <w:p w14:paraId="7F6F225D"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Q4</w:t>
            </w:r>
          </w:p>
        </w:tc>
        <w:tc>
          <w:tcPr>
            <w:tcW w:w="720" w:type="dxa"/>
            <w:tcBorders>
              <w:top w:val="nil"/>
              <w:left w:val="nil"/>
              <w:bottom w:val="single" w:sz="4" w:space="0" w:color="auto"/>
              <w:right w:val="single" w:sz="4" w:space="0" w:color="auto"/>
            </w:tcBorders>
            <w:shd w:val="clear" w:color="auto" w:fill="C6EFCE"/>
            <w:noWrap/>
            <w:vAlign w:val="center"/>
          </w:tcPr>
          <w:p w14:paraId="65864C88"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2022</w:t>
            </w:r>
          </w:p>
        </w:tc>
        <w:tc>
          <w:tcPr>
            <w:tcW w:w="4200" w:type="dxa"/>
            <w:tcBorders>
              <w:top w:val="nil"/>
              <w:left w:val="nil"/>
              <w:bottom w:val="single" w:sz="4" w:space="0" w:color="auto"/>
              <w:right w:val="single" w:sz="4" w:space="0" w:color="auto"/>
            </w:tcBorders>
            <w:shd w:val="clear" w:color="auto" w:fill="C6EFCE"/>
            <w:noWrap/>
            <w:vAlign w:val="center"/>
          </w:tcPr>
          <w:p w14:paraId="6C32FC42" w14:textId="77777777" w:rsidR="006A41D9" w:rsidRPr="001961AA" w:rsidRDefault="006A41D9" w:rsidP="0093632D">
            <w:pPr>
              <w:spacing w:after="12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Award of contracts to additional non-IPCEI hydrogen projects. Are excluded from selected projects: all activities under the Emission Trading Scheme (ETS) with projected CO2 equivalent emissions that are not substantially lower than the relevant benchmarks established for free allocation.</w:t>
            </w:r>
          </w:p>
          <w:p w14:paraId="718A6653" w14:textId="77777777" w:rsidR="006A41D9" w:rsidRPr="001961AA" w:rsidRDefault="006A41D9" w:rsidP="0093632D">
            <w:pPr>
              <w:spacing w:after="12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 xml:space="preserve">Selected research and innovation (R&amp;I) projects shall comply with the following conditions: </w:t>
            </w:r>
          </w:p>
          <w:p w14:paraId="2432DA5D"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 The R&amp;I exclusively or primarily focuses on low-impact options (such as renewable hydrogen production or other zero emission environmental innovations); or</w:t>
            </w:r>
          </w:p>
          <w:p w14:paraId="4DEFE3DF"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 The R&amp;I is dedicated to improving “best in class” technology (such as technologies with the most limited impact (but not zero / low impact) among those currently available), and appropriate flanking measures are put in place to prevent lock-in effects (measures enabling the uptake of low impact technologies, or their development); or</w:t>
            </w:r>
          </w:p>
          <w:p w14:paraId="0705C3CC"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 The results of the R&amp;I process are technologically neutral at the level of their application (i.e. they may be applied across all available technologies)</w:t>
            </w:r>
          </w:p>
          <w:p w14:paraId="03351E2A"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 Any electricity used in the projects is of green origin (such as using RES-e) or based on green PPAs.</w:t>
            </w:r>
          </w:p>
        </w:tc>
      </w:tr>
      <w:tr w:rsidR="00292220" w:rsidRPr="009818D6" w14:paraId="4F9E94E2" w14:textId="77777777" w:rsidTr="00AD78C9">
        <w:trPr>
          <w:trHeight w:val="309"/>
        </w:trPr>
        <w:tc>
          <w:tcPr>
            <w:tcW w:w="993" w:type="dxa"/>
            <w:tcBorders>
              <w:top w:val="nil"/>
              <w:left w:val="single" w:sz="4" w:space="0" w:color="auto"/>
              <w:bottom w:val="single" w:sz="4" w:space="0" w:color="auto"/>
              <w:right w:val="single" w:sz="4" w:space="0" w:color="auto"/>
            </w:tcBorders>
            <w:shd w:val="clear" w:color="auto" w:fill="C6EFCE"/>
            <w:noWrap/>
            <w:vAlign w:val="center"/>
          </w:tcPr>
          <w:p w14:paraId="5E536C5A"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23</w:t>
            </w:r>
          </w:p>
        </w:tc>
        <w:tc>
          <w:tcPr>
            <w:tcW w:w="1464" w:type="dxa"/>
            <w:tcBorders>
              <w:top w:val="nil"/>
              <w:left w:val="nil"/>
              <w:bottom w:val="single" w:sz="4" w:space="0" w:color="auto"/>
              <w:right w:val="single" w:sz="4" w:space="0" w:color="auto"/>
            </w:tcBorders>
            <w:shd w:val="clear" w:color="auto" w:fill="C6EFCE"/>
            <w:noWrap/>
            <w:vAlign w:val="center"/>
          </w:tcPr>
          <w:p w14:paraId="4170A5CB"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An industrial value chain for hydrogen transition (I-1.16)</w:t>
            </w:r>
          </w:p>
        </w:tc>
        <w:tc>
          <w:tcPr>
            <w:tcW w:w="1229" w:type="dxa"/>
            <w:tcBorders>
              <w:top w:val="nil"/>
              <w:left w:val="nil"/>
              <w:bottom w:val="single" w:sz="4" w:space="0" w:color="auto"/>
              <w:right w:val="single" w:sz="4" w:space="0" w:color="auto"/>
            </w:tcBorders>
            <w:shd w:val="clear" w:color="auto" w:fill="C6EFCE"/>
            <w:noWrap/>
            <w:vAlign w:val="center"/>
          </w:tcPr>
          <w:p w14:paraId="19952235" w14:textId="6D46757F"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M</w:t>
            </w:r>
          </w:p>
        </w:tc>
        <w:tc>
          <w:tcPr>
            <w:tcW w:w="1559" w:type="dxa"/>
            <w:tcBorders>
              <w:top w:val="nil"/>
              <w:left w:val="nil"/>
              <w:bottom w:val="single" w:sz="4" w:space="0" w:color="auto"/>
              <w:right w:val="single" w:sz="4" w:space="0" w:color="auto"/>
            </w:tcBorders>
            <w:shd w:val="clear" w:color="auto" w:fill="C6EFCE"/>
            <w:noWrap/>
            <w:vAlign w:val="center"/>
          </w:tcPr>
          <w:p w14:paraId="094E0D58"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Completion of projects awarded under the call for tender</w:t>
            </w:r>
          </w:p>
        </w:tc>
        <w:tc>
          <w:tcPr>
            <w:tcW w:w="1843" w:type="dxa"/>
            <w:tcBorders>
              <w:top w:val="nil"/>
              <w:left w:val="nil"/>
              <w:bottom w:val="single" w:sz="4" w:space="0" w:color="auto"/>
              <w:right w:val="single" w:sz="4" w:space="0" w:color="auto"/>
            </w:tcBorders>
            <w:shd w:val="clear" w:color="auto" w:fill="C6EFCE"/>
            <w:noWrap/>
            <w:vAlign w:val="center"/>
          </w:tcPr>
          <w:p w14:paraId="1262A464"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Final Project Report approved</w:t>
            </w:r>
          </w:p>
        </w:tc>
        <w:tc>
          <w:tcPr>
            <w:tcW w:w="1039" w:type="dxa"/>
            <w:tcBorders>
              <w:top w:val="nil"/>
              <w:left w:val="nil"/>
              <w:bottom w:val="single" w:sz="4" w:space="0" w:color="auto"/>
              <w:right w:val="single" w:sz="4" w:space="0" w:color="auto"/>
            </w:tcBorders>
            <w:shd w:val="clear" w:color="auto" w:fill="C6EFCE"/>
            <w:noWrap/>
            <w:vAlign w:val="center"/>
          </w:tcPr>
          <w:p w14:paraId="6D494560" w14:textId="77777777"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960" w:type="dxa"/>
            <w:tcBorders>
              <w:top w:val="nil"/>
              <w:left w:val="nil"/>
              <w:bottom w:val="single" w:sz="4" w:space="0" w:color="auto"/>
              <w:right w:val="single" w:sz="4" w:space="0" w:color="auto"/>
            </w:tcBorders>
            <w:shd w:val="clear" w:color="auto" w:fill="C6EFCE"/>
            <w:noWrap/>
            <w:vAlign w:val="center"/>
          </w:tcPr>
          <w:p w14:paraId="2EF764CB" w14:textId="77777777"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840" w:type="dxa"/>
            <w:tcBorders>
              <w:top w:val="nil"/>
              <w:left w:val="nil"/>
              <w:bottom w:val="single" w:sz="4" w:space="0" w:color="auto"/>
              <w:right w:val="single" w:sz="4" w:space="0" w:color="auto"/>
            </w:tcBorders>
            <w:shd w:val="clear" w:color="auto" w:fill="C6EFCE"/>
            <w:noWrap/>
            <w:vAlign w:val="center"/>
          </w:tcPr>
          <w:p w14:paraId="63E28F65" w14:textId="77777777"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960" w:type="dxa"/>
            <w:tcBorders>
              <w:top w:val="nil"/>
              <w:left w:val="nil"/>
              <w:bottom w:val="single" w:sz="4" w:space="0" w:color="auto"/>
              <w:right w:val="single" w:sz="4" w:space="0" w:color="auto"/>
            </w:tcBorders>
            <w:shd w:val="clear" w:color="auto" w:fill="C6EFCE"/>
            <w:noWrap/>
            <w:vAlign w:val="center"/>
          </w:tcPr>
          <w:p w14:paraId="05A3F2C2"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Q2</w:t>
            </w:r>
          </w:p>
        </w:tc>
        <w:tc>
          <w:tcPr>
            <w:tcW w:w="720" w:type="dxa"/>
            <w:tcBorders>
              <w:top w:val="nil"/>
              <w:left w:val="nil"/>
              <w:bottom w:val="single" w:sz="4" w:space="0" w:color="auto"/>
              <w:right w:val="single" w:sz="4" w:space="0" w:color="auto"/>
            </w:tcBorders>
            <w:shd w:val="clear" w:color="auto" w:fill="C6EFCE"/>
            <w:noWrap/>
            <w:vAlign w:val="center"/>
          </w:tcPr>
          <w:p w14:paraId="7DA4A083"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2026</w:t>
            </w:r>
          </w:p>
        </w:tc>
        <w:tc>
          <w:tcPr>
            <w:tcW w:w="4200" w:type="dxa"/>
            <w:tcBorders>
              <w:top w:val="nil"/>
              <w:left w:val="nil"/>
              <w:bottom w:val="single" w:sz="4" w:space="0" w:color="auto"/>
              <w:right w:val="single" w:sz="4" w:space="0" w:color="auto"/>
            </w:tcBorders>
            <w:shd w:val="clear" w:color="auto" w:fill="C6EFCE"/>
            <w:noWrap/>
            <w:vAlign w:val="center"/>
          </w:tcPr>
          <w:p w14:paraId="2FAECFF4" w14:textId="05AC3816" w:rsidR="006A41D9" w:rsidRPr="001961AA" w:rsidRDefault="006A41D9" w:rsidP="009E4837">
            <w:pPr>
              <w:spacing w:after="12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Completion of projects awarded under the call for tender “An industrial value chain for hydrogen transition” (Flanders), with EUR 67 500 000 executed, including new hydrogen electrolysis capacity of 75 MW operational.</w:t>
            </w:r>
          </w:p>
          <w:p w14:paraId="04266287" w14:textId="5C5F07D1" w:rsidR="006A41D9" w:rsidRPr="001961AA" w:rsidRDefault="006A41D9" w:rsidP="00BD6DD1">
            <w:pPr>
              <w:spacing w:after="0"/>
              <w:rPr>
                <w:rFonts w:ascii="Times New Roman" w:eastAsia="Times New Roman" w:hAnsi="Times New Roman" w:cs="Times New Roman"/>
                <w:noProof/>
                <w:color w:val="006100"/>
                <w:lang w:val="en-GB" w:eastAsia="en-GB"/>
              </w:rPr>
            </w:pPr>
          </w:p>
        </w:tc>
      </w:tr>
      <w:tr w:rsidR="00292220" w:rsidRPr="009818D6" w14:paraId="0FFD2DC0" w14:textId="77777777" w:rsidTr="00AD78C9">
        <w:trPr>
          <w:trHeight w:val="309"/>
        </w:trPr>
        <w:tc>
          <w:tcPr>
            <w:tcW w:w="993" w:type="dxa"/>
            <w:tcBorders>
              <w:top w:val="nil"/>
              <w:left w:val="single" w:sz="4" w:space="0" w:color="auto"/>
              <w:bottom w:val="single" w:sz="4" w:space="0" w:color="auto"/>
              <w:right w:val="single" w:sz="4" w:space="0" w:color="auto"/>
            </w:tcBorders>
            <w:shd w:val="clear" w:color="auto" w:fill="C6EFCE"/>
            <w:noWrap/>
            <w:vAlign w:val="center"/>
          </w:tcPr>
          <w:p w14:paraId="11C272A7"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24</w:t>
            </w:r>
          </w:p>
        </w:tc>
        <w:tc>
          <w:tcPr>
            <w:tcW w:w="1464" w:type="dxa"/>
            <w:tcBorders>
              <w:top w:val="nil"/>
              <w:left w:val="nil"/>
              <w:bottom w:val="single" w:sz="4" w:space="0" w:color="auto"/>
              <w:right w:val="single" w:sz="4" w:space="0" w:color="auto"/>
            </w:tcBorders>
            <w:shd w:val="clear" w:color="auto" w:fill="C6EFCE"/>
            <w:noWrap/>
            <w:vAlign w:val="center"/>
          </w:tcPr>
          <w:p w14:paraId="6BB52E42"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An industrial value chain for hydrogen transition (I-1.17)</w:t>
            </w:r>
          </w:p>
        </w:tc>
        <w:tc>
          <w:tcPr>
            <w:tcW w:w="1229" w:type="dxa"/>
            <w:tcBorders>
              <w:top w:val="nil"/>
              <w:left w:val="nil"/>
              <w:bottom w:val="single" w:sz="4" w:space="0" w:color="auto"/>
              <w:right w:val="single" w:sz="4" w:space="0" w:color="auto"/>
            </w:tcBorders>
            <w:shd w:val="clear" w:color="auto" w:fill="C6EFCE"/>
            <w:noWrap/>
            <w:vAlign w:val="center"/>
          </w:tcPr>
          <w:p w14:paraId="20BC7FA8" w14:textId="5AD14184"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M</w:t>
            </w:r>
          </w:p>
        </w:tc>
        <w:tc>
          <w:tcPr>
            <w:tcW w:w="1559" w:type="dxa"/>
            <w:tcBorders>
              <w:top w:val="nil"/>
              <w:left w:val="nil"/>
              <w:bottom w:val="single" w:sz="4" w:space="0" w:color="auto"/>
              <w:right w:val="single" w:sz="4" w:space="0" w:color="auto"/>
            </w:tcBorders>
            <w:shd w:val="clear" w:color="auto" w:fill="C6EFCE"/>
            <w:noWrap/>
            <w:vAlign w:val="center"/>
          </w:tcPr>
          <w:p w14:paraId="7A7A163C"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Award of contracts for hydrogen IPCEI projects</w:t>
            </w:r>
          </w:p>
        </w:tc>
        <w:tc>
          <w:tcPr>
            <w:tcW w:w="1843" w:type="dxa"/>
            <w:tcBorders>
              <w:top w:val="nil"/>
              <w:left w:val="nil"/>
              <w:bottom w:val="single" w:sz="4" w:space="0" w:color="auto"/>
              <w:right w:val="single" w:sz="4" w:space="0" w:color="auto"/>
            </w:tcBorders>
            <w:shd w:val="clear" w:color="auto" w:fill="C6EFCE"/>
            <w:noWrap/>
            <w:vAlign w:val="center"/>
          </w:tcPr>
          <w:p w14:paraId="38B40391"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Written notification of contract awards to successful candidates</w:t>
            </w:r>
          </w:p>
        </w:tc>
        <w:tc>
          <w:tcPr>
            <w:tcW w:w="1039" w:type="dxa"/>
            <w:tcBorders>
              <w:top w:val="nil"/>
              <w:left w:val="nil"/>
              <w:bottom w:val="single" w:sz="4" w:space="0" w:color="auto"/>
              <w:right w:val="single" w:sz="4" w:space="0" w:color="auto"/>
            </w:tcBorders>
            <w:shd w:val="clear" w:color="auto" w:fill="C6EFCE"/>
            <w:noWrap/>
            <w:vAlign w:val="center"/>
          </w:tcPr>
          <w:p w14:paraId="6CF9B09C" w14:textId="77777777"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960" w:type="dxa"/>
            <w:tcBorders>
              <w:top w:val="nil"/>
              <w:left w:val="nil"/>
              <w:bottom w:val="single" w:sz="4" w:space="0" w:color="auto"/>
              <w:right w:val="single" w:sz="4" w:space="0" w:color="auto"/>
            </w:tcBorders>
            <w:shd w:val="clear" w:color="auto" w:fill="C6EFCE"/>
            <w:noWrap/>
            <w:vAlign w:val="center"/>
          </w:tcPr>
          <w:p w14:paraId="41F92FD5" w14:textId="77777777"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840" w:type="dxa"/>
            <w:tcBorders>
              <w:top w:val="nil"/>
              <w:left w:val="nil"/>
              <w:bottom w:val="single" w:sz="4" w:space="0" w:color="auto"/>
              <w:right w:val="single" w:sz="4" w:space="0" w:color="auto"/>
            </w:tcBorders>
            <w:shd w:val="clear" w:color="auto" w:fill="C6EFCE"/>
            <w:noWrap/>
            <w:vAlign w:val="center"/>
          </w:tcPr>
          <w:p w14:paraId="0FACCC3C" w14:textId="77777777"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960" w:type="dxa"/>
            <w:tcBorders>
              <w:top w:val="nil"/>
              <w:left w:val="nil"/>
              <w:bottom w:val="single" w:sz="4" w:space="0" w:color="auto"/>
              <w:right w:val="single" w:sz="4" w:space="0" w:color="auto"/>
            </w:tcBorders>
            <w:shd w:val="clear" w:color="auto" w:fill="C6EFCE"/>
            <w:noWrap/>
            <w:vAlign w:val="center"/>
          </w:tcPr>
          <w:p w14:paraId="7323C2B4"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Q1</w:t>
            </w:r>
          </w:p>
        </w:tc>
        <w:tc>
          <w:tcPr>
            <w:tcW w:w="720" w:type="dxa"/>
            <w:tcBorders>
              <w:top w:val="nil"/>
              <w:left w:val="nil"/>
              <w:bottom w:val="single" w:sz="4" w:space="0" w:color="auto"/>
              <w:right w:val="single" w:sz="4" w:space="0" w:color="auto"/>
            </w:tcBorders>
            <w:shd w:val="clear" w:color="auto" w:fill="C6EFCE"/>
            <w:noWrap/>
            <w:vAlign w:val="center"/>
          </w:tcPr>
          <w:p w14:paraId="3DF17A56"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2022</w:t>
            </w:r>
          </w:p>
        </w:tc>
        <w:tc>
          <w:tcPr>
            <w:tcW w:w="4200" w:type="dxa"/>
            <w:tcBorders>
              <w:top w:val="nil"/>
              <w:left w:val="nil"/>
              <w:bottom w:val="single" w:sz="4" w:space="0" w:color="auto"/>
              <w:right w:val="single" w:sz="4" w:space="0" w:color="auto"/>
            </w:tcBorders>
            <w:shd w:val="clear" w:color="auto" w:fill="C6EFCE"/>
            <w:noWrap/>
            <w:vAlign w:val="center"/>
          </w:tcPr>
          <w:p w14:paraId="73EF1453" w14:textId="301BF8AD" w:rsidR="006A41D9" w:rsidRPr="001961AA" w:rsidRDefault="00B42E93" w:rsidP="00ED6235">
            <w:pPr>
              <w:spacing w:after="120"/>
              <w:rPr>
                <w:rFonts w:ascii="Times New Roman" w:eastAsia="Times New Roman" w:hAnsi="Times New Roman" w:cs="Times New Roman"/>
                <w:noProof/>
                <w:color w:val="006100"/>
                <w:lang w:val="en-GB"/>
              </w:rPr>
            </w:pPr>
            <w:r>
              <w:rPr>
                <w:rFonts w:ascii="Times New Roman" w:hAnsi="Times New Roman"/>
                <w:noProof/>
                <w:color w:val="006100"/>
                <w:lang w:val="en-GB"/>
              </w:rPr>
              <w:t>A</w:t>
            </w:r>
            <w:r w:rsidR="008454CC" w:rsidRPr="001961AA">
              <w:rPr>
                <w:rFonts w:ascii="Times New Roman" w:hAnsi="Times New Roman"/>
                <w:noProof/>
                <w:color w:val="006100"/>
                <w:lang w:val="en-GB"/>
              </w:rPr>
              <w:t>ward of contracts to hydrogen IPCEI projects (defined as those projects forming the subject of the IPCEI State aid notification) under the measure “An industrial value chain for hydrogen transition” (Wallonia). The specifications of the call for projects shall ensure the exclusion of all activities under the Emission Trading Scheme (ETS) with projected CO2 equivalent emissions that are not substantially lower than the relevant benchmarks established for free allocation.</w:t>
            </w:r>
          </w:p>
          <w:p w14:paraId="2B95D9B6"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 xml:space="preserve">All awarded research and innovation (R&amp;I) projects shall comply with the following conditions: </w:t>
            </w:r>
          </w:p>
          <w:p w14:paraId="2ECDDD35"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 The R&amp;I exclusively or primarily focuses on low-impact options (such as renewable hydrogen production or other zero emission environmental innovations); or</w:t>
            </w:r>
          </w:p>
          <w:p w14:paraId="2AABF5AC"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 The R&amp;I is dedicated to improving “best in class” technology (such as technologies with the most limited impact (but not zero / low impact) among those currently available), and appropriate flanking measures are put in place to prevent lock-in effects (measures enabling the uptake of low impact technologies, or their development); or</w:t>
            </w:r>
          </w:p>
          <w:p w14:paraId="21FCA2E6"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 The results of the R&amp;I process are technologically neutral at the level of their application (i.e. they may be applied across all available technologies)</w:t>
            </w:r>
          </w:p>
          <w:p w14:paraId="2450060D"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 Any electricity used in the projects is of green origin (such as using RES-e) or based on green PPAs.</w:t>
            </w:r>
          </w:p>
          <w:p w14:paraId="74021C1B" w14:textId="79CB1674" w:rsidR="000E7CFA" w:rsidRPr="001961AA" w:rsidRDefault="000E7CFA" w:rsidP="00B42E93">
            <w:pPr>
              <w:spacing w:after="0"/>
              <w:rPr>
                <w:rFonts w:ascii="Times New Roman" w:eastAsia="Times New Roman" w:hAnsi="Times New Roman" w:cs="Times New Roman"/>
                <w:noProof/>
                <w:color w:val="006100"/>
                <w:lang w:val="en-GB" w:eastAsia="en-GB"/>
              </w:rPr>
            </w:pPr>
          </w:p>
        </w:tc>
      </w:tr>
      <w:tr w:rsidR="00292220" w:rsidRPr="009818D6" w14:paraId="090CDB63" w14:textId="77777777" w:rsidTr="00AD78C9">
        <w:trPr>
          <w:trHeight w:val="309"/>
        </w:trPr>
        <w:tc>
          <w:tcPr>
            <w:tcW w:w="993" w:type="dxa"/>
            <w:tcBorders>
              <w:top w:val="nil"/>
              <w:left w:val="single" w:sz="4" w:space="0" w:color="auto"/>
              <w:bottom w:val="single" w:sz="4" w:space="0" w:color="auto"/>
              <w:right w:val="single" w:sz="4" w:space="0" w:color="auto"/>
            </w:tcBorders>
            <w:shd w:val="clear" w:color="auto" w:fill="C6EFCE"/>
            <w:noWrap/>
            <w:vAlign w:val="center"/>
          </w:tcPr>
          <w:p w14:paraId="42503C0A"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26</w:t>
            </w:r>
          </w:p>
        </w:tc>
        <w:tc>
          <w:tcPr>
            <w:tcW w:w="1464" w:type="dxa"/>
            <w:tcBorders>
              <w:top w:val="nil"/>
              <w:left w:val="nil"/>
              <w:bottom w:val="single" w:sz="4" w:space="0" w:color="auto"/>
              <w:right w:val="single" w:sz="4" w:space="0" w:color="auto"/>
            </w:tcBorders>
            <w:shd w:val="clear" w:color="auto" w:fill="C6EFCE"/>
            <w:noWrap/>
            <w:vAlign w:val="center"/>
          </w:tcPr>
          <w:p w14:paraId="1B1C18D0"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An industrial value chain for hydrogen transition (I-1.17)</w:t>
            </w:r>
          </w:p>
        </w:tc>
        <w:tc>
          <w:tcPr>
            <w:tcW w:w="1229" w:type="dxa"/>
            <w:tcBorders>
              <w:top w:val="nil"/>
              <w:left w:val="nil"/>
              <w:bottom w:val="single" w:sz="4" w:space="0" w:color="auto"/>
              <w:right w:val="single" w:sz="4" w:space="0" w:color="auto"/>
            </w:tcBorders>
            <w:shd w:val="clear" w:color="auto" w:fill="C6EFCE"/>
            <w:noWrap/>
            <w:vAlign w:val="center"/>
          </w:tcPr>
          <w:p w14:paraId="1FF09A7D" w14:textId="1D20036F" w:rsidR="006A41D9" w:rsidRPr="001961AA" w:rsidRDefault="006A41D9" w:rsidP="00BD6DD1">
            <w:pPr>
              <w:spacing w:after="0"/>
              <w:rPr>
                <w:rFonts w:ascii="Times New Roman" w:eastAsia="Times New Roman" w:hAnsi="Times New Roman" w:cs="Times New Roman"/>
                <w:noProof/>
                <w:color w:val="006100"/>
                <w:highlight w:val="yellow"/>
                <w:lang w:val="en-GB"/>
              </w:rPr>
            </w:pPr>
            <w:r w:rsidRPr="001961AA">
              <w:rPr>
                <w:rFonts w:ascii="Times New Roman" w:hAnsi="Times New Roman"/>
                <w:noProof/>
                <w:color w:val="006100"/>
                <w:lang w:val="en-GB"/>
              </w:rPr>
              <w:t>M</w:t>
            </w:r>
          </w:p>
        </w:tc>
        <w:tc>
          <w:tcPr>
            <w:tcW w:w="1559" w:type="dxa"/>
            <w:tcBorders>
              <w:top w:val="nil"/>
              <w:left w:val="nil"/>
              <w:bottom w:val="single" w:sz="4" w:space="0" w:color="auto"/>
              <w:right w:val="single" w:sz="4" w:space="0" w:color="auto"/>
            </w:tcBorders>
            <w:shd w:val="clear" w:color="auto" w:fill="C6EFCE"/>
            <w:noWrap/>
            <w:vAlign w:val="center"/>
          </w:tcPr>
          <w:p w14:paraId="6C63665A" w14:textId="21A17626" w:rsidR="006A41D9" w:rsidRPr="001961AA" w:rsidRDefault="00B42E93" w:rsidP="00BD6DD1">
            <w:pPr>
              <w:spacing w:after="0"/>
              <w:rPr>
                <w:rFonts w:ascii="Times New Roman" w:eastAsia="Times New Roman" w:hAnsi="Times New Roman" w:cs="Times New Roman"/>
                <w:noProof/>
                <w:color w:val="006100"/>
                <w:lang w:val="en-GB"/>
              </w:rPr>
            </w:pPr>
            <w:r>
              <w:rPr>
                <w:rFonts w:ascii="Times New Roman" w:hAnsi="Times New Roman"/>
                <w:noProof/>
                <w:color w:val="006100"/>
                <w:lang w:val="en-GB"/>
              </w:rPr>
              <w:t xml:space="preserve">Completion of all </w:t>
            </w:r>
            <w:r w:rsidR="006A41D9" w:rsidRPr="001961AA">
              <w:rPr>
                <w:rFonts w:ascii="Times New Roman" w:hAnsi="Times New Roman"/>
                <w:noProof/>
                <w:color w:val="006100"/>
                <w:lang w:val="en-GB"/>
              </w:rPr>
              <w:t xml:space="preserve">projects </w:t>
            </w:r>
            <w:r>
              <w:rPr>
                <w:rFonts w:ascii="Times New Roman" w:hAnsi="Times New Roman"/>
                <w:noProof/>
                <w:color w:val="006100"/>
                <w:lang w:val="en-GB"/>
              </w:rPr>
              <w:t>IPCEI awarded</w:t>
            </w:r>
            <w:r w:rsidR="006A41D9" w:rsidRPr="001961AA">
              <w:rPr>
                <w:rFonts w:ascii="Times New Roman" w:hAnsi="Times New Roman"/>
                <w:noProof/>
                <w:color w:val="006100"/>
                <w:lang w:val="en-GB"/>
              </w:rPr>
              <w:t xml:space="preserve"> under the call for tender</w:t>
            </w:r>
          </w:p>
        </w:tc>
        <w:tc>
          <w:tcPr>
            <w:tcW w:w="1843" w:type="dxa"/>
            <w:tcBorders>
              <w:top w:val="nil"/>
              <w:left w:val="nil"/>
              <w:bottom w:val="single" w:sz="4" w:space="0" w:color="auto"/>
              <w:right w:val="single" w:sz="4" w:space="0" w:color="auto"/>
            </w:tcBorders>
            <w:shd w:val="clear" w:color="auto" w:fill="C6EFCE"/>
            <w:noWrap/>
            <w:vAlign w:val="center"/>
          </w:tcPr>
          <w:p w14:paraId="22AC5E4F" w14:textId="4D8996D0" w:rsidR="009D5D86" w:rsidRPr="001961AA" w:rsidRDefault="009D5D86" w:rsidP="00BD6DD1">
            <w:pPr>
              <w:spacing w:after="0"/>
              <w:rPr>
                <w:rFonts w:ascii="Times New Roman" w:eastAsia="Times New Roman" w:hAnsi="Times New Roman" w:cs="Times New Roman"/>
                <w:noProof/>
                <w:color w:val="006100"/>
                <w:lang w:val="en-GB" w:eastAsia="en-GB"/>
              </w:rPr>
            </w:pPr>
          </w:p>
          <w:p w14:paraId="3C5A8CB2" w14:textId="4A3E4FCB" w:rsidR="006A41D9" w:rsidRPr="001961AA" w:rsidRDefault="00B42E93" w:rsidP="00BD6DD1">
            <w:pPr>
              <w:spacing w:after="0"/>
              <w:rPr>
                <w:rFonts w:ascii="Times New Roman" w:eastAsia="Times New Roman" w:hAnsi="Times New Roman" w:cs="Times New Roman"/>
                <w:noProof/>
                <w:color w:val="006100"/>
                <w:lang w:val="en-GB"/>
              </w:rPr>
            </w:pPr>
            <w:r>
              <w:rPr>
                <w:rFonts w:ascii="Times New Roman" w:hAnsi="Times New Roman"/>
                <w:noProof/>
                <w:color w:val="006100"/>
                <w:lang w:val="en-GB"/>
              </w:rPr>
              <w:t>Final Project Report approved</w:t>
            </w:r>
          </w:p>
        </w:tc>
        <w:tc>
          <w:tcPr>
            <w:tcW w:w="1039" w:type="dxa"/>
            <w:tcBorders>
              <w:top w:val="nil"/>
              <w:left w:val="nil"/>
              <w:bottom w:val="single" w:sz="4" w:space="0" w:color="auto"/>
              <w:right w:val="single" w:sz="4" w:space="0" w:color="auto"/>
            </w:tcBorders>
            <w:shd w:val="clear" w:color="auto" w:fill="C6EFCE"/>
            <w:noWrap/>
            <w:vAlign w:val="center"/>
          </w:tcPr>
          <w:p w14:paraId="78D46832" w14:textId="77777777"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960" w:type="dxa"/>
            <w:tcBorders>
              <w:top w:val="nil"/>
              <w:left w:val="nil"/>
              <w:bottom w:val="single" w:sz="4" w:space="0" w:color="auto"/>
              <w:right w:val="single" w:sz="4" w:space="0" w:color="auto"/>
            </w:tcBorders>
            <w:shd w:val="clear" w:color="auto" w:fill="C6EFCE"/>
            <w:noWrap/>
            <w:vAlign w:val="center"/>
          </w:tcPr>
          <w:p w14:paraId="07AE36B6" w14:textId="77777777"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840" w:type="dxa"/>
            <w:tcBorders>
              <w:top w:val="nil"/>
              <w:left w:val="nil"/>
              <w:bottom w:val="single" w:sz="4" w:space="0" w:color="auto"/>
              <w:right w:val="single" w:sz="4" w:space="0" w:color="auto"/>
            </w:tcBorders>
            <w:shd w:val="clear" w:color="auto" w:fill="C6EFCE"/>
            <w:noWrap/>
            <w:vAlign w:val="center"/>
          </w:tcPr>
          <w:p w14:paraId="41759100" w14:textId="77777777"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960" w:type="dxa"/>
            <w:tcBorders>
              <w:top w:val="nil"/>
              <w:left w:val="nil"/>
              <w:bottom w:val="single" w:sz="4" w:space="0" w:color="auto"/>
              <w:right w:val="single" w:sz="4" w:space="0" w:color="auto"/>
            </w:tcBorders>
            <w:shd w:val="clear" w:color="auto" w:fill="C6EFCE"/>
            <w:noWrap/>
            <w:vAlign w:val="center"/>
          </w:tcPr>
          <w:p w14:paraId="56487F45"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Q2</w:t>
            </w:r>
          </w:p>
        </w:tc>
        <w:tc>
          <w:tcPr>
            <w:tcW w:w="720" w:type="dxa"/>
            <w:tcBorders>
              <w:top w:val="nil"/>
              <w:left w:val="nil"/>
              <w:bottom w:val="single" w:sz="4" w:space="0" w:color="auto"/>
              <w:right w:val="single" w:sz="4" w:space="0" w:color="auto"/>
            </w:tcBorders>
            <w:shd w:val="clear" w:color="auto" w:fill="C6EFCE"/>
            <w:noWrap/>
            <w:vAlign w:val="center"/>
          </w:tcPr>
          <w:p w14:paraId="364764D7"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2026</w:t>
            </w:r>
          </w:p>
        </w:tc>
        <w:tc>
          <w:tcPr>
            <w:tcW w:w="4200" w:type="dxa"/>
            <w:tcBorders>
              <w:top w:val="nil"/>
              <w:left w:val="nil"/>
              <w:bottom w:val="single" w:sz="4" w:space="0" w:color="auto"/>
              <w:right w:val="single" w:sz="4" w:space="0" w:color="auto"/>
            </w:tcBorders>
            <w:shd w:val="clear" w:color="auto" w:fill="C6EFCE"/>
            <w:noWrap/>
            <w:vAlign w:val="center"/>
          </w:tcPr>
          <w:p w14:paraId="64AE2D4D" w14:textId="6A27B319" w:rsidR="006A41D9" w:rsidRPr="001961AA" w:rsidRDefault="00B42E93" w:rsidP="00BF1DC6">
            <w:pPr>
              <w:spacing w:after="120"/>
              <w:rPr>
                <w:rFonts w:ascii="Times New Roman" w:eastAsia="Times New Roman" w:hAnsi="Times New Roman" w:cs="Times New Roman"/>
                <w:noProof/>
                <w:color w:val="006100"/>
                <w:lang w:val="en-GB" w:eastAsia="en-GB"/>
              </w:rPr>
            </w:pPr>
            <w:r>
              <w:rPr>
                <w:rFonts w:ascii="Times New Roman" w:hAnsi="Times New Roman"/>
                <w:noProof/>
                <w:color w:val="006100"/>
                <w:lang w:val="en-GB"/>
              </w:rPr>
              <w:t xml:space="preserve">Completion of all </w:t>
            </w:r>
            <w:r w:rsidR="00343B03" w:rsidRPr="001961AA">
              <w:rPr>
                <w:rFonts w:ascii="Times New Roman" w:hAnsi="Times New Roman"/>
                <w:noProof/>
                <w:color w:val="006100"/>
                <w:lang w:val="en-GB"/>
              </w:rPr>
              <w:t>projects awarded under the call for tender “An industrial value chain for hydrogen transition” (Wallonia)</w:t>
            </w:r>
            <w:r>
              <w:rPr>
                <w:rFonts w:ascii="Times New Roman" w:hAnsi="Times New Roman"/>
                <w:noProof/>
                <w:color w:val="006100"/>
                <w:lang w:val="en-GB"/>
              </w:rPr>
              <w:t xml:space="preserve">, with </w:t>
            </w:r>
            <w:r w:rsidRPr="35B6711A">
              <w:rPr>
                <w:rFonts w:ascii="Times New Roman" w:eastAsia="Times New Roman" w:hAnsi="Times New Roman" w:cs="Times New Roman"/>
                <w:noProof/>
                <w:color w:val="006100"/>
                <w:lang w:val="en-US" w:eastAsia="en-GB"/>
              </w:rPr>
              <w:t xml:space="preserve">EUR </w:t>
            </w:r>
            <w:r w:rsidRPr="00A46B16">
              <w:rPr>
                <w:rFonts w:ascii="Times New Roman" w:eastAsia="Times New Roman" w:hAnsi="Times New Roman" w:cs="Times New Roman"/>
                <w:noProof/>
                <w:color w:val="006100"/>
                <w:lang w:val="en-US" w:eastAsia="en-GB"/>
              </w:rPr>
              <w:t>80 000 000</w:t>
            </w:r>
            <w:r w:rsidRPr="35B6711A">
              <w:rPr>
                <w:rFonts w:ascii="Times New Roman" w:eastAsia="Times New Roman" w:hAnsi="Times New Roman" w:cs="Times New Roman"/>
                <w:noProof/>
                <w:color w:val="006100"/>
                <w:lang w:val="en-US" w:eastAsia="en-GB"/>
              </w:rPr>
              <w:t xml:space="preserve"> executed, including entry into operation of green electrolysis capacity of minimum 1 MW (infrastructure included)</w:t>
            </w:r>
            <w:r w:rsidR="00343B03" w:rsidRPr="001961AA">
              <w:rPr>
                <w:rFonts w:ascii="Times New Roman" w:hAnsi="Times New Roman"/>
                <w:noProof/>
                <w:color w:val="006100"/>
                <w:lang w:val="en-GB"/>
              </w:rPr>
              <w:t>.</w:t>
            </w:r>
          </w:p>
        </w:tc>
      </w:tr>
      <w:tr w:rsidR="00292220" w:rsidRPr="009818D6" w14:paraId="60E6ACCF" w14:textId="77777777" w:rsidTr="00AD78C9">
        <w:trPr>
          <w:trHeight w:val="309"/>
        </w:trPr>
        <w:tc>
          <w:tcPr>
            <w:tcW w:w="993" w:type="dxa"/>
            <w:tcBorders>
              <w:top w:val="nil"/>
              <w:left w:val="single" w:sz="4" w:space="0" w:color="auto"/>
              <w:bottom w:val="single" w:sz="4" w:space="0" w:color="auto"/>
              <w:right w:val="single" w:sz="4" w:space="0" w:color="auto"/>
            </w:tcBorders>
            <w:shd w:val="clear" w:color="auto" w:fill="C6EFCE"/>
            <w:noWrap/>
            <w:vAlign w:val="center"/>
          </w:tcPr>
          <w:p w14:paraId="4D491478"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27</w:t>
            </w:r>
          </w:p>
        </w:tc>
        <w:tc>
          <w:tcPr>
            <w:tcW w:w="1464" w:type="dxa"/>
            <w:tcBorders>
              <w:top w:val="nil"/>
              <w:left w:val="nil"/>
              <w:bottom w:val="single" w:sz="4" w:space="0" w:color="auto"/>
              <w:right w:val="single" w:sz="4" w:space="0" w:color="auto"/>
            </w:tcBorders>
            <w:shd w:val="clear" w:color="auto" w:fill="C6EFCE"/>
            <w:noWrap/>
            <w:vAlign w:val="center"/>
          </w:tcPr>
          <w:p w14:paraId="07A31F95"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Developing the low-carbon industry (I-1.18)</w:t>
            </w:r>
          </w:p>
        </w:tc>
        <w:tc>
          <w:tcPr>
            <w:tcW w:w="1229" w:type="dxa"/>
            <w:tcBorders>
              <w:top w:val="nil"/>
              <w:left w:val="nil"/>
              <w:bottom w:val="single" w:sz="4" w:space="0" w:color="auto"/>
              <w:right w:val="single" w:sz="4" w:space="0" w:color="auto"/>
            </w:tcBorders>
            <w:shd w:val="clear" w:color="auto" w:fill="C6EFCE"/>
            <w:noWrap/>
            <w:vAlign w:val="center"/>
          </w:tcPr>
          <w:p w14:paraId="17FF3E65" w14:textId="34F379AE"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M</w:t>
            </w:r>
          </w:p>
        </w:tc>
        <w:tc>
          <w:tcPr>
            <w:tcW w:w="1559" w:type="dxa"/>
            <w:tcBorders>
              <w:top w:val="nil"/>
              <w:left w:val="nil"/>
              <w:bottom w:val="single" w:sz="4" w:space="0" w:color="auto"/>
              <w:right w:val="single" w:sz="4" w:space="0" w:color="auto"/>
            </w:tcBorders>
            <w:shd w:val="clear" w:color="auto" w:fill="C6EFCE"/>
            <w:noWrap/>
            <w:vAlign w:val="center"/>
          </w:tcPr>
          <w:p w14:paraId="36096310"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Award of contracts</w:t>
            </w:r>
          </w:p>
        </w:tc>
        <w:tc>
          <w:tcPr>
            <w:tcW w:w="1843" w:type="dxa"/>
            <w:tcBorders>
              <w:top w:val="nil"/>
              <w:left w:val="nil"/>
              <w:bottom w:val="single" w:sz="4" w:space="0" w:color="auto"/>
              <w:right w:val="single" w:sz="4" w:space="0" w:color="auto"/>
            </w:tcBorders>
            <w:shd w:val="clear" w:color="auto" w:fill="C6EFCE"/>
            <w:noWrap/>
            <w:vAlign w:val="center"/>
          </w:tcPr>
          <w:p w14:paraId="212A2366"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Written notification of contract awards to successful candidates</w:t>
            </w:r>
          </w:p>
        </w:tc>
        <w:tc>
          <w:tcPr>
            <w:tcW w:w="1039" w:type="dxa"/>
            <w:tcBorders>
              <w:top w:val="nil"/>
              <w:left w:val="nil"/>
              <w:bottom w:val="single" w:sz="4" w:space="0" w:color="auto"/>
              <w:right w:val="single" w:sz="4" w:space="0" w:color="auto"/>
            </w:tcBorders>
            <w:shd w:val="clear" w:color="auto" w:fill="C6EFCE"/>
            <w:noWrap/>
            <w:vAlign w:val="center"/>
          </w:tcPr>
          <w:p w14:paraId="689CB793" w14:textId="77777777"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960" w:type="dxa"/>
            <w:tcBorders>
              <w:top w:val="nil"/>
              <w:left w:val="nil"/>
              <w:bottom w:val="single" w:sz="4" w:space="0" w:color="auto"/>
              <w:right w:val="single" w:sz="4" w:space="0" w:color="auto"/>
            </w:tcBorders>
            <w:shd w:val="clear" w:color="auto" w:fill="C6EFCE"/>
            <w:noWrap/>
            <w:vAlign w:val="center"/>
          </w:tcPr>
          <w:p w14:paraId="5F3B7318" w14:textId="77777777"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840" w:type="dxa"/>
            <w:tcBorders>
              <w:top w:val="nil"/>
              <w:left w:val="nil"/>
              <w:bottom w:val="single" w:sz="4" w:space="0" w:color="auto"/>
              <w:right w:val="single" w:sz="4" w:space="0" w:color="auto"/>
            </w:tcBorders>
            <w:shd w:val="clear" w:color="auto" w:fill="C6EFCE"/>
            <w:noWrap/>
            <w:vAlign w:val="center"/>
          </w:tcPr>
          <w:p w14:paraId="06BB40C1" w14:textId="77777777"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960" w:type="dxa"/>
            <w:tcBorders>
              <w:top w:val="nil"/>
              <w:left w:val="nil"/>
              <w:bottom w:val="single" w:sz="4" w:space="0" w:color="auto"/>
              <w:right w:val="single" w:sz="4" w:space="0" w:color="auto"/>
            </w:tcBorders>
            <w:shd w:val="clear" w:color="auto" w:fill="C6EFCE"/>
            <w:noWrap/>
            <w:vAlign w:val="center"/>
          </w:tcPr>
          <w:p w14:paraId="58AFE834"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Q2</w:t>
            </w:r>
          </w:p>
        </w:tc>
        <w:tc>
          <w:tcPr>
            <w:tcW w:w="720" w:type="dxa"/>
            <w:tcBorders>
              <w:top w:val="nil"/>
              <w:left w:val="nil"/>
              <w:bottom w:val="single" w:sz="4" w:space="0" w:color="auto"/>
              <w:right w:val="single" w:sz="4" w:space="0" w:color="auto"/>
            </w:tcBorders>
            <w:shd w:val="clear" w:color="auto" w:fill="C6EFCE"/>
            <w:noWrap/>
            <w:vAlign w:val="center"/>
          </w:tcPr>
          <w:p w14:paraId="6F6C06A7"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2022</w:t>
            </w:r>
          </w:p>
        </w:tc>
        <w:tc>
          <w:tcPr>
            <w:tcW w:w="4200" w:type="dxa"/>
            <w:tcBorders>
              <w:top w:val="nil"/>
              <w:left w:val="nil"/>
              <w:bottom w:val="single" w:sz="4" w:space="0" w:color="auto"/>
              <w:right w:val="single" w:sz="4" w:space="0" w:color="auto"/>
            </w:tcBorders>
            <w:shd w:val="clear" w:color="auto" w:fill="C6EFCE"/>
            <w:noWrap/>
            <w:vAlign w:val="center"/>
          </w:tcPr>
          <w:p w14:paraId="1E4826DC" w14:textId="77777777" w:rsidR="006A41D9" w:rsidRPr="001961AA" w:rsidRDefault="006A41D9" w:rsidP="002C2248">
            <w:pPr>
              <w:spacing w:after="12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 xml:space="preserve">Award of contracts under the measure “Developing the low-carbon industry”. The specifications of the call for projects shall ensure the exclusion of all activities under the Emission Trading Scheme (ETS) with projected CO2 equivalent emissions that are not substantially lower than the relevant benchmarks established for free allocation. </w:t>
            </w:r>
          </w:p>
          <w:p w14:paraId="2B805969"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 xml:space="preserve">All awarded research and innovation (R&amp;I) projects shall comply with the following conditions: </w:t>
            </w:r>
          </w:p>
          <w:p w14:paraId="75F2E609"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 Either the R&amp;I exclusively or primarily focuses on low-impact options (such as renewable hydrogen production or other zero emission environmental innovations); or</w:t>
            </w:r>
          </w:p>
          <w:p w14:paraId="026FDFC2"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 The R&amp;I is dedicated to improving “best in class” technology (such as technologies with the most limited impact (but not zero / low impact) among those currently available), and appropriate flanking measures are put in place to prevent lock-in effects (measures enabling the uptake of low impact technologies, or their development); or</w:t>
            </w:r>
          </w:p>
          <w:p w14:paraId="18E7CBF4"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 The results of the R&amp;I process are technologically neutral at the level of their application (i.e. they may be applied across all available technologies)</w:t>
            </w:r>
          </w:p>
          <w:p w14:paraId="71DDB146" w14:textId="03D93DDF" w:rsidR="006A41D9" w:rsidRPr="001961AA" w:rsidRDefault="006A41D9" w:rsidP="000B532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 Any electricity used in the projects is of green origin (such as using RES-e) or based on green PPAs.</w:t>
            </w:r>
          </w:p>
        </w:tc>
      </w:tr>
      <w:tr w:rsidR="00292220" w:rsidRPr="009818D6" w14:paraId="531B284B" w14:textId="77777777" w:rsidTr="00AD78C9">
        <w:trPr>
          <w:trHeight w:val="309"/>
        </w:trPr>
        <w:tc>
          <w:tcPr>
            <w:tcW w:w="993" w:type="dxa"/>
            <w:tcBorders>
              <w:top w:val="nil"/>
              <w:left w:val="single" w:sz="4" w:space="0" w:color="auto"/>
              <w:bottom w:val="single" w:sz="4" w:space="0" w:color="auto"/>
              <w:right w:val="single" w:sz="4" w:space="0" w:color="auto"/>
            </w:tcBorders>
            <w:shd w:val="clear" w:color="auto" w:fill="C6EFCE"/>
            <w:noWrap/>
            <w:vAlign w:val="center"/>
          </w:tcPr>
          <w:p w14:paraId="0C806E13"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28</w:t>
            </w:r>
          </w:p>
        </w:tc>
        <w:tc>
          <w:tcPr>
            <w:tcW w:w="1464" w:type="dxa"/>
            <w:tcBorders>
              <w:top w:val="nil"/>
              <w:left w:val="nil"/>
              <w:bottom w:val="single" w:sz="4" w:space="0" w:color="auto"/>
              <w:right w:val="single" w:sz="4" w:space="0" w:color="auto"/>
            </w:tcBorders>
            <w:shd w:val="clear" w:color="auto" w:fill="C6EFCE"/>
            <w:noWrap/>
            <w:vAlign w:val="center"/>
          </w:tcPr>
          <w:p w14:paraId="360B7F75"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Developing the low-carbon industry (I-1.18)</w:t>
            </w:r>
          </w:p>
        </w:tc>
        <w:tc>
          <w:tcPr>
            <w:tcW w:w="1229" w:type="dxa"/>
            <w:tcBorders>
              <w:top w:val="nil"/>
              <w:left w:val="nil"/>
              <w:bottom w:val="single" w:sz="4" w:space="0" w:color="auto"/>
              <w:right w:val="single" w:sz="4" w:space="0" w:color="auto"/>
            </w:tcBorders>
            <w:shd w:val="clear" w:color="auto" w:fill="C6EFCE"/>
            <w:noWrap/>
            <w:vAlign w:val="center"/>
          </w:tcPr>
          <w:p w14:paraId="722579F3" w14:textId="7AA05562"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M</w:t>
            </w:r>
          </w:p>
        </w:tc>
        <w:tc>
          <w:tcPr>
            <w:tcW w:w="1559" w:type="dxa"/>
            <w:tcBorders>
              <w:top w:val="nil"/>
              <w:left w:val="nil"/>
              <w:bottom w:val="single" w:sz="4" w:space="0" w:color="auto"/>
              <w:right w:val="single" w:sz="4" w:space="0" w:color="auto"/>
            </w:tcBorders>
            <w:shd w:val="clear" w:color="auto" w:fill="C6EFCE"/>
            <w:noWrap/>
            <w:vAlign w:val="center"/>
          </w:tcPr>
          <w:p w14:paraId="22C4664D"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Completion of projects awarded under the call for tender</w:t>
            </w:r>
          </w:p>
        </w:tc>
        <w:tc>
          <w:tcPr>
            <w:tcW w:w="1843" w:type="dxa"/>
            <w:tcBorders>
              <w:top w:val="nil"/>
              <w:left w:val="nil"/>
              <w:bottom w:val="single" w:sz="4" w:space="0" w:color="auto"/>
              <w:right w:val="single" w:sz="4" w:space="0" w:color="auto"/>
            </w:tcBorders>
            <w:shd w:val="clear" w:color="auto" w:fill="C6EFCE"/>
            <w:noWrap/>
            <w:vAlign w:val="center"/>
          </w:tcPr>
          <w:p w14:paraId="639557BC"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Final Project Report approved</w:t>
            </w:r>
          </w:p>
        </w:tc>
        <w:tc>
          <w:tcPr>
            <w:tcW w:w="1039" w:type="dxa"/>
            <w:tcBorders>
              <w:top w:val="nil"/>
              <w:left w:val="nil"/>
              <w:bottom w:val="single" w:sz="4" w:space="0" w:color="auto"/>
              <w:right w:val="single" w:sz="4" w:space="0" w:color="auto"/>
            </w:tcBorders>
            <w:shd w:val="clear" w:color="auto" w:fill="C6EFCE"/>
            <w:noWrap/>
            <w:vAlign w:val="center"/>
          </w:tcPr>
          <w:p w14:paraId="7353B73D" w14:textId="77777777"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960" w:type="dxa"/>
            <w:tcBorders>
              <w:top w:val="nil"/>
              <w:left w:val="nil"/>
              <w:bottom w:val="single" w:sz="4" w:space="0" w:color="auto"/>
              <w:right w:val="single" w:sz="4" w:space="0" w:color="auto"/>
            </w:tcBorders>
            <w:shd w:val="clear" w:color="auto" w:fill="C6EFCE"/>
            <w:noWrap/>
            <w:vAlign w:val="center"/>
          </w:tcPr>
          <w:p w14:paraId="6DA9873C" w14:textId="77777777"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840" w:type="dxa"/>
            <w:tcBorders>
              <w:top w:val="nil"/>
              <w:left w:val="nil"/>
              <w:bottom w:val="single" w:sz="4" w:space="0" w:color="auto"/>
              <w:right w:val="single" w:sz="4" w:space="0" w:color="auto"/>
            </w:tcBorders>
            <w:shd w:val="clear" w:color="auto" w:fill="C6EFCE"/>
            <w:noWrap/>
            <w:vAlign w:val="center"/>
          </w:tcPr>
          <w:p w14:paraId="1BB5EE2D" w14:textId="77777777"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960" w:type="dxa"/>
            <w:tcBorders>
              <w:top w:val="nil"/>
              <w:left w:val="nil"/>
              <w:bottom w:val="single" w:sz="4" w:space="0" w:color="auto"/>
              <w:right w:val="single" w:sz="4" w:space="0" w:color="auto"/>
            </w:tcBorders>
            <w:shd w:val="clear" w:color="auto" w:fill="C6EFCE"/>
            <w:noWrap/>
            <w:vAlign w:val="center"/>
          </w:tcPr>
          <w:p w14:paraId="2D7F050C"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Q2</w:t>
            </w:r>
          </w:p>
        </w:tc>
        <w:tc>
          <w:tcPr>
            <w:tcW w:w="720" w:type="dxa"/>
            <w:tcBorders>
              <w:top w:val="nil"/>
              <w:left w:val="nil"/>
              <w:bottom w:val="single" w:sz="4" w:space="0" w:color="auto"/>
              <w:right w:val="single" w:sz="4" w:space="0" w:color="auto"/>
            </w:tcBorders>
            <w:shd w:val="clear" w:color="auto" w:fill="C6EFCE"/>
            <w:noWrap/>
            <w:vAlign w:val="center"/>
          </w:tcPr>
          <w:p w14:paraId="7CF168E2"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2026</w:t>
            </w:r>
          </w:p>
        </w:tc>
        <w:tc>
          <w:tcPr>
            <w:tcW w:w="4200" w:type="dxa"/>
            <w:tcBorders>
              <w:top w:val="nil"/>
              <w:left w:val="nil"/>
              <w:bottom w:val="single" w:sz="4" w:space="0" w:color="auto"/>
              <w:right w:val="single" w:sz="4" w:space="0" w:color="auto"/>
            </w:tcBorders>
            <w:shd w:val="clear" w:color="auto" w:fill="C6EFCE"/>
            <w:noWrap/>
            <w:vAlign w:val="center"/>
          </w:tcPr>
          <w:p w14:paraId="5451A9E6" w14:textId="4027506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Completion of projects awarded under the call for tender “An industrial value chain for hydrogen transition” with EUR 30 000 000 executed, including completion of a demonstration project with theoretical long term potential of 2 millions of tons CO2 reduction p.a.</w:t>
            </w:r>
          </w:p>
          <w:p w14:paraId="5BEFC9E0"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The final project report shall demonstrate that:</w:t>
            </w:r>
          </w:p>
          <w:p w14:paraId="0C91DEC0" w14:textId="490D13A9"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-Any electricity used in the projects is of green origin (such as using RES-e) or based on green PPAs.</w:t>
            </w:r>
          </w:p>
        </w:tc>
      </w:tr>
    </w:tbl>
    <w:p w14:paraId="38C188AC" w14:textId="2046BB1A" w:rsidR="7ADA5F15" w:rsidRPr="001961AA" w:rsidRDefault="7ADA5F15">
      <w:pPr>
        <w:rPr>
          <w:noProof/>
          <w:lang w:val="en-GB"/>
        </w:rPr>
      </w:pPr>
    </w:p>
    <w:p w14:paraId="79C9FF89" w14:textId="77777777" w:rsidR="006A41D9" w:rsidRPr="001961AA" w:rsidRDefault="006A41D9" w:rsidP="00BD6DD1">
      <w:pPr>
        <w:ind w:left="709"/>
        <w:rPr>
          <w:rFonts w:ascii="Times New Roman" w:hAnsi="Times New Roman" w:cs="Times New Roman"/>
          <w:noProof/>
          <w:lang w:val="en-GB"/>
        </w:rPr>
      </w:pPr>
    </w:p>
    <w:p w14:paraId="555D1205" w14:textId="77777777" w:rsidR="006A41D9" w:rsidRPr="001961AA" w:rsidRDefault="006A41D9" w:rsidP="00BD6DD1">
      <w:pPr>
        <w:ind w:left="709"/>
        <w:rPr>
          <w:rFonts w:ascii="Times New Roman" w:hAnsi="Times New Roman" w:cs="Times New Roman"/>
          <w:noProof/>
          <w:lang w:val="en-GB"/>
        </w:rPr>
        <w:sectPr w:rsidR="006A41D9" w:rsidRPr="001961AA" w:rsidSect="007F56C3">
          <w:headerReference w:type="even" r:id="rId36"/>
          <w:headerReference w:type="default" r:id="rId37"/>
          <w:footerReference w:type="even" r:id="rId38"/>
          <w:footerReference w:type="default" r:id="rId39"/>
          <w:headerReference w:type="first" r:id="rId40"/>
          <w:footerReference w:type="first" r:id="rId41"/>
          <w:pgSz w:w="16839" w:h="11907" w:orient="landscape"/>
          <w:pgMar w:top="1134" w:right="1134" w:bottom="1134" w:left="1134" w:header="567" w:footer="567" w:gutter="0"/>
          <w:cols w:space="720"/>
          <w:docGrid w:linePitch="360"/>
        </w:sectPr>
      </w:pPr>
    </w:p>
    <w:p w14:paraId="6E892F57" w14:textId="6B85BD24" w:rsidR="006A41D9" w:rsidRPr="001961AA" w:rsidRDefault="006A41D9" w:rsidP="00B34BB0">
      <w:pPr>
        <w:pStyle w:val="ManualHeading1"/>
        <w:spacing w:before="120"/>
        <w:ind w:left="0" w:firstLine="0"/>
        <w:rPr>
          <w:noProof/>
          <w:szCs w:val="24"/>
          <w:lang w:val="en-GB"/>
        </w:rPr>
      </w:pPr>
      <w:r w:rsidRPr="001961AA">
        <w:rPr>
          <w:noProof/>
          <w:lang w:val="en-GB"/>
        </w:rPr>
        <w:t>C. COMPONENT 1.3: Climate and environment</w:t>
      </w:r>
    </w:p>
    <w:p w14:paraId="1FEA2188" w14:textId="77777777" w:rsidR="006A41D9" w:rsidRPr="001961AA" w:rsidRDefault="006A41D9" w:rsidP="00BD6DD1">
      <w:pPr>
        <w:spacing w:before="120" w:after="120" w:line="240" w:lineRule="auto"/>
        <w:jc w:val="both"/>
        <w:rPr>
          <w:rFonts w:ascii="Times New Roman" w:hAnsi="Times New Roman" w:cs="Times New Roman"/>
          <w:noProof/>
          <w:sz w:val="24"/>
          <w:szCs w:val="24"/>
          <w:lang w:val="en-GB"/>
        </w:rPr>
      </w:pPr>
      <w:r w:rsidRPr="001961AA">
        <w:rPr>
          <w:rFonts w:ascii="Times New Roman" w:hAnsi="Times New Roman"/>
          <w:noProof/>
          <w:sz w:val="24"/>
          <w:lang w:val="en-GB"/>
        </w:rPr>
        <w:t>Measures under this component of the Belgian recovery and resilience plan aim to conserve and restore biodiversity by ensuring the sustainable use and restoration of forests, marshes, meadows and grasslands. Measures under this component also contribute to the sequestration of CO</w:t>
      </w:r>
      <w:r w:rsidRPr="001961AA">
        <w:rPr>
          <w:rFonts w:ascii="Times New Roman" w:hAnsi="Times New Roman"/>
          <w:noProof/>
          <w:sz w:val="24"/>
          <w:vertAlign w:val="subscript"/>
          <w:lang w:val="en-GB"/>
        </w:rPr>
        <w:t>2</w:t>
      </w:r>
      <w:r w:rsidRPr="001961AA">
        <w:rPr>
          <w:rFonts w:ascii="Times New Roman" w:hAnsi="Times New Roman"/>
          <w:noProof/>
          <w:sz w:val="24"/>
          <w:lang w:val="en-GB"/>
        </w:rPr>
        <w:t>. Furthermore, the measures prepare for the impacts of climate change by improving water management and green infrastructure. As a result, resilience to drought and heavy rainfall shall increase, bringing about benefits to agriculture, tourism, citizens and the environment as a whole.</w:t>
      </w:r>
    </w:p>
    <w:p w14:paraId="74151ADF" w14:textId="77777777" w:rsidR="006A41D9" w:rsidRPr="001961AA" w:rsidRDefault="006A41D9" w:rsidP="00BD6DD1">
      <w:pPr>
        <w:spacing w:before="120" w:after="120" w:line="240" w:lineRule="auto"/>
        <w:jc w:val="both"/>
        <w:rPr>
          <w:rFonts w:ascii="Times New Roman" w:hAnsi="Times New Roman" w:cs="Times New Roman"/>
          <w:noProof/>
          <w:sz w:val="24"/>
          <w:szCs w:val="24"/>
          <w:lang w:val="en-GB"/>
        </w:rPr>
      </w:pPr>
      <w:r w:rsidRPr="001961AA">
        <w:rPr>
          <w:rFonts w:ascii="Times New Roman" w:hAnsi="Times New Roman"/>
          <w:noProof/>
          <w:sz w:val="24"/>
          <w:lang w:val="en-GB"/>
        </w:rPr>
        <w:t>The component contributes to addressing Country Specific Recommendation 2019.3, calling on Belgium to focus investment-related economic policy on, inter alia, the low carbon and energy transition, as well as Country Specific Recommendation 2020.3 to focus investment on the green and digital transition.</w:t>
      </w:r>
    </w:p>
    <w:p w14:paraId="68B4CD41" w14:textId="77777777" w:rsidR="006A41D9" w:rsidRPr="001961AA" w:rsidRDefault="006A41D9" w:rsidP="00BD6DD1">
      <w:pPr>
        <w:spacing w:before="120" w:after="120" w:line="240" w:lineRule="auto"/>
        <w:jc w:val="both"/>
        <w:rPr>
          <w:rFonts w:ascii="Times New Roman" w:hAnsi="Times New Roman" w:cs="Times New Roman"/>
          <w:noProof/>
          <w:sz w:val="24"/>
          <w:szCs w:val="24"/>
          <w:lang w:val="en-GB"/>
        </w:rPr>
      </w:pPr>
      <w:r w:rsidRPr="001961AA">
        <w:rPr>
          <w:rFonts w:ascii="Times New Roman" w:hAnsi="Times New Roman"/>
          <w:noProof/>
          <w:sz w:val="24"/>
          <w:lang w:val="en-GB"/>
        </w:rPr>
        <w:t>It is expected that no measure in this component does significant harm to environmental objectives within the meaning of Article 17 of Regulation (EU) 2020/852, taking into account the description of the measures and the mitigating steps set out in the recovery and resilience plan in accordance with the DNSH Technical Guidance (2021/C58/01).</w:t>
      </w:r>
    </w:p>
    <w:p w14:paraId="7B331458" w14:textId="77777777" w:rsidR="006A41D9" w:rsidRPr="001961AA" w:rsidRDefault="006A41D9" w:rsidP="00BD6DD1">
      <w:pPr>
        <w:spacing w:before="120"/>
        <w:jc w:val="both"/>
        <w:rPr>
          <w:rFonts w:ascii="Times New Roman" w:hAnsi="Times New Roman" w:cs="Times New Roman"/>
          <w:b/>
          <w:bCs/>
          <w:noProof/>
          <w:sz w:val="24"/>
          <w:szCs w:val="24"/>
          <w:u w:val="single"/>
          <w:lang w:val="en-GB"/>
        </w:rPr>
      </w:pPr>
      <w:r w:rsidRPr="001961AA">
        <w:rPr>
          <w:rFonts w:ascii="Times New Roman" w:hAnsi="Times New Roman"/>
          <w:b/>
          <w:noProof/>
          <w:sz w:val="24"/>
          <w:u w:val="single"/>
          <w:lang w:val="en-GB"/>
        </w:rPr>
        <w:t xml:space="preserve">C.1. </w:t>
      </w:r>
      <w:r w:rsidRPr="001961AA">
        <w:rPr>
          <w:noProof/>
          <w:lang w:val="en-GB"/>
        </w:rPr>
        <w:tab/>
      </w:r>
      <w:r w:rsidRPr="001961AA">
        <w:rPr>
          <w:rFonts w:ascii="Times New Roman" w:hAnsi="Times New Roman"/>
          <w:b/>
          <w:noProof/>
          <w:sz w:val="24"/>
          <w:u w:val="single"/>
          <w:lang w:val="en-GB"/>
        </w:rPr>
        <w:t>Description of the reforms and investments for non-repayable financial support</w:t>
      </w:r>
    </w:p>
    <w:p w14:paraId="71A07D16" w14:textId="745D9CB6" w:rsidR="006A41D9" w:rsidRPr="001961AA" w:rsidRDefault="006A41D9" w:rsidP="00BD6DD1">
      <w:pPr>
        <w:pStyle w:val="Text1"/>
        <w:ind w:left="0"/>
        <w:rPr>
          <w:noProof/>
          <w:szCs w:val="24"/>
          <w:u w:val="single"/>
          <w:lang w:val="en-GB"/>
        </w:rPr>
      </w:pPr>
      <w:r w:rsidRPr="001961AA">
        <w:rPr>
          <w:noProof/>
          <w:u w:val="single"/>
          <w:lang w:val="en-GB"/>
        </w:rPr>
        <w:t>Investment I-1.22: ‘Biodiversity and adaptation to climate change’ of the Walloon Region</w:t>
      </w:r>
    </w:p>
    <w:p w14:paraId="34EB9E6B" w14:textId="15B80999" w:rsidR="006A41D9" w:rsidRPr="001961AA" w:rsidRDefault="006A41D9" w:rsidP="00BD6DD1">
      <w:pPr>
        <w:spacing w:before="120" w:after="120" w:line="240" w:lineRule="auto"/>
        <w:jc w:val="both"/>
        <w:rPr>
          <w:rFonts w:ascii="Times New Roman" w:hAnsi="Times New Roman" w:cs="Times New Roman"/>
          <w:noProof/>
          <w:sz w:val="24"/>
          <w:szCs w:val="24"/>
          <w:lang w:val="en-GB"/>
        </w:rPr>
      </w:pPr>
      <w:r w:rsidRPr="001961AA">
        <w:rPr>
          <w:rFonts w:ascii="Times New Roman" w:hAnsi="Times New Roman"/>
          <w:noProof/>
          <w:sz w:val="24"/>
          <w:lang w:val="en-GB"/>
        </w:rPr>
        <w:t>The investment aims to support the conservation, restoring and sustainable use of biodiversity and ecosystem services, which shall improve the carbon storage capacity and resilience to climate change effects such as floods and droughts. The measure consists of four sub-actions: (1) support the regeneration of resilient forests in the public domain, (2) the strengthening of the network of protected areas within the priority action framework for the protection of certain species and habitats, (3) the creation of two national parks in Wallonia and (4) the re-meandering of rivers and creation of wetlands. The implementation of the investment shall be completed by 30 June 2026.</w:t>
      </w:r>
    </w:p>
    <w:p w14:paraId="4E29383A" w14:textId="77777777" w:rsidR="006A41D9" w:rsidRPr="001961AA" w:rsidRDefault="006A41D9" w:rsidP="00BD6DD1">
      <w:pPr>
        <w:spacing w:before="120" w:after="120" w:line="240" w:lineRule="auto"/>
        <w:jc w:val="both"/>
        <w:rPr>
          <w:rFonts w:ascii="Times New Roman" w:hAnsi="Times New Roman" w:cs="Times New Roman"/>
          <w:noProof/>
          <w:sz w:val="24"/>
          <w:szCs w:val="24"/>
          <w:u w:val="single"/>
          <w:lang w:val="en-GB"/>
        </w:rPr>
      </w:pPr>
      <w:r w:rsidRPr="001961AA">
        <w:rPr>
          <w:rFonts w:ascii="Times New Roman" w:hAnsi="Times New Roman"/>
          <w:noProof/>
          <w:sz w:val="24"/>
          <w:u w:val="single"/>
          <w:lang w:val="en-GB"/>
        </w:rPr>
        <w:t>Investment I-1.23: ‘Ecological defragmentation’ of the Flemish Region</w:t>
      </w:r>
    </w:p>
    <w:p w14:paraId="1E5EDC3E" w14:textId="77777777" w:rsidR="006A41D9" w:rsidRPr="001961AA" w:rsidRDefault="006A41D9" w:rsidP="00BD6DD1">
      <w:pPr>
        <w:spacing w:before="120" w:after="120" w:line="240" w:lineRule="auto"/>
        <w:jc w:val="both"/>
        <w:rPr>
          <w:rFonts w:ascii="Times New Roman" w:hAnsi="Times New Roman" w:cs="Times New Roman"/>
          <w:bCs/>
          <w:noProof/>
          <w:sz w:val="24"/>
          <w:szCs w:val="24"/>
          <w:lang w:val="en-GB"/>
        </w:rPr>
      </w:pPr>
      <w:r w:rsidRPr="001961AA">
        <w:rPr>
          <w:rFonts w:ascii="Times New Roman" w:hAnsi="Times New Roman"/>
          <w:noProof/>
          <w:sz w:val="24"/>
          <w:lang w:val="en-GB"/>
        </w:rPr>
        <w:t>This investment in ecological defragmentation of existing regional transport infrastructure shall contribute to the restoration of ecosystems and the development of a coherent nature network in Flanders. The measure includes 15 concrete projects for eco-ducts and eco-tunnels (preparatory studies or construction works). The implementation of the investment shall be completed by 30 June 2026.</w:t>
      </w:r>
    </w:p>
    <w:p w14:paraId="383401D4" w14:textId="77777777" w:rsidR="006A41D9" w:rsidRPr="001961AA" w:rsidRDefault="006A41D9" w:rsidP="00BD6DD1">
      <w:pPr>
        <w:pStyle w:val="Text1"/>
        <w:ind w:left="0"/>
        <w:rPr>
          <w:noProof/>
          <w:szCs w:val="24"/>
          <w:u w:val="single"/>
          <w:lang w:val="en-GB"/>
        </w:rPr>
      </w:pPr>
      <w:r w:rsidRPr="001961AA">
        <w:rPr>
          <w:noProof/>
          <w:u w:val="single"/>
          <w:lang w:val="en-GB"/>
        </w:rPr>
        <w:t>Investment I-1.24: ‘Blue Deal’ of the Flemish Region</w:t>
      </w:r>
    </w:p>
    <w:p w14:paraId="52D291E3" w14:textId="77777777" w:rsidR="00022287" w:rsidRPr="001961AA" w:rsidRDefault="006A41D9" w:rsidP="00BD6DD1">
      <w:pPr>
        <w:pStyle w:val="Text1"/>
        <w:ind w:left="0"/>
        <w:rPr>
          <w:noProof/>
          <w:szCs w:val="24"/>
          <w:lang w:val="en-GB"/>
        </w:rPr>
        <w:sectPr w:rsidR="00022287" w:rsidRPr="001961AA" w:rsidSect="00022287">
          <w:headerReference w:type="even" r:id="rId42"/>
          <w:headerReference w:type="default" r:id="rId43"/>
          <w:footerReference w:type="even" r:id="rId44"/>
          <w:footerReference w:type="default" r:id="rId45"/>
          <w:headerReference w:type="first" r:id="rId46"/>
          <w:footerReference w:type="first" r:id="rId47"/>
          <w:pgSz w:w="11907" w:h="16839"/>
          <w:pgMar w:top="1134" w:right="1134" w:bottom="1134" w:left="1134" w:header="567" w:footer="567" w:gutter="0"/>
          <w:cols w:space="720"/>
          <w:docGrid w:linePitch="360"/>
        </w:sectPr>
      </w:pPr>
      <w:r w:rsidRPr="001961AA">
        <w:rPr>
          <w:noProof/>
          <w:lang w:val="en-GB"/>
        </w:rPr>
        <w:t>The Blue Deal investment is part of a bigger plan of 80 projects and actions aiming for better preparedness for longer periods of drought and more frequent heat waves by addressing drought problems in a structural way. Under the plan, nine sub-actions of diverse nature shall be supported, addressing different actors, including industry, farmers and municipalities. The actions cover: (A) landscape projects for drought mitigation, (B) a research program in agriculture, (C) two projects on waterway pumps and locks, (D) a water management support scheme for companies that invest in innovative water saving technologies, (F) innovative projects on circular water use and digital monitoring and smart water data systems, (G) implementation of nature-based solutions in four defined areas and (I) wetland restoration projects. The implementation of the investment shall be completed by 30 June 2026.</w:t>
      </w:r>
    </w:p>
    <w:p w14:paraId="5BD0D01A" w14:textId="77777777" w:rsidR="006A41D9" w:rsidRPr="001961AA" w:rsidRDefault="006A41D9" w:rsidP="00BD6DD1">
      <w:pPr>
        <w:pStyle w:val="Text1"/>
        <w:ind w:left="0"/>
        <w:rPr>
          <w:noProof/>
          <w:szCs w:val="24"/>
          <w:lang w:val="en-GB"/>
        </w:rPr>
      </w:pPr>
      <w:r w:rsidRPr="001961AA">
        <w:rPr>
          <w:b/>
          <w:noProof/>
          <w:u w:val="single"/>
          <w:lang w:val="en-GB"/>
        </w:rPr>
        <w:t xml:space="preserve">C.2. </w:t>
      </w:r>
      <w:r w:rsidRPr="001961AA">
        <w:rPr>
          <w:noProof/>
          <w:lang w:val="en-GB"/>
        </w:rPr>
        <w:tab/>
      </w:r>
      <w:r w:rsidRPr="001961AA">
        <w:rPr>
          <w:b/>
          <w:noProof/>
          <w:u w:val="single"/>
          <w:lang w:val="en-GB"/>
        </w:rPr>
        <w:t>Milestones, targets, indicators, and timetable for monitoring and implementation for non-repayable financial support</w:t>
      </w:r>
    </w:p>
    <w:tbl>
      <w:tblPr>
        <w:tblW w:w="15559" w:type="dxa"/>
        <w:jc w:val="center"/>
        <w:tblLayout w:type="fixed"/>
        <w:tblLook w:val="04A0" w:firstRow="1" w:lastRow="0" w:firstColumn="1" w:lastColumn="0" w:noHBand="0" w:noVBand="1"/>
      </w:tblPr>
      <w:tblGrid>
        <w:gridCol w:w="846"/>
        <w:gridCol w:w="1593"/>
        <w:gridCol w:w="1100"/>
        <w:gridCol w:w="2019"/>
        <w:gridCol w:w="1241"/>
        <w:gridCol w:w="993"/>
        <w:gridCol w:w="1203"/>
        <w:gridCol w:w="960"/>
        <w:gridCol w:w="960"/>
        <w:gridCol w:w="720"/>
        <w:gridCol w:w="3924"/>
      </w:tblGrid>
      <w:tr w:rsidR="009E4837" w:rsidRPr="009818D6" w14:paraId="7A69DE7B" w14:textId="77777777" w:rsidTr="00AD78C9">
        <w:trPr>
          <w:trHeight w:val="927"/>
          <w:tblHeader/>
          <w:jc w:val="center"/>
        </w:trPr>
        <w:tc>
          <w:tcPr>
            <w:tcW w:w="84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1A7E009" w14:textId="72118E2E" w:rsidR="006A41D9" w:rsidRPr="001961AA" w:rsidRDefault="006A41D9" w:rsidP="00BD6DD1">
            <w:pPr>
              <w:spacing w:after="0"/>
              <w:jc w:val="center"/>
              <w:rPr>
                <w:rFonts w:ascii="Times New Roman" w:eastAsia="Times New Roman" w:hAnsi="Times New Roman" w:cs="Times New Roman"/>
                <w:b/>
                <w:bCs/>
                <w:noProof/>
                <w:sz w:val="20"/>
                <w:szCs w:val="20"/>
                <w:lang w:val="en-GB"/>
              </w:rPr>
            </w:pPr>
            <w:r w:rsidRPr="001961AA">
              <w:rPr>
                <w:rFonts w:ascii="Times New Roman" w:hAnsi="Times New Roman"/>
                <w:b/>
                <w:noProof/>
                <w:sz w:val="20"/>
                <w:lang w:val="en-GB"/>
              </w:rPr>
              <w:t>Seq. Nb.</w:t>
            </w:r>
          </w:p>
        </w:tc>
        <w:tc>
          <w:tcPr>
            <w:tcW w:w="159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04AB355" w14:textId="77777777" w:rsidR="006A41D9" w:rsidRPr="001961AA" w:rsidRDefault="006A41D9" w:rsidP="00BD6DD1">
            <w:pPr>
              <w:spacing w:after="0"/>
              <w:jc w:val="center"/>
              <w:rPr>
                <w:rFonts w:ascii="Times New Roman" w:eastAsia="Times New Roman" w:hAnsi="Times New Roman" w:cs="Times New Roman"/>
                <w:b/>
                <w:bCs/>
                <w:noProof/>
                <w:sz w:val="20"/>
                <w:szCs w:val="20"/>
                <w:lang w:val="en-GB"/>
              </w:rPr>
            </w:pPr>
            <w:r w:rsidRPr="001961AA">
              <w:rPr>
                <w:rFonts w:ascii="Times New Roman" w:hAnsi="Times New Roman"/>
                <w:b/>
                <w:noProof/>
                <w:sz w:val="20"/>
                <w:lang w:val="en-GB"/>
              </w:rPr>
              <w:t>Related Measure (Reform or Investment)</w:t>
            </w:r>
          </w:p>
        </w:tc>
        <w:tc>
          <w:tcPr>
            <w:tcW w:w="110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4CCE733C" w14:textId="77777777" w:rsidR="006A41D9" w:rsidRPr="001961AA" w:rsidRDefault="006A41D9" w:rsidP="00BD6DD1">
            <w:pPr>
              <w:spacing w:after="0"/>
              <w:jc w:val="center"/>
              <w:rPr>
                <w:rFonts w:ascii="Times New Roman" w:eastAsia="Times New Roman" w:hAnsi="Times New Roman" w:cs="Times New Roman"/>
                <w:b/>
                <w:bCs/>
                <w:noProof/>
                <w:sz w:val="20"/>
                <w:szCs w:val="20"/>
                <w:lang w:val="en-GB"/>
              </w:rPr>
            </w:pPr>
            <w:r w:rsidRPr="001961AA">
              <w:rPr>
                <w:rFonts w:ascii="Times New Roman" w:hAnsi="Times New Roman"/>
                <w:b/>
                <w:noProof/>
                <w:sz w:val="20"/>
                <w:lang w:val="en-GB"/>
              </w:rPr>
              <w:t>Milestone / Target</w:t>
            </w:r>
          </w:p>
        </w:tc>
        <w:tc>
          <w:tcPr>
            <w:tcW w:w="201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72796D9" w14:textId="77777777" w:rsidR="006A41D9" w:rsidRPr="001961AA" w:rsidRDefault="006A41D9" w:rsidP="00BD6DD1">
            <w:pPr>
              <w:spacing w:after="0"/>
              <w:jc w:val="center"/>
              <w:rPr>
                <w:rFonts w:ascii="Times New Roman" w:eastAsia="Times New Roman" w:hAnsi="Times New Roman" w:cs="Times New Roman"/>
                <w:b/>
                <w:bCs/>
                <w:noProof/>
                <w:sz w:val="20"/>
                <w:szCs w:val="20"/>
                <w:lang w:val="en-GB"/>
              </w:rPr>
            </w:pPr>
            <w:r w:rsidRPr="001961AA">
              <w:rPr>
                <w:rFonts w:ascii="Times New Roman" w:hAnsi="Times New Roman"/>
                <w:b/>
                <w:noProof/>
                <w:sz w:val="20"/>
                <w:lang w:val="en-GB"/>
              </w:rPr>
              <w:t>Name</w:t>
            </w:r>
          </w:p>
        </w:tc>
        <w:tc>
          <w:tcPr>
            <w:tcW w:w="1241"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4D2C0B9" w14:textId="77777777" w:rsidR="006A41D9" w:rsidRPr="001961AA" w:rsidRDefault="006A41D9" w:rsidP="00BD6DD1">
            <w:pPr>
              <w:spacing w:after="0"/>
              <w:jc w:val="center"/>
              <w:rPr>
                <w:rFonts w:ascii="Times New Roman" w:eastAsia="Times New Roman" w:hAnsi="Times New Roman" w:cs="Times New Roman"/>
                <w:b/>
                <w:bCs/>
                <w:noProof/>
                <w:sz w:val="20"/>
                <w:szCs w:val="20"/>
                <w:lang w:val="en-GB"/>
              </w:rPr>
            </w:pPr>
            <w:r w:rsidRPr="001961AA">
              <w:rPr>
                <w:rFonts w:ascii="Times New Roman" w:hAnsi="Times New Roman"/>
                <w:b/>
                <w:noProof/>
                <w:sz w:val="20"/>
                <w:lang w:val="en-GB"/>
              </w:rPr>
              <w:t xml:space="preserve">Qualitative indicators </w:t>
            </w:r>
            <w:r w:rsidRPr="001961AA">
              <w:rPr>
                <w:noProof/>
                <w:lang w:val="en-GB"/>
              </w:rPr>
              <w:t xml:space="preserve"> </w:t>
            </w:r>
            <w:r w:rsidRPr="001961AA">
              <w:rPr>
                <w:noProof/>
                <w:lang w:val="en-GB"/>
              </w:rPr>
              <w:br/>
            </w:r>
            <w:r w:rsidRPr="001961AA">
              <w:rPr>
                <w:rFonts w:ascii="Times New Roman" w:hAnsi="Times New Roman"/>
                <w:b/>
                <w:noProof/>
                <w:sz w:val="20"/>
                <w:lang w:val="en-GB"/>
              </w:rPr>
              <w:t>(for milestones)</w:t>
            </w:r>
          </w:p>
        </w:tc>
        <w:tc>
          <w:tcPr>
            <w:tcW w:w="3156" w:type="dxa"/>
            <w:gridSpan w:val="3"/>
            <w:tcBorders>
              <w:top w:val="single" w:sz="4" w:space="0" w:color="auto"/>
              <w:left w:val="single" w:sz="4" w:space="0" w:color="auto"/>
              <w:bottom w:val="single" w:sz="4" w:space="0" w:color="auto"/>
              <w:right w:val="single" w:sz="4" w:space="0" w:color="auto"/>
            </w:tcBorders>
            <w:shd w:val="clear" w:color="auto" w:fill="BDD7EE"/>
            <w:vAlign w:val="center"/>
            <w:hideMark/>
          </w:tcPr>
          <w:p w14:paraId="14385466" w14:textId="77777777" w:rsidR="006A41D9" w:rsidRPr="001961AA" w:rsidRDefault="006A41D9" w:rsidP="00BD6DD1">
            <w:pPr>
              <w:spacing w:after="0"/>
              <w:jc w:val="center"/>
              <w:rPr>
                <w:rFonts w:ascii="Times New Roman" w:eastAsia="Times New Roman" w:hAnsi="Times New Roman" w:cs="Times New Roman"/>
                <w:b/>
                <w:bCs/>
                <w:noProof/>
                <w:sz w:val="20"/>
                <w:szCs w:val="20"/>
                <w:lang w:val="en-GB"/>
              </w:rPr>
            </w:pPr>
            <w:r w:rsidRPr="001961AA">
              <w:rPr>
                <w:rFonts w:ascii="Times New Roman" w:hAnsi="Times New Roman"/>
                <w:b/>
                <w:noProof/>
                <w:sz w:val="20"/>
                <w:lang w:val="en-GB"/>
              </w:rPr>
              <w:t xml:space="preserve">Quantitative indicators </w:t>
            </w:r>
            <w:r w:rsidRPr="001961AA">
              <w:rPr>
                <w:noProof/>
                <w:lang w:val="en-GB"/>
              </w:rPr>
              <w:t xml:space="preserve"> </w:t>
            </w:r>
            <w:r w:rsidRPr="001961AA">
              <w:rPr>
                <w:noProof/>
                <w:lang w:val="en-GB"/>
              </w:rPr>
              <w:br/>
            </w:r>
            <w:r w:rsidRPr="001961AA">
              <w:rPr>
                <w:rFonts w:ascii="Times New Roman" w:hAnsi="Times New Roman"/>
                <w:b/>
                <w:noProof/>
                <w:sz w:val="20"/>
                <w:lang w:val="en-GB"/>
              </w:rPr>
              <w:t>(for targets)</w:t>
            </w:r>
          </w:p>
        </w:tc>
        <w:tc>
          <w:tcPr>
            <w:tcW w:w="1680" w:type="dxa"/>
            <w:gridSpan w:val="2"/>
            <w:tcBorders>
              <w:top w:val="single" w:sz="4" w:space="0" w:color="auto"/>
              <w:left w:val="nil"/>
              <w:bottom w:val="single" w:sz="4" w:space="0" w:color="auto"/>
              <w:right w:val="single" w:sz="4" w:space="0" w:color="auto"/>
            </w:tcBorders>
            <w:shd w:val="clear" w:color="auto" w:fill="BDD7EE"/>
            <w:vAlign w:val="center"/>
            <w:hideMark/>
          </w:tcPr>
          <w:p w14:paraId="500A82B4" w14:textId="77777777" w:rsidR="006A41D9" w:rsidRPr="001961AA" w:rsidRDefault="006A41D9" w:rsidP="00BD6DD1">
            <w:pPr>
              <w:spacing w:after="0"/>
              <w:jc w:val="center"/>
              <w:rPr>
                <w:rFonts w:ascii="Times New Roman" w:eastAsia="Times New Roman" w:hAnsi="Times New Roman" w:cs="Times New Roman"/>
                <w:b/>
                <w:bCs/>
                <w:noProof/>
                <w:sz w:val="20"/>
                <w:szCs w:val="20"/>
                <w:lang w:val="en-GB"/>
              </w:rPr>
            </w:pPr>
            <w:r w:rsidRPr="001961AA">
              <w:rPr>
                <w:rFonts w:ascii="Times New Roman" w:hAnsi="Times New Roman"/>
                <w:b/>
                <w:noProof/>
                <w:sz w:val="20"/>
                <w:lang w:val="en-GB"/>
              </w:rPr>
              <w:t xml:space="preserve">Indicative timeline for completion </w:t>
            </w:r>
          </w:p>
        </w:tc>
        <w:tc>
          <w:tcPr>
            <w:tcW w:w="392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E450F54" w14:textId="77777777" w:rsidR="006A41D9" w:rsidRPr="001961AA" w:rsidRDefault="006A41D9" w:rsidP="00BD6DD1">
            <w:pPr>
              <w:spacing w:after="0"/>
              <w:jc w:val="center"/>
              <w:rPr>
                <w:rFonts w:ascii="Times New Roman" w:eastAsia="Times New Roman" w:hAnsi="Times New Roman" w:cs="Times New Roman"/>
                <w:b/>
                <w:bCs/>
                <w:noProof/>
                <w:sz w:val="20"/>
                <w:szCs w:val="20"/>
                <w:lang w:val="en-GB"/>
              </w:rPr>
            </w:pPr>
            <w:r w:rsidRPr="001961AA">
              <w:rPr>
                <w:rFonts w:ascii="Times New Roman" w:hAnsi="Times New Roman"/>
                <w:b/>
                <w:noProof/>
                <w:sz w:val="20"/>
                <w:lang w:val="en-GB"/>
              </w:rPr>
              <w:t>Description of each milestone and target</w:t>
            </w:r>
          </w:p>
        </w:tc>
      </w:tr>
      <w:tr w:rsidR="00077FB0" w:rsidRPr="001961AA" w14:paraId="5EEB2CFE" w14:textId="77777777" w:rsidTr="00AD78C9">
        <w:trPr>
          <w:trHeight w:val="1013"/>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4A891423" w14:textId="77777777" w:rsidR="006A41D9" w:rsidRPr="001961AA" w:rsidRDefault="006A41D9" w:rsidP="00BD6DD1">
            <w:pPr>
              <w:spacing w:after="0"/>
              <w:rPr>
                <w:rFonts w:ascii="Times New Roman" w:eastAsia="Times New Roman" w:hAnsi="Times New Roman" w:cs="Times New Roman"/>
                <w:b/>
                <w:bCs/>
                <w:noProof/>
                <w:szCs w:val="24"/>
                <w:lang w:val="en-GB" w:eastAsia="en-GB"/>
              </w:rPr>
            </w:pPr>
          </w:p>
        </w:tc>
        <w:tc>
          <w:tcPr>
            <w:tcW w:w="1593" w:type="dxa"/>
            <w:vMerge/>
            <w:tcBorders>
              <w:top w:val="single" w:sz="4" w:space="0" w:color="auto"/>
              <w:left w:val="single" w:sz="4" w:space="0" w:color="auto"/>
              <w:bottom w:val="single" w:sz="4" w:space="0" w:color="auto"/>
              <w:right w:val="single" w:sz="4" w:space="0" w:color="auto"/>
            </w:tcBorders>
            <w:vAlign w:val="center"/>
            <w:hideMark/>
          </w:tcPr>
          <w:p w14:paraId="07D65B82" w14:textId="77777777" w:rsidR="006A41D9" w:rsidRPr="001961AA" w:rsidRDefault="006A41D9" w:rsidP="00BD6DD1">
            <w:pPr>
              <w:spacing w:after="0"/>
              <w:rPr>
                <w:rFonts w:ascii="Times New Roman" w:eastAsia="Times New Roman" w:hAnsi="Times New Roman" w:cs="Times New Roman"/>
                <w:b/>
                <w:bCs/>
                <w:noProof/>
                <w:szCs w:val="24"/>
                <w:lang w:val="en-GB" w:eastAsia="en-GB"/>
              </w:rPr>
            </w:pPr>
          </w:p>
        </w:tc>
        <w:tc>
          <w:tcPr>
            <w:tcW w:w="1100" w:type="dxa"/>
            <w:vMerge/>
            <w:tcBorders>
              <w:top w:val="single" w:sz="4" w:space="0" w:color="auto"/>
              <w:left w:val="single" w:sz="4" w:space="0" w:color="auto"/>
              <w:bottom w:val="single" w:sz="4" w:space="0" w:color="auto"/>
              <w:right w:val="single" w:sz="4" w:space="0" w:color="auto"/>
            </w:tcBorders>
            <w:vAlign w:val="center"/>
            <w:hideMark/>
          </w:tcPr>
          <w:p w14:paraId="45814711" w14:textId="77777777" w:rsidR="006A41D9" w:rsidRPr="001961AA" w:rsidRDefault="006A41D9" w:rsidP="00BD6DD1">
            <w:pPr>
              <w:spacing w:after="0"/>
              <w:rPr>
                <w:rFonts w:ascii="Times New Roman" w:eastAsia="Times New Roman" w:hAnsi="Times New Roman" w:cs="Times New Roman"/>
                <w:b/>
                <w:bCs/>
                <w:noProof/>
                <w:szCs w:val="24"/>
                <w:lang w:val="en-GB" w:eastAsia="en-GB"/>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14:paraId="0B9043E6" w14:textId="77777777" w:rsidR="006A41D9" w:rsidRPr="001961AA" w:rsidRDefault="006A41D9" w:rsidP="00BD6DD1">
            <w:pPr>
              <w:spacing w:after="0"/>
              <w:rPr>
                <w:rFonts w:ascii="Times New Roman" w:eastAsia="Times New Roman" w:hAnsi="Times New Roman" w:cs="Times New Roman"/>
                <w:b/>
                <w:bCs/>
                <w:noProof/>
                <w:szCs w:val="24"/>
                <w:lang w:val="en-GB" w:eastAsia="en-GB"/>
              </w:rPr>
            </w:pPr>
          </w:p>
        </w:tc>
        <w:tc>
          <w:tcPr>
            <w:tcW w:w="1241" w:type="dxa"/>
            <w:vMerge/>
            <w:tcBorders>
              <w:top w:val="single" w:sz="4" w:space="0" w:color="auto"/>
              <w:left w:val="single" w:sz="4" w:space="0" w:color="auto"/>
              <w:bottom w:val="single" w:sz="4" w:space="0" w:color="auto"/>
              <w:right w:val="single" w:sz="4" w:space="0" w:color="auto"/>
            </w:tcBorders>
            <w:vAlign w:val="center"/>
            <w:hideMark/>
          </w:tcPr>
          <w:p w14:paraId="38899789" w14:textId="77777777" w:rsidR="006A41D9" w:rsidRPr="001961AA" w:rsidRDefault="006A41D9" w:rsidP="00BD6DD1">
            <w:pPr>
              <w:spacing w:after="0"/>
              <w:rPr>
                <w:rFonts w:ascii="Times New Roman" w:eastAsia="Times New Roman" w:hAnsi="Times New Roman" w:cs="Times New Roman"/>
                <w:b/>
                <w:bCs/>
                <w:noProof/>
                <w:szCs w:val="24"/>
                <w:lang w:val="en-GB" w:eastAsia="en-GB"/>
              </w:rPr>
            </w:pPr>
          </w:p>
        </w:tc>
        <w:tc>
          <w:tcPr>
            <w:tcW w:w="993" w:type="dxa"/>
            <w:tcBorders>
              <w:top w:val="nil"/>
              <w:left w:val="single" w:sz="4" w:space="0" w:color="auto"/>
              <w:bottom w:val="single" w:sz="4" w:space="0" w:color="auto"/>
              <w:right w:val="single" w:sz="4" w:space="0" w:color="auto"/>
            </w:tcBorders>
            <w:shd w:val="clear" w:color="auto" w:fill="BDD7EE"/>
            <w:vAlign w:val="center"/>
            <w:hideMark/>
          </w:tcPr>
          <w:p w14:paraId="11873977" w14:textId="77777777" w:rsidR="006A41D9" w:rsidRPr="001961AA" w:rsidRDefault="006A41D9" w:rsidP="00BD6DD1">
            <w:pPr>
              <w:spacing w:after="0"/>
              <w:jc w:val="center"/>
              <w:rPr>
                <w:rFonts w:ascii="Times New Roman" w:eastAsia="Times New Roman" w:hAnsi="Times New Roman" w:cs="Times New Roman"/>
                <w:b/>
                <w:noProof/>
                <w:sz w:val="20"/>
                <w:szCs w:val="20"/>
                <w:lang w:val="en-GB"/>
              </w:rPr>
            </w:pPr>
            <w:r w:rsidRPr="001961AA">
              <w:rPr>
                <w:rFonts w:ascii="Times New Roman" w:hAnsi="Times New Roman"/>
                <w:b/>
                <w:noProof/>
                <w:sz w:val="20"/>
                <w:lang w:val="en-GB"/>
              </w:rPr>
              <w:t>Unit of measure</w:t>
            </w:r>
          </w:p>
        </w:tc>
        <w:tc>
          <w:tcPr>
            <w:tcW w:w="1203" w:type="dxa"/>
            <w:tcBorders>
              <w:top w:val="nil"/>
              <w:left w:val="nil"/>
              <w:bottom w:val="single" w:sz="4" w:space="0" w:color="auto"/>
              <w:right w:val="single" w:sz="4" w:space="0" w:color="auto"/>
            </w:tcBorders>
            <w:shd w:val="clear" w:color="auto" w:fill="BDD7EE"/>
            <w:vAlign w:val="center"/>
            <w:hideMark/>
          </w:tcPr>
          <w:p w14:paraId="0BB443C7" w14:textId="77777777" w:rsidR="006A41D9" w:rsidRPr="001961AA" w:rsidRDefault="006A41D9" w:rsidP="00BD6DD1">
            <w:pPr>
              <w:spacing w:after="0"/>
              <w:jc w:val="center"/>
              <w:rPr>
                <w:rFonts w:ascii="Times New Roman" w:eastAsia="Times New Roman" w:hAnsi="Times New Roman" w:cs="Times New Roman"/>
                <w:b/>
                <w:noProof/>
                <w:sz w:val="20"/>
                <w:szCs w:val="20"/>
                <w:lang w:val="en-GB"/>
              </w:rPr>
            </w:pPr>
            <w:r w:rsidRPr="001961AA">
              <w:rPr>
                <w:rFonts w:ascii="Times New Roman" w:hAnsi="Times New Roman"/>
                <w:b/>
                <w:noProof/>
                <w:sz w:val="20"/>
                <w:lang w:val="en-GB"/>
              </w:rPr>
              <w:t xml:space="preserve">Baseline </w:t>
            </w:r>
          </w:p>
        </w:tc>
        <w:tc>
          <w:tcPr>
            <w:tcW w:w="960" w:type="dxa"/>
            <w:tcBorders>
              <w:top w:val="nil"/>
              <w:left w:val="nil"/>
              <w:bottom w:val="single" w:sz="4" w:space="0" w:color="auto"/>
              <w:right w:val="single" w:sz="4" w:space="0" w:color="auto"/>
            </w:tcBorders>
            <w:shd w:val="clear" w:color="auto" w:fill="BDD7EE"/>
            <w:vAlign w:val="center"/>
            <w:hideMark/>
          </w:tcPr>
          <w:p w14:paraId="1D98EFF4" w14:textId="77777777" w:rsidR="006A41D9" w:rsidRPr="001961AA" w:rsidRDefault="006A41D9" w:rsidP="00BD6DD1">
            <w:pPr>
              <w:spacing w:after="0"/>
              <w:jc w:val="center"/>
              <w:rPr>
                <w:rFonts w:ascii="Times New Roman" w:eastAsia="Times New Roman" w:hAnsi="Times New Roman" w:cs="Times New Roman"/>
                <w:b/>
                <w:noProof/>
                <w:sz w:val="20"/>
                <w:szCs w:val="20"/>
                <w:lang w:val="en-GB"/>
              </w:rPr>
            </w:pPr>
            <w:r w:rsidRPr="001961AA">
              <w:rPr>
                <w:rFonts w:ascii="Times New Roman" w:hAnsi="Times New Roman"/>
                <w:b/>
                <w:noProof/>
                <w:sz w:val="20"/>
                <w:lang w:val="en-GB"/>
              </w:rPr>
              <w:t xml:space="preserve">Goal </w:t>
            </w:r>
          </w:p>
        </w:tc>
        <w:tc>
          <w:tcPr>
            <w:tcW w:w="960" w:type="dxa"/>
            <w:tcBorders>
              <w:top w:val="nil"/>
              <w:left w:val="nil"/>
              <w:bottom w:val="single" w:sz="4" w:space="0" w:color="auto"/>
              <w:right w:val="single" w:sz="4" w:space="0" w:color="auto"/>
            </w:tcBorders>
            <w:shd w:val="clear" w:color="auto" w:fill="BDD7EE"/>
            <w:vAlign w:val="center"/>
            <w:hideMark/>
          </w:tcPr>
          <w:p w14:paraId="0F3A2222" w14:textId="77777777" w:rsidR="006A41D9" w:rsidRPr="001961AA" w:rsidRDefault="006A41D9" w:rsidP="00BD6DD1">
            <w:pPr>
              <w:spacing w:after="0"/>
              <w:jc w:val="center"/>
              <w:rPr>
                <w:rFonts w:ascii="Times New Roman" w:eastAsia="Times New Roman" w:hAnsi="Times New Roman" w:cs="Times New Roman"/>
                <w:b/>
                <w:noProof/>
                <w:sz w:val="20"/>
                <w:szCs w:val="20"/>
                <w:lang w:val="en-GB"/>
              </w:rPr>
            </w:pPr>
            <w:r w:rsidRPr="001961AA">
              <w:rPr>
                <w:rFonts w:ascii="Times New Roman" w:hAnsi="Times New Roman"/>
                <w:b/>
                <w:noProof/>
                <w:sz w:val="20"/>
                <w:lang w:val="en-GB"/>
              </w:rPr>
              <w:t>Quarter</w:t>
            </w:r>
          </w:p>
        </w:tc>
        <w:tc>
          <w:tcPr>
            <w:tcW w:w="720" w:type="dxa"/>
            <w:tcBorders>
              <w:top w:val="nil"/>
              <w:left w:val="nil"/>
              <w:bottom w:val="single" w:sz="4" w:space="0" w:color="auto"/>
              <w:right w:val="single" w:sz="4" w:space="0" w:color="auto"/>
            </w:tcBorders>
            <w:shd w:val="clear" w:color="auto" w:fill="BDD7EE"/>
            <w:vAlign w:val="center"/>
            <w:hideMark/>
          </w:tcPr>
          <w:p w14:paraId="443C388F" w14:textId="77777777" w:rsidR="006A41D9" w:rsidRPr="001961AA" w:rsidRDefault="006A41D9" w:rsidP="00BD6DD1">
            <w:pPr>
              <w:spacing w:after="0"/>
              <w:jc w:val="center"/>
              <w:rPr>
                <w:rFonts w:ascii="Times New Roman" w:eastAsia="Times New Roman" w:hAnsi="Times New Roman" w:cs="Times New Roman"/>
                <w:b/>
                <w:noProof/>
                <w:sz w:val="20"/>
                <w:szCs w:val="20"/>
                <w:lang w:val="en-GB"/>
              </w:rPr>
            </w:pPr>
            <w:r w:rsidRPr="001961AA">
              <w:rPr>
                <w:rFonts w:ascii="Times New Roman" w:hAnsi="Times New Roman"/>
                <w:b/>
                <w:noProof/>
                <w:sz w:val="20"/>
                <w:lang w:val="en-GB"/>
              </w:rPr>
              <w:t>Year</w:t>
            </w:r>
          </w:p>
        </w:tc>
        <w:tc>
          <w:tcPr>
            <w:tcW w:w="3924" w:type="dxa"/>
            <w:vMerge/>
            <w:tcBorders>
              <w:top w:val="single" w:sz="4" w:space="0" w:color="auto"/>
              <w:bottom w:val="single" w:sz="4" w:space="0" w:color="auto"/>
              <w:right w:val="single" w:sz="4" w:space="0" w:color="auto"/>
            </w:tcBorders>
            <w:vAlign w:val="center"/>
            <w:hideMark/>
          </w:tcPr>
          <w:p w14:paraId="5552A75B" w14:textId="77777777" w:rsidR="006A41D9" w:rsidRPr="001961AA" w:rsidRDefault="006A41D9" w:rsidP="00BD6DD1">
            <w:pPr>
              <w:spacing w:after="0"/>
              <w:rPr>
                <w:rFonts w:ascii="Times New Roman" w:eastAsia="Times New Roman" w:hAnsi="Times New Roman" w:cs="Times New Roman"/>
                <w:b/>
                <w:bCs/>
                <w:noProof/>
                <w:szCs w:val="24"/>
                <w:lang w:val="en-GB" w:eastAsia="en-GB"/>
              </w:rPr>
            </w:pPr>
          </w:p>
        </w:tc>
      </w:tr>
      <w:tr w:rsidR="00077FB0" w:rsidRPr="009818D6" w14:paraId="6A973686" w14:textId="77777777" w:rsidTr="00AD78C9">
        <w:trPr>
          <w:trHeight w:val="309"/>
          <w:jc w:val="center"/>
        </w:trPr>
        <w:tc>
          <w:tcPr>
            <w:tcW w:w="846"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7F29EB6E"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36</w:t>
            </w:r>
          </w:p>
        </w:tc>
        <w:tc>
          <w:tcPr>
            <w:tcW w:w="1593" w:type="dxa"/>
            <w:tcBorders>
              <w:top w:val="single" w:sz="4" w:space="0" w:color="auto"/>
              <w:left w:val="nil"/>
              <w:bottom w:val="single" w:sz="4" w:space="0" w:color="auto"/>
              <w:right w:val="single" w:sz="4" w:space="0" w:color="auto"/>
            </w:tcBorders>
            <w:shd w:val="clear" w:color="auto" w:fill="C6EFCE"/>
            <w:noWrap/>
            <w:vAlign w:val="center"/>
            <w:hideMark/>
          </w:tcPr>
          <w:p w14:paraId="0639CF07"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Biodiversity and adaptation to climate change (I-1.22)</w:t>
            </w:r>
          </w:p>
        </w:tc>
        <w:tc>
          <w:tcPr>
            <w:tcW w:w="1100" w:type="dxa"/>
            <w:tcBorders>
              <w:top w:val="single" w:sz="4" w:space="0" w:color="auto"/>
              <w:left w:val="nil"/>
              <w:bottom w:val="single" w:sz="4" w:space="0" w:color="auto"/>
              <w:right w:val="single" w:sz="4" w:space="0" w:color="auto"/>
            </w:tcBorders>
            <w:shd w:val="clear" w:color="auto" w:fill="C6EFCE"/>
            <w:noWrap/>
            <w:vAlign w:val="center"/>
            <w:hideMark/>
          </w:tcPr>
          <w:p w14:paraId="72C800F4" w14:textId="2AAE756D"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T</w:t>
            </w:r>
          </w:p>
        </w:tc>
        <w:tc>
          <w:tcPr>
            <w:tcW w:w="2019" w:type="dxa"/>
            <w:tcBorders>
              <w:top w:val="single" w:sz="4" w:space="0" w:color="auto"/>
              <w:left w:val="nil"/>
              <w:bottom w:val="single" w:sz="4" w:space="0" w:color="auto"/>
              <w:right w:val="single" w:sz="4" w:space="0" w:color="auto"/>
            </w:tcBorders>
            <w:shd w:val="clear" w:color="auto" w:fill="C6EFCE"/>
            <w:noWrap/>
            <w:vAlign w:val="center"/>
            <w:hideMark/>
          </w:tcPr>
          <w:p w14:paraId="7DD9806E"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Land management measures applied (forests, protected area) and remeandering projects in progress</w:t>
            </w:r>
          </w:p>
        </w:tc>
        <w:tc>
          <w:tcPr>
            <w:tcW w:w="1241" w:type="dxa"/>
            <w:tcBorders>
              <w:top w:val="single" w:sz="4" w:space="0" w:color="auto"/>
              <w:left w:val="nil"/>
              <w:bottom w:val="single" w:sz="4" w:space="0" w:color="auto"/>
              <w:right w:val="single" w:sz="4" w:space="0" w:color="auto"/>
            </w:tcBorders>
            <w:shd w:val="clear" w:color="auto" w:fill="C6EFCE"/>
            <w:noWrap/>
            <w:vAlign w:val="center"/>
            <w:hideMark/>
          </w:tcPr>
          <w:p w14:paraId="1C20FC77" w14:textId="77777777"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993" w:type="dxa"/>
            <w:tcBorders>
              <w:top w:val="nil"/>
              <w:left w:val="nil"/>
              <w:bottom w:val="single" w:sz="4" w:space="0" w:color="auto"/>
              <w:right w:val="single" w:sz="4" w:space="0" w:color="auto"/>
            </w:tcBorders>
            <w:shd w:val="clear" w:color="auto" w:fill="C6EFCE"/>
            <w:noWrap/>
            <w:vAlign w:val="center"/>
            <w:hideMark/>
          </w:tcPr>
          <w:p w14:paraId="3882287D"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hectare</w:t>
            </w:r>
          </w:p>
        </w:tc>
        <w:tc>
          <w:tcPr>
            <w:tcW w:w="1203" w:type="dxa"/>
            <w:tcBorders>
              <w:top w:val="nil"/>
              <w:left w:val="nil"/>
              <w:bottom w:val="single" w:sz="4" w:space="0" w:color="auto"/>
              <w:right w:val="single" w:sz="4" w:space="0" w:color="auto"/>
            </w:tcBorders>
            <w:shd w:val="clear" w:color="auto" w:fill="C6EFCE"/>
            <w:noWrap/>
            <w:vAlign w:val="center"/>
            <w:hideMark/>
          </w:tcPr>
          <w:p w14:paraId="74581348" w14:textId="77777777" w:rsidR="006A41D9" w:rsidRPr="001961AA" w:rsidRDefault="006A41D9" w:rsidP="00F40DA5">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0</w:t>
            </w:r>
          </w:p>
        </w:tc>
        <w:tc>
          <w:tcPr>
            <w:tcW w:w="960" w:type="dxa"/>
            <w:tcBorders>
              <w:top w:val="nil"/>
              <w:left w:val="nil"/>
              <w:bottom w:val="single" w:sz="4" w:space="0" w:color="auto"/>
              <w:right w:val="single" w:sz="4" w:space="0" w:color="auto"/>
            </w:tcBorders>
            <w:shd w:val="clear" w:color="auto" w:fill="C6EFCE"/>
            <w:noWrap/>
            <w:vAlign w:val="center"/>
            <w:hideMark/>
          </w:tcPr>
          <w:p w14:paraId="04C6C0BF" w14:textId="3BB403FB" w:rsidR="006A41D9" w:rsidRPr="001961AA" w:rsidRDefault="006A41D9" w:rsidP="00F40DA5">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1 935</w:t>
            </w:r>
          </w:p>
        </w:tc>
        <w:tc>
          <w:tcPr>
            <w:tcW w:w="960" w:type="dxa"/>
            <w:tcBorders>
              <w:top w:val="nil"/>
              <w:left w:val="nil"/>
              <w:bottom w:val="single" w:sz="4" w:space="0" w:color="auto"/>
              <w:right w:val="single" w:sz="4" w:space="0" w:color="auto"/>
            </w:tcBorders>
            <w:shd w:val="clear" w:color="auto" w:fill="C6EFCE"/>
            <w:noWrap/>
            <w:vAlign w:val="center"/>
            <w:hideMark/>
          </w:tcPr>
          <w:p w14:paraId="57DD02D4"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Q2</w:t>
            </w:r>
          </w:p>
        </w:tc>
        <w:tc>
          <w:tcPr>
            <w:tcW w:w="720" w:type="dxa"/>
            <w:tcBorders>
              <w:top w:val="nil"/>
              <w:left w:val="nil"/>
              <w:bottom w:val="single" w:sz="4" w:space="0" w:color="auto"/>
              <w:right w:val="single" w:sz="4" w:space="0" w:color="auto"/>
            </w:tcBorders>
            <w:shd w:val="clear" w:color="auto" w:fill="C6EFCE"/>
            <w:noWrap/>
            <w:vAlign w:val="center"/>
            <w:hideMark/>
          </w:tcPr>
          <w:p w14:paraId="54C255A2"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2024</w:t>
            </w:r>
          </w:p>
        </w:tc>
        <w:tc>
          <w:tcPr>
            <w:tcW w:w="3924" w:type="dxa"/>
            <w:tcBorders>
              <w:top w:val="single" w:sz="4" w:space="0" w:color="auto"/>
              <w:left w:val="nil"/>
              <w:bottom w:val="single" w:sz="4" w:space="0" w:color="auto"/>
              <w:right w:val="single" w:sz="4" w:space="0" w:color="auto"/>
            </w:tcBorders>
            <w:shd w:val="clear" w:color="auto" w:fill="C6EFCE"/>
            <w:noWrap/>
            <w:vAlign w:val="center"/>
            <w:hideMark/>
          </w:tcPr>
          <w:p w14:paraId="3E5C00CB" w14:textId="7BB1A3D5"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Land management measures applied to 1 935 hectares to enhance biodiversity and resilience to climate change in forests and protected area and progress on remeandering projects.</w:t>
            </w:r>
          </w:p>
        </w:tc>
      </w:tr>
      <w:tr w:rsidR="00077FB0" w:rsidRPr="009818D6" w14:paraId="30E840C9" w14:textId="77777777" w:rsidTr="00AD78C9">
        <w:trPr>
          <w:trHeight w:val="309"/>
          <w:jc w:val="center"/>
        </w:trPr>
        <w:tc>
          <w:tcPr>
            <w:tcW w:w="846" w:type="dxa"/>
            <w:tcBorders>
              <w:top w:val="nil"/>
              <w:left w:val="single" w:sz="4" w:space="0" w:color="auto"/>
              <w:bottom w:val="single" w:sz="4" w:space="0" w:color="auto"/>
              <w:right w:val="single" w:sz="4" w:space="0" w:color="auto"/>
            </w:tcBorders>
            <w:shd w:val="clear" w:color="auto" w:fill="C6EFCE"/>
            <w:noWrap/>
            <w:vAlign w:val="center"/>
            <w:hideMark/>
          </w:tcPr>
          <w:p w14:paraId="46139729"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37</w:t>
            </w:r>
          </w:p>
        </w:tc>
        <w:tc>
          <w:tcPr>
            <w:tcW w:w="1593" w:type="dxa"/>
            <w:tcBorders>
              <w:top w:val="nil"/>
              <w:left w:val="nil"/>
              <w:bottom w:val="single" w:sz="4" w:space="0" w:color="auto"/>
              <w:right w:val="single" w:sz="4" w:space="0" w:color="auto"/>
            </w:tcBorders>
            <w:shd w:val="clear" w:color="auto" w:fill="C6EFCE"/>
            <w:noWrap/>
            <w:vAlign w:val="center"/>
            <w:hideMark/>
          </w:tcPr>
          <w:p w14:paraId="789AC99F"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Biodiversity and adaptation to climate change (I-1.22)</w:t>
            </w:r>
          </w:p>
        </w:tc>
        <w:tc>
          <w:tcPr>
            <w:tcW w:w="1100" w:type="dxa"/>
            <w:tcBorders>
              <w:top w:val="nil"/>
              <w:left w:val="nil"/>
              <w:bottom w:val="single" w:sz="4" w:space="0" w:color="auto"/>
              <w:right w:val="single" w:sz="4" w:space="0" w:color="auto"/>
            </w:tcBorders>
            <w:shd w:val="clear" w:color="auto" w:fill="C6EFCE"/>
            <w:noWrap/>
            <w:vAlign w:val="center"/>
            <w:hideMark/>
          </w:tcPr>
          <w:p w14:paraId="6535CEC6" w14:textId="5FA8B281"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T</w:t>
            </w:r>
          </w:p>
        </w:tc>
        <w:tc>
          <w:tcPr>
            <w:tcW w:w="2019" w:type="dxa"/>
            <w:tcBorders>
              <w:top w:val="nil"/>
              <w:left w:val="nil"/>
              <w:bottom w:val="single" w:sz="4" w:space="0" w:color="auto"/>
              <w:right w:val="single" w:sz="4" w:space="0" w:color="auto"/>
            </w:tcBorders>
            <w:shd w:val="clear" w:color="auto" w:fill="C6EFCE"/>
            <w:noWrap/>
            <w:vAlign w:val="center"/>
            <w:hideMark/>
          </w:tcPr>
          <w:p w14:paraId="5C4A5F10"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Land management measures applied (forests and protected area) and remeandering projects finalised</w:t>
            </w:r>
          </w:p>
        </w:tc>
        <w:tc>
          <w:tcPr>
            <w:tcW w:w="1241" w:type="dxa"/>
            <w:tcBorders>
              <w:top w:val="nil"/>
              <w:left w:val="nil"/>
              <w:bottom w:val="single" w:sz="4" w:space="0" w:color="auto"/>
              <w:right w:val="single" w:sz="4" w:space="0" w:color="auto"/>
            </w:tcBorders>
            <w:shd w:val="clear" w:color="auto" w:fill="C6EFCE"/>
            <w:noWrap/>
            <w:vAlign w:val="center"/>
            <w:hideMark/>
          </w:tcPr>
          <w:p w14:paraId="2C2DE08D" w14:textId="77777777"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993" w:type="dxa"/>
            <w:tcBorders>
              <w:top w:val="nil"/>
              <w:left w:val="nil"/>
              <w:bottom w:val="single" w:sz="4" w:space="0" w:color="auto"/>
              <w:right w:val="single" w:sz="4" w:space="0" w:color="auto"/>
            </w:tcBorders>
            <w:shd w:val="clear" w:color="auto" w:fill="C6EFCE"/>
            <w:noWrap/>
            <w:vAlign w:val="center"/>
            <w:hideMark/>
          </w:tcPr>
          <w:p w14:paraId="770C3EBC"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hectare</w:t>
            </w:r>
          </w:p>
        </w:tc>
        <w:tc>
          <w:tcPr>
            <w:tcW w:w="1203" w:type="dxa"/>
            <w:tcBorders>
              <w:top w:val="nil"/>
              <w:left w:val="nil"/>
              <w:bottom w:val="single" w:sz="4" w:space="0" w:color="auto"/>
              <w:right w:val="single" w:sz="4" w:space="0" w:color="auto"/>
            </w:tcBorders>
            <w:shd w:val="clear" w:color="auto" w:fill="C6EFCE"/>
            <w:noWrap/>
            <w:vAlign w:val="center"/>
            <w:hideMark/>
          </w:tcPr>
          <w:p w14:paraId="2BCFB75F" w14:textId="68E72C2B" w:rsidR="006A41D9" w:rsidRPr="001961AA" w:rsidRDefault="006A41D9" w:rsidP="00F40DA5">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1 935</w:t>
            </w:r>
          </w:p>
        </w:tc>
        <w:tc>
          <w:tcPr>
            <w:tcW w:w="960" w:type="dxa"/>
            <w:tcBorders>
              <w:top w:val="nil"/>
              <w:left w:val="nil"/>
              <w:bottom w:val="single" w:sz="4" w:space="0" w:color="auto"/>
              <w:right w:val="single" w:sz="4" w:space="0" w:color="auto"/>
            </w:tcBorders>
            <w:shd w:val="clear" w:color="auto" w:fill="C6EFCE"/>
            <w:noWrap/>
            <w:vAlign w:val="center"/>
            <w:hideMark/>
          </w:tcPr>
          <w:p w14:paraId="40111644" w14:textId="07966F53" w:rsidR="006A41D9" w:rsidRPr="001961AA" w:rsidRDefault="006A41D9" w:rsidP="00F40DA5">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3 735</w:t>
            </w:r>
          </w:p>
        </w:tc>
        <w:tc>
          <w:tcPr>
            <w:tcW w:w="960" w:type="dxa"/>
            <w:tcBorders>
              <w:top w:val="nil"/>
              <w:left w:val="nil"/>
              <w:bottom w:val="single" w:sz="4" w:space="0" w:color="auto"/>
              <w:right w:val="single" w:sz="4" w:space="0" w:color="auto"/>
            </w:tcBorders>
            <w:shd w:val="clear" w:color="auto" w:fill="C6EFCE"/>
            <w:noWrap/>
            <w:vAlign w:val="center"/>
            <w:hideMark/>
          </w:tcPr>
          <w:p w14:paraId="6A901547"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Q2</w:t>
            </w:r>
          </w:p>
        </w:tc>
        <w:tc>
          <w:tcPr>
            <w:tcW w:w="720" w:type="dxa"/>
            <w:tcBorders>
              <w:top w:val="nil"/>
              <w:left w:val="nil"/>
              <w:bottom w:val="single" w:sz="4" w:space="0" w:color="auto"/>
              <w:right w:val="single" w:sz="4" w:space="0" w:color="auto"/>
            </w:tcBorders>
            <w:shd w:val="clear" w:color="auto" w:fill="C6EFCE"/>
            <w:noWrap/>
            <w:vAlign w:val="center"/>
            <w:hideMark/>
          </w:tcPr>
          <w:p w14:paraId="348D382F"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2026</w:t>
            </w:r>
          </w:p>
        </w:tc>
        <w:tc>
          <w:tcPr>
            <w:tcW w:w="3924" w:type="dxa"/>
            <w:tcBorders>
              <w:top w:val="nil"/>
              <w:left w:val="nil"/>
              <w:bottom w:val="single" w:sz="4" w:space="0" w:color="auto"/>
              <w:right w:val="single" w:sz="4" w:space="0" w:color="auto"/>
            </w:tcBorders>
            <w:shd w:val="clear" w:color="auto" w:fill="C6EFCE"/>
            <w:noWrap/>
            <w:vAlign w:val="center"/>
            <w:hideMark/>
          </w:tcPr>
          <w:p w14:paraId="28B1326D" w14:textId="06F2D45C"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Land management measures applied to 3 735 hectares to enhance biodiversity and resilience to climate change in forests and protected area and remeandering projects finalised.</w:t>
            </w:r>
          </w:p>
        </w:tc>
      </w:tr>
      <w:tr w:rsidR="00077FB0" w:rsidRPr="009818D6" w14:paraId="06E8A47F" w14:textId="77777777" w:rsidTr="00AD78C9">
        <w:trPr>
          <w:trHeight w:val="309"/>
          <w:jc w:val="center"/>
        </w:trPr>
        <w:tc>
          <w:tcPr>
            <w:tcW w:w="846" w:type="dxa"/>
            <w:tcBorders>
              <w:top w:val="nil"/>
              <w:left w:val="single" w:sz="4" w:space="0" w:color="auto"/>
              <w:bottom w:val="single" w:sz="4" w:space="0" w:color="auto"/>
              <w:right w:val="single" w:sz="4" w:space="0" w:color="auto"/>
            </w:tcBorders>
            <w:shd w:val="clear" w:color="auto" w:fill="C6EFCE"/>
            <w:noWrap/>
            <w:vAlign w:val="center"/>
            <w:hideMark/>
          </w:tcPr>
          <w:p w14:paraId="590A39E8"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38</w:t>
            </w:r>
          </w:p>
        </w:tc>
        <w:tc>
          <w:tcPr>
            <w:tcW w:w="1593" w:type="dxa"/>
            <w:tcBorders>
              <w:top w:val="nil"/>
              <w:left w:val="nil"/>
              <w:bottom w:val="single" w:sz="4" w:space="0" w:color="auto"/>
              <w:right w:val="single" w:sz="4" w:space="0" w:color="auto"/>
            </w:tcBorders>
            <w:shd w:val="clear" w:color="auto" w:fill="C6EFCE"/>
            <w:noWrap/>
            <w:vAlign w:val="center"/>
            <w:hideMark/>
          </w:tcPr>
          <w:p w14:paraId="785C5FC8"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Biodiversity and adaptation to climate change (I-1.22)</w:t>
            </w:r>
          </w:p>
        </w:tc>
        <w:tc>
          <w:tcPr>
            <w:tcW w:w="1100" w:type="dxa"/>
            <w:tcBorders>
              <w:top w:val="nil"/>
              <w:left w:val="nil"/>
              <w:bottom w:val="single" w:sz="4" w:space="0" w:color="auto"/>
              <w:right w:val="single" w:sz="4" w:space="0" w:color="auto"/>
            </w:tcBorders>
            <w:shd w:val="clear" w:color="auto" w:fill="C6EFCE"/>
            <w:noWrap/>
            <w:vAlign w:val="center"/>
            <w:hideMark/>
          </w:tcPr>
          <w:p w14:paraId="0AD36815" w14:textId="18FEA931"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M</w:t>
            </w:r>
          </w:p>
        </w:tc>
        <w:tc>
          <w:tcPr>
            <w:tcW w:w="2019" w:type="dxa"/>
            <w:tcBorders>
              <w:top w:val="nil"/>
              <w:left w:val="nil"/>
              <w:bottom w:val="single" w:sz="4" w:space="0" w:color="auto"/>
              <w:right w:val="single" w:sz="4" w:space="0" w:color="auto"/>
            </w:tcBorders>
            <w:shd w:val="clear" w:color="auto" w:fill="C6EFCE"/>
            <w:noWrap/>
            <w:vAlign w:val="center"/>
            <w:hideMark/>
          </w:tcPr>
          <w:p w14:paraId="6B4C9ACF"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Award of contracts to projects for creation of two national parks</w:t>
            </w:r>
          </w:p>
        </w:tc>
        <w:tc>
          <w:tcPr>
            <w:tcW w:w="1241" w:type="dxa"/>
            <w:tcBorders>
              <w:top w:val="nil"/>
              <w:left w:val="nil"/>
              <w:bottom w:val="single" w:sz="4" w:space="0" w:color="auto"/>
              <w:right w:val="single" w:sz="4" w:space="0" w:color="auto"/>
            </w:tcBorders>
            <w:shd w:val="clear" w:color="auto" w:fill="C6EFCE"/>
            <w:noWrap/>
            <w:vAlign w:val="center"/>
            <w:hideMark/>
          </w:tcPr>
          <w:p w14:paraId="74DBE557" w14:textId="688CBD72"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Written notification of contract awards to successful candidates</w:t>
            </w:r>
          </w:p>
        </w:tc>
        <w:tc>
          <w:tcPr>
            <w:tcW w:w="993" w:type="dxa"/>
            <w:tcBorders>
              <w:top w:val="nil"/>
              <w:left w:val="nil"/>
              <w:bottom w:val="single" w:sz="4" w:space="0" w:color="auto"/>
              <w:right w:val="single" w:sz="4" w:space="0" w:color="auto"/>
            </w:tcBorders>
            <w:shd w:val="clear" w:color="auto" w:fill="C6EFCE"/>
            <w:noWrap/>
            <w:vAlign w:val="center"/>
            <w:hideMark/>
          </w:tcPr>
          <w:p w14:paraId="32FA3B69" w14:textId="77777777"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1203" w:type="dxa"/>
            <w:tcBorders>
              <w:top w:val="nil"/>
              <w:left w:val="nil"/>
              <w:bottom w:val="single" w:sz="4" w:space="0" w:color="auto"/>
              <w:right w:val="single" w:sz="4" w:space="0" w:color="auto"/>
            </w:tcBorders>
            <w:shd w:val="clear" w:color="auto" w:fill="C6EFCE"/>
            <w:noWrap/>
            <w:vAlign w:val="center"/>
            <w:hideMark/>
          </w:tcPr>
          <w:p w14:paraId="44C5E7E9" w14:textId="77777777" w:rsidR="006A41D9" w:rsidRPr="001961AA" w:rsidRDefault="006A41D9" w:rsidP="00F40DA5">
            <w:pPr>
              <w:spacing w:after="0"/>
              <w:jc w:val="center"/>
              <w:rPr>
                <w:rFonts w:ascii="Times New Roman" w:eastAsia="Times New Roman" w:hAnsi="Times New Roman" w:cs="Times New Roman"/>
                <w:noProof/>
                <w:color w:val="006100"/>
                <w:lang w:val="en-GB" w:eastAsia="en-GB"/>
              </w:rPr>
            </w:pPr>
          </w:p>
        </w:tc>
        <w:tc>
          <w:tcPr>
            <w:tcW w:w="960" w:type="dxa"/>
            <w:tcBorders>
              <w:top w:val="nil"/>
              <w:left w:val="nil"/>
              <w:bottom w:val="single" w:sz="4" w:space="0" w:color="auto"/>
              <w:right w:val="single" w:sz="4" w:space="0" w:color="auto"/>
            </w:tcBorders>
            <w:shd w:val="clear" w:color="auto" w:fill="C6EFCE"/>
            <w:noWrap/>
            <w:vAlign w:val="center"/>
            <w:hideMark/>
          </w:tcPr>
          <w:p w14:paraId="775EBB65" w14:textId="77777777" w:rsidR="006A41D9" w:rsidRPr="001961AA" w:rsidRDefault="006A41D9" w:rsidP="00F40DA5">
            <w:pPr>
              <w:spacing w:after="0"/>
              <w:jc w:val="center"/>
              <w:rPr>
                <w:rFonts w:ascii="Times New Roman" w:eastAsia="Times New Roman" w:hAnsi="Times New Roman" w:cs="Times New Roman"/>
                <w:noProof/>
                <w:color w:val="006100"/>
                <w:lang w:val="en-GB" w:eastAsia="en-GB"/>
              </w:rPr>
            </w:pPr>
          </w:p>
        </w:tc>
        <w:tc>
          <w:tcPr>
            <w:tcW w:w="960" w:type="dxa"/>
            <w:tcBorders>
              <w:top w:val="nil"/>
              <w:left w:val="nil"/>
              <w:bottom w:val="single" w:sz="4" w:space="0" w:color="auto"/>
              <w:right w:val="single" w:sz="4" w:space="0" w:color="auto"/>
            </w:tcBorders>
            <w:shd w:val="clear" w:color="auto" w:fill="C6EFCE"/>
            <w:noWrap/>
            <w:vAlign w:val="center"/>
            <w:hideMark/>
          </w:tcPr>
          <w:p w14:paraId="08480529"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Q1</w:t>
            </w:r>
          </w:p>
        </w:tc>
        <w:tc>
          <w:tcPr>
            <w:tcW w:w="720" w:type="dxa"/>
            <w:tcBorders>
              <w:top w:val="nil"/>
              <w:left w:val="nil"/>
              <w:bottom w:val="single" w:sz="4" w:space="0" w:color="auto"/>
              <w:right w:val="single" w:sz="4" w:space="0" w:color="auto"/>
            </w:tcBorders>
            <w:shd w:val="clear" w:color="auto" w:fill="C6EFCE"/>
            <w:noWrap/>
            <w:vAlign w:val="center"/>
            <w:hideMark/>
          </w:tcPr>
          <w:p w14:paraId="4DFAA5EC"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2023</w:t>
            </w:r>
          </w:p>
        </w:tc>
        <w:tc>
          <w:tcPr>
            <w:tcW w:w="3924" w:type="dxa"/>
            <w:tcBorders>
              <w:top w:val="nil"/>
              <w:left w:val="nil"/>
              <w:bottom w:val="single" w:sz="4" w:space="0" w:color="auto"/>
              <w:right w:val="single" w:sz="4" w:space="0" w:color="auto"/>
            </w:tcBorders>
            <w:shd w:val="clear" w:color="auto" w:fill="C6EFCE"/>
            <w:noWrap/>
            <w:vAlign w:val="center"/>
            <w:hideMark/>
          </w:tcPr>
          <w:p w14:paraId="23BC3922" w14:textId="48C4B05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Award of contracts to two projects and written notification sent to the successful candidates by the Walloon Minister of Environment following the call for proposal for two national parks of a total area between 10 000 and 70 000 hectares.</w:t>
            </w:r>
          </w:p>
        </w:tc>
      </w:tr>
      <w:tr w:rsidR="00077FB0" w:rsidRPr="009818D6" w14:paraId="69D14355" w14:textId="77777777" w:rsidTr="00AD78C9">
        <w:trPr>
          <w:trHeight w:val="309"/>
          <w:jc w:val="center"/>
        </w:trPr>
        <w:tc>
          <w:tcPr>
            <w:tcW w:w="846" w:type="dxa"/>
            <w:tcBorders>
              <w:top w:val="nil"/>
              <w:left w:val="single" w:sz="4" w:space="0" w:color="auto"/>
              <w:bottom w:val="single" w:sz="4" w:space="0" w:color="auto"/>
              <w:right w:val="single" w:sz="4" w:space="0" w:color="auto"/>
            </w:tcBorders>
            <w:shd w:val="clear" w:color="auto" w:fill="C6EFCE"/>
            <w:noWrap/>
            <w:vAlign w:val="center"/>
            <w:hideMark/>
          </w:tcPr>
          <w:p w14:paraId="25FB5921"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39</w:t>
            </w:r>
          </w:p>
        </w:tc>
        <w:tc>
          <w:tcPr>
            <w:tcW w:w="1593" w:type="dxa"/>
            <w:tcBorders>
              <w:top w:val="nil"/>
              <w:left w:val="nil"/>
              <w:bottom w:val="single" w:sz="4" w:space="0" w:color="auto"/>
              <w:right w:val="single" w:sz="4" w:space="0" w:color="auto"/>
            </w:tcBorders>
            <w:shd w:val="clear" w:color="auto" w:fill="C6EFCE"/>
            <w:noWrap/>
            <w:vAlign w:val="center"/>
            <w:hideMark/>
          </w:tcPr>
          <w:p w14:paraId="36971B49"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Biodiversity and adaptation to climate change (I-1.22)</w:t>
            </w:r>
          </w:p>
        </w:tc>
        <w:tc>
          <w:tcPr>
            <w:tcW w:w="1100" w:type="dxa"/>
            <w:tcBorders>
              <w:top w:val="nil"/>
              <w:left w:val="nil"/>
              <w:bottom w:val="single" w:sz="4" w:space="0" w:color="auto"/>
              <w:right w:val="single" w:sz="4" w:space="0" w:color="auto"/>
            </w:tcBorders>
            <w:shd w:val="clear" w:color="auto" w:fill="C6EFCE"/>
            <w:noWrap/>
            <w:vAlign w:val="center"/>
            <w:hideMark/>
          </w:tcPr>
          <w:p w14:paraId="5DFE8042" w14:textId="745EC5EE"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T</w:t>
            </w:r>
          </w:p>
        </w:tc>
        <w:tc>
          <w:tcPr>
            <w:tcW w:w="2019" w:type="dxa"/>
            <w:tcBorders>
              <w:top w:val="nil"/>
              <w:left w:val="nil"/>
              <w:bottom w:val="single" w:sz="4" w:space="0" w:color="auto"/>
              <w:right w:val="single" w:sz="4" w:space="0" w:color="auto"/>
            </w:tcBorders>
            <w:shd w:val="clear" w:color="auto" w:fill="C6EFCE"/>
            <w:noWrap/>
            <w:vAlign w:val="center"/>
            <w:hideMark/>
          </w:tcPr>
          <w:p w14:paraId="078B3B6C"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Completion of two projects for national parks</w:t>
            </w:r>
          </w:p>
        </w:tc>
        <w:tc>
          <w:tcPr>
            <w:tcW w:w="1241" w:type="dxa"/>
            <w:tcBorders>
              <w:top w:val="nil"/>
              <w:left w:val="nil"/>
              <w:bottom w:val="single" w:sz="4" w:space="0" w:color="auto"/>
              <w:right w:val="single" w:sz="4" w:space="0" w:color="auto"/>
            </w:tcBorders>
            <w:shd w:val="clear" w:color="auto" w:fill="C6EFCE"/>
            <w:noWrap/>
            <w:vAlign w:val="center"/>
            <w:hideMark/>
          </w:tcPr>
          <w:p w14:paraId="037350BD" w14:textId="77777777"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993" w:type="dxa"/>
            <w:tcBorders>
              <w:top w:val="nil"/>
              <w:left w:val="nil"/>
              <w:bottom w:val="single" w:sz="4" w:space="0" w:color="auto"/>
              <w:right w:val="single" w:sz="4" w:space="0" w:color="auto"/>
            </w:tcBorders>
            <w:shd w:val="clear" w:color="auto" w:fill="C6EFCE"/>
            <w:noWrap/>
            <w:vAlign w:val="center"/>
            <w:hideMark/>
          </w:tcPr>
          <w:p w14:paraId="79ED2678"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projects</w:t>
            </w:r>
          </w:p>
        </w:tc>
        <w:tc>
          <w:tcPr>
            <w:tcW w:w="1203" w:type="dxa"/>
            <w:tcBorders>
              <w:top w:val="nil"/>
              <w:left w:val="nil"/>
              <w:bottom w:val="single" w:sz="4" w:space="0" w:color="auto"/>
              <w:right w:val="single" w:sz="4" w:space="0" w:color="auto"/>
            </w:tcBorders>
            <w:shd w:val="clear" w:color="auto" w:fill="C6EFCE"/>
            <w:noWrap/>
            <w:vAlign w:val="center"/>
            <w:hideMark/>
          </w:tcPr>
          <w:p w14:paraId="19E9B232" w14:textId="77777777" w:rsidR="006A41D9" w:rsidRPr="001961AA" w:rsidRDefault="006A41D9" w:rsidP="00F40DA5">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0</w:t>
            </w:r>
          </w:p>
        </w:tc>
        <w:tc>
          <w:tcPr>
            <w:tcW w:w="960" w:type="dxa"/>
            <w:tcBorders>
              <w:top w:val="nil"/>
              <w:left w:val="nil"/>
              <w:bottom w:val="single" w:sz="4" w:space="0" w:color="auto"/>
              <w:right w:val="single" w:sz="4" w:space="0" w:color="auto"/>
            </w:tcBorders>
            <w:shd w:val="clear" w:color="auto" w:fill="C6EFCE"/>
            <w:noWrap/>
            <w:vAlign w:val="center"/>
            <w:hideMark/>
          </w:tcPr>
          <w:p w14:paraId="3565F185" w14:textId="77777777" w:rsidR="006A41D9" w:rsidRPr="001961AA" w:rsidRDefault="006A41D9" w:rsidP="00F40DA5">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w:t>
            </w:r>
          </w:p>
        </w:tc>
        <w:tc>
          <w:tcPr>
            <w:tcW w:w="960" w:type="dxa"/>
            <w:tcBorders>
              <w:top w:val="nil"/>
              <w:left w:val="nil"/>
              <w:bottom w:val="single" w:sz="4" w:space="0" w:color="auto"/>
              <w:right w:val="single" w:sz="4" w:space="0" w:color="auto"/>
            </w:tcBorders>
            <w:shd w:val="clear" w:color="auto" w:fill="C6EFCE"/>
            <w:noWrap/>
            <w:vAlign w:val="center"/>
            <w:hideMark/>
          </w:tcPr>
          <w:p w14:paraId="22EF4E7D"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Q2</w:t>
            </w:r>
          </w:p>
        </w:tc>
        <w:tc>
          <w:tcPr>
            <w:tcW w:w="720" w:type="dxa"/>
            <w:tcBorders>
              <w:top w:val="nil"/>
              <w:left w:val="nil"/>
              <w:bottom w:val="single" w:sz="4" w:space="0" w:color="auto"/>
              <w:right w:val="single" w:sz="4" w:space="0" w:color="auto"/>
            </w:tcBorders>
            <w:shd w:val="clear" w:color="auto" w:fill="C6EFCE"/>
            <w:noWrap/>
            <w:vAlign w:val="center"/>
            <w:hideMark/>
          </w:tcPr>
          <w:p w14:paraId="51A2DCB6"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2026</w:t>
            </w:r>
          </w:p>
        </w:tc>
        <w:tc>
          <w:tcPr>
            <w:tcW w:w="3924" w:type="dxa"/>
            <w:tcBorders>
              <w:top w:val="nil"/>
              <w:left w:val="nil"/>
              <w:bottom w:val="single" w:sz="4" w:space="0" w:color="auto"/>
              <w:right w:val="single" w:sz="4" w:space="0" w:color="auto"/>
            </w:tcBorders>
            <w:shd w:val="clear" w:color="auto" w:fill="C6EFCE"/>
            <w:noWrap/>
            <w:vAlign w:val="center"/>
            <w:hideMark/>
          </w:tcPr>
          <w:p w14:paraId="6FFA2102" w14:textId="72FD34F0"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Completion of infrastructure works for two national parks of total area between 10 000 and 70 000 hectares.</w:t>
            </w:r>
          </w:p>
        </w:tc>
      </w:tr>
      <w:tr w:rsidR="00077FB0" w:rsidRPr="009818D6" w14:paraId="4A510CD1" w14:textId="77777777" w:rsidTr="00AD78C9">
        <w:trPr>
          <w:trHeight w:val="309"/>
          <w:jc w:val="center"/>
        </w:trPr>
        <w:tc>
          <w:tcPr>
            <w:tcW w:w="846" w:type="dxa"/>
            <w:tcBorders>
              <w:top w:val="nil"/>
              <w:left w:val="single" w:sz="4" w:space="0" w:color="auto"/>
              <w:bottom w:val="single" w:sz="4" w:space="0" w:color="auto"/>
              <w:right w:val="single" w:sz="4" w:space="0" w:color="auto"/>
            </w:tcBorders>
            <w:shd w:val="clear" w:color="auto" w:fill="C6EFCE"/>
            <w:noWrap/>
            <w:vAlign w:val="center"/>
          </w:tcPr>
          <w:p w14:paraId="1C110C97"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40</w:t>
            </w:r>
          </w:p>
        </w:tc>
        <w:tc>
          <w:tcPr>
            <w:tcW w:w="1593" w:type="dxa"/>
            <w:tcBorders>
              <w:top w:val="nil"/>
              <w:left w:val="nil"/>
              <w:bottom w:val="single" w:sz="4" w:space="0" w:color="auto"/>
              <w:right w:val="single" w:sz="4" w:space="0" w:color="auto"/>
            </w:tcBorders>
            <w:shd w:val="clear" w:color="auto" w:fill="C6EFCE"/>
            <w:noWrap/>
            <w:vAlign w:val="center"/>
          </w:tcPr>
          <w:p w14:paraId="551CC83B"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Ecological defragmentation (I-1.23)</w:t>
            </w:r>
          </w:p>
        </w:tc>
        <w:tc>
          <w:tcPr>
            <w:tcW w:w="1100" w:type="dxa"/>
            <w:tcBorders>
              <w:top w:val="nil"/>
              <w:left w:val="nil"/>
              <w:bottom w:val="single" w:sz="4" w:space="0" w:color="auto"/>
              <w:right w:val="single" w:sz="4" w:space="0" w:color="auto"/>
            </w:tcBorders>
            <w:shd w:val="clear" w:color="auto" w:fill="C6EFCE"/>
            <w:noWrap/>
            <w:vAlign w:val="center"/>
          </w:tcPr>
          <w:p w14:paraId="4C3A754C" w14:textId="7D962221"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T</w:t>
            </w:r>
          </w:p>
        </w:tc>
        <w:tc>
          <w:tcPr>
            <w:tcW w:w="2019" w:type="dxa"/>
            <w:tcBorders>
              <w:top w:val="nil"/>
              <w:left w:val="nil"/>
              <w:bottom w:val="single" w:sz="4" w:space="0" w:color="auto"/>
              <w:right w:val="single" w:sz="4" w:space="0" w:color="auto"/>
            </w:tcBorders>
            <w:shd w:val="clear" w:color="auto" w:fill="C6EFCE"/>
            <w:noWrap/>
            <w:vAlign w:val="center"/>
          </w:tcPr>
          <w:p w14:paraId="79B2B3BB"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Completion of projects on ecological defragmentation</w:t>
            </w:r>
          </w:p>
        </w:tc>
        <w:tc>
          <w:tcPr>
            <w:tcW w:w="1241" w:type="dxa"/>
            <w:tcBorders>
              <w:top w:val="nil"/>
              <w:left w:val="nil"/>
              <w:bottom w:val="single" w:sz="4" w:space="0" w:color="auto"/>
              <w:right w:val="single" w:sz="4" w:space="0" w:color="auto"/>
            </w:tcBorders>
            <w:shd w:val="clear" w:color="auto" w:fill="C6EFCE"/>
            <w:noWrap/>
            <w:vAlign w:val="center"/>
          </w:tcPr>
          <w:p w14:paraId="57A605F1" w14:textId="77777777"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993" w:type="dxa"/>
            <w:tcBorders>
              <w:top w:val="nil"/>
              <w:left w:val="nil"/>
              <w:bottom w:val="single" w:sz="4" w:space="0" w:color="auto"/>
              <w:right w:val="single" w:sz="4" w:space="0" w:color="auto"/>
            </w:tcBorders>
            <w:shd w:val="clear" w:color="auto" w:fill="C6EFCE"/>
            <w:noWrap/>
            <w:vAlign w:val="center"/>
          </w:tcPr>
          <w:p w14:paraId="173ED5E1"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projects</w:t>
            </w:r>
          </w:p>
        </w:tc>
        <w:tc>
          <w:tcPr>
            <w:tcW w:w="1203" w:type="dxa"/>
            <w:tcBorders>
              <w:top w:val="nil"/>
              <w:left w:val="nil"/>
              <w:bottom w:val="single" w:sz="4" w:space="0" w:color="auto"/>
              <w:right w:val="single" w:sz="4" w:space="0" w:color="auto"/>
            </w:tcBorders>
            <w:shd w:val="clear" w:color="auto" w:fill="C6EFCE"/>
            <w:noWrap/>
            <w:vAlign w:val="center"/>
          </w:tcPr>
          <w:p w14:paraId="609FDEB8" w14:textId="77777777" w:rsidR="006A41D9" w:rsidRPr="001961AA" w:rsidRDefault="006A41D9" w:rsidP="00F40DA5">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0</w:t>
            </w:r>
          </w:p>
        </w:tc>
        <w:tc>
          <w:tcPr>
            <w:tcW w:w="960" w:type="dxa"/>
            <w:tcBorders>
              <w:top w:val="nil"/>
              <w:left w:val="nil"/>
              <w:bottom w:val="single" w:sz="4" w:space="0" w:color="auto"/>
              <w:right w:val="single" w:sz="4" w:space="0" w:color="auto"/>
            </w:tcBorders>
            <w:shd w:val="clear" w:color="auto" w:fill="C6EFCE"/>
            <w:noWrap/>
            <w:vAlign w:val="center"/>
          </w:tcPr>
          <w:p w14:paraId="70302BB5" w14:textId="77777777" w:rsidR="006A41D9" w:rsidRPr="001961AA" w:rsidRDefault="006A41D9" w:rsidP="00F40DA5">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15</w:t>
            </w:r>
          </w:p>
        </w:tc>
        <w:tc>
          <w:tcPr>
            <w:tcW w:w="960" w:type="dxa"/>
            <w:tcBorders>
              <w:top w:val="nil"/>
              <w:left w:val="nil"/>
              <w:bottom w:val="single" w:sz="4" w:space="0" w:color="auto"/>
              <w:right w:val="single" w:sz="4" w:space="0" w:color="auto"/>
            </w:tcBorders>
            <w:shd w:val="clear" w:color="auto" w:fill="C6EFCE"/>
            <w:noWrap/>
            <w:vAlign w:val="center"/>
          </w:tcPr>
          <w:p w14:paraId="0309AA0E"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Q2</w:t>
            </w:r>
          </w:p>
        </w:tc>
        <w:tc>
          <w:tcPr>
            <w:tcW w:w="720" w:type="dxa"/>
            <w:tcBorders>
              <w:top w:val="nil"/>
              <w:left w:val="nil"/>
              <w:bottom w:val="single" w:sz="4" w:space="0" w:color="auto"/>
              <w:right w:val="single" w:sz="4" w:space="0" w:color="auto"/>
            </w:tcBorders>
            <w:shd w:val="clear" w:color="auto" w:fill="C6EFCE"/>
            <w:noWrap/>
            <w:vAlign w:val="center"/>
          </w:tcPr>
          <w:p w14:paraId="24CD92C2"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2026</w:t>
            </w:r>
          </w:p>
        </w:tc>
        <w:tc>
          <w:tcPr>
            <w:tcW w:w="3924" w:type="dxa"/>
            <w:tcBorders>
              <w:top w:val="nil"/>
              <w:left w:val="nil"/>
              <w:bottom w:val="single" w:sz="4" w:space="0" w:color="auto"/>
              <w:right w:val="single" w:sz="4" w:space="0" w:color="auto"/>
            </w:tcBorders>
            <w:shd w:val="clear" w:color="auto" w:fill="C6EFCE"/>
            <w:noWrap/>
            <w:vAlign w:val="center"/>
          </w:tcPr>
          <w:p w14:paraId="7D83F4BE" w14:textId="77777777" w:rsidR="006A41D9" w:rsidRPr="001961AA" w:rsidRDefault="006A41D9" w:rsidP="00BD6DD1">
            <w:pPr>
              <w:spacing w:after="0"/>
              <w:rPr>
                <w:rFonts w:ascii="Times New Roman" w:eastAsia="Times New Roman" w:hAnsi="Times New Roman" w:cs="Times New Roman"/>
                <w:strike/>
                <w:noProof/>
                <w:color w:val="006100"/>
                <w:lang w:val="en-GB"/>
              </w:rPr>
            </w:pPr>
            <w:r w:rsidRPr="001961AA">
              <w:rPr>
                <w:rFonts w:ascii="Times New Roman" w:hAnsi="Times New Roman"/>
                <w:noProof/>
                <w:color w:val="006100"/>
                <w:lang w:val="en-GB"/>
              </w:rPr>
              <w:t>Completion of infrastructure works for seven projects on ecological defragmentation (such as eco-ducts or eco-tunnels) and completion of eight projects covering only preparatory phases (such as localisation and design phases) for eight future defragmentation projects.</w:t>
            </w:r>
          </w:p>
        </w:tc>
      </w:tr>
      <w:tr w:rsidR="00077FB0" w:rsidRPr="009818D6" w14:paraId="22D372D8" w14:textId="77777777" w:rsidTr="00AD78C9">
        <w:trPr>
          <w:trHeight w:val="309"/>
          <w:jc w:val="center"/>
        </w:trPr>
        <w:tc>
          <w:tcPr>
            <w:tcW w:w="846" w:type="dxa"/>
            <w:tcBorders>
              <w:top w:val="nil"/>
              <w:left w:val="single" w:sz="4" w:space="0" w:color="auto"/>
              <w:bottom w:val="single" w:sz="4" w:space="0" w:color="auto"/>
              <w:right w:val="single" w:sz="4" w:space="0" w:color="auto"/>
            </w:tcBorders>
            <w:shd w:val="clear" w:color="auto" w:fill="C6EFCE"/>
            <w:noWrap/>
            <w:vAlign w:val="center"/>
          </w:tcPr>
          <w:p w14:paraId="22658811"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41</w:t>
            </w:r>
          </w:p>
        </w:tc>
        <w:tc>
          <w:tcPr>
            <w:tcW w:w="1593" w:type="dxa"/>
            <w:tcBorders>
              <w:top w:val="nil"/>
              <w:left w:val="nil"/>
              <w:bottom w:val="single" w:sz="4" w:space="0" w:color="auto"/>
              <w:right w:val="single" w:sz="4" w:space="0" w:color="auto"/>
            </w:tcBorders>
            <w:shd w:val="clear" w:color="auto" w:fill="C6EFCE"/>
            <w:noWrap/>
            <w:vAlign w:val="center"/>
          </w:tcPr>
          <w:p w14:paraId="2C21BB5C"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Blue Deal (I-1.24)</w:t>
            </w:r>
          </w:p>
        </w:tc>
        <w:tc>
          <w:tcPr>
            <w:tcW w:w="1100" w:type="dxa"/>
            <w:tcBorders>
              <w:top w:val="nil"/>
              <w:left w:val="nil"/>
              <w:bottom w:val="single" w:sz="4" w:space="0" w:color="auto"/>
              <w:right w:val="single" w:sz="4" w:space="0" w:color="auto"/>
            </w:tcBorders>
            <w:shd w:val="clear" w:color="auto" w:fill="C6EFCE"/>
            <w:noWrap/>
            <w:vAlign w:val="center"/>
          </w:tcPr>
          <w:p w14:paraId="251D8154" w14:textId="1C7DD9BA"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M</w:t>
            </w:r>
          </w:p>
        </w:tc>
        <w:tc>
          <w:tcPr>
            <w:tcW w:w="2019" w:type="dxa"/>
            <w:tcBorders>
              <w:top w:val="nil"/>
              <w:left w:val="nil"/>
              <w:bottom w:val="single" w:sz="4" w:space="0" w:color="auto"/>
              <w:right w:val="single" w:sz="4" w:space="0" w:color="auto"/>
            </w:tcBorders>
            <w:shd w:val="clear" w:color="auto" w:fill="C6EFCE"/>
            <w:noWrap/>
            <w:vAlign w:val="center"/>
          </w:tcPr>
          <w:p w14:paraId="77F7433C"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Start of projects to reinforce biodiversity and/or mitigate climate change effects.</w:t>
            </w:r>
          </w:p>
        </w:tc>
        <w:tc>
          <w:tcPr>
            <w:tcW w:w="1241" w:type="dxa"/>
            <w:tcBorders>
              <w:top w:val="nil"/>
              <w:left w:val="nil"/>
              <w:bottom w:val="single" w:sz="4" w:space="0" w:color="auto"/>
              <w:right w:val="single" w:sz="4" w:space="0" w:color="auto"/>
            </w:tcBorders>
            <w:shd w:val="clear" w:color="auto" w:fill="C6EFCE"/>
            <w:noWrap/>
            <w:vAlign w:val="center"/>
          </w:tcPr>
          <w:p w14:paraId="63DB5F30"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Written contractual or legal document to testify the start</w:t>
            </w:r>
          </w:p>
        </w:tc>
        <w:tc>
          <w:tcPr>
            <w:tcW w:w="993" w:type="dxa"/>
            <w:tcBorders>
              <w:top w:val="nil"/>
              <w:left w:val="nil"/>
              <w:bottom w:val="single" w:sz="4" w:space="0" w:color="auto"/>
              <w:right w:val="single" w:sz="4" w:space="0" w:color="auto"/>
            </w:tcBorders>
            <w:shd w:val="clear" w:color="auto" w:fill="C6EFCE"/>
            <w:noWrap/>
            <w:vAlign w:val="center"/>
          </w:tcPr>
          <w:p w14:paraId="71DFA128" w14:textId="77777777"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1203" w:type="dxa"/>
            <w:tcBorders>
              <w:top w:val="nil"/>
              <w:left w:val="nil"/>
              <w:bottom w:val="single" w:sz="4" w:space="0" w:color="auto"/>
              <w:right w:val="single" w:sz="4" w:space="0" w:color="auto"/>
            </w:tcBorders>
            <w:shd w:val="clear" w:color="auto" w:fill="C6EFCE"/>
            <w:noWrap/>
            <w:vAlign w:val="center"/>
          </w:tcPr>
          <w:p w14:paraId="2B366AE0" w14:textId="77777777"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960" w:type="dxa"/>
            <w:tcBorders>
              <w:top w:val="nil"/>
              <w:left w:val="nil"/>
              <w:bottom w:val="single" w:sz="4" w:space="0" w:color="auto"/>
              <w:right w:val="single" w:sz="4" w:space="0" w:color="auto"/>
            </w:tcBorders>
            <w:shd w:val="clear" w:color="auto" w:fill="C6EFCE"/>
            <w:noWrap/>
            <w:vAlign w:val="center"/>
          </w:tcPr>
          <w:p w14:paraId="61AEEA37" w14:textId="77777777" w:rsidR="006A41D9" w:rsidRPr="001961AA" w:rsidRDefault="006A41D9" w:rsidP="00BD6DD1">
            <w:pPr>
              <w:spacing w:after="0"/>
              <w:rPr>
                <w:rFonts w:ascii="Times New Roman" w:eastAsia="Times New Roman" w:hAnsi="Times New Roman" w:cs="Times New Roman"/>
                <w:strike/>
                <w:noProof/>
                <w:color w:val="006100"/>
                <w:lang w:val="en-GB" w:eastAsia="en-GB"/>
              </w:rPr>
            </w:pPr>
          </w:p>
        </w:tc>
        <w:tc>
          <w:tcPr>
            <w:tcW w:w="960" w:type="dxa"/>
            <w:tcBorders>
              <w:top w:val="nil"/>
              <w:left w:val="nil"/>
              <w:bottom w:val="single" w:sz="4" w:space="0" w:color="auto"/>
              <w:right w:val="single" w:sz="4" w:space="0" w:color="auto"/>
            </w:tcBorders>
            <w:shd w:val="clear" w:color="auto" w:fill="C6EFCE"/>
            <w:noWrap/>
            <w:vAlign w:val="center"/>
          </w:tcPr>
          <w:p w14:paraId="0E5C2DD4"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Q2</w:t>
            </w:r>
          </w:p>
        </w:tc>
        <w:tc>
          <w:tcPr>
            <w:tcW w:w="720" w:type="dxa"/>
            <w:tcBorders>
              <w:top w:val="nil"/>
              <w:left w:val="nil"/>
              <w:bottom w:val="single" w:sz="4" w:space="0" w:color="auto"/>
              <w:right w:val="single" w:sz="4" w:space="0" w:color="auto"/>
            </w:tcBorders>
            <w:shd w:val="clear" w:color="auto" w:fill="C6EFCE"/>
            <w:noWrap/>
            <w:vAlign w:val="center"/>
          </w:tcPr>
          <w:p w14:paraId="0156DC6F"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2023</w:t>
            </w:r>
          </w:p>
        </w:tc>
        <w:tc>
          <w:tcPr>
            <w:tcW w:w="3924" w:type="dxa"/>
            <w:tcBorders>
              <w:top w:val="nil"/>
              <w:left w:val="nil"/>
              <w:bottom w:val="single" w:sz="4" w:space="0" w:color="auto"/>
              <w:right w:val="single" w:sz="4" w:space="0" w:color="auto"/>
            </w:tcBorders>
            <w:shd w:val="clear" w:color="auto" w:fill="C6EFCE"/>
            <w:noWrap/>
            <w:vAlign w:val="center"/>
          </w:tcPr>
          <w:p w14:paraId="7C534D8F" w14:textId="79CDF014"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Written contractual or legal document signed or adopted to testify the start of  41 out of 46 projects to reinforce biodiversity and/or mitigate climate change effects like drought &amp; flooding: 35 landscape projects for drought mitigation (projects A in the description of the measure), one research program in agriculture (B), two projects on waterway pumps and locks (C), one water management support scheme (D), two smart water data modules and circular water projects (F), four areas for nature-based solutions (G), and wetland restoration (I).</w:t>
            </w:r>
          </w:p>
        </w:tc>
      </w:tr>
      <w:tr w:rsidR="00077FB0" w:rsidRPr="009818D6" w14:paraId="76F86FB9" w14:textId="77777777" w:rsidTr="00AD78C9">
        <w:trPr>
          <w:trHeight w:val="309"/>
          <w:jc w:val="center"/>
        </w:trPr>
        <w:tc>
          <w:tcPr>
            <w:tcW w:w="846" w:type="dxa"/>
            <w:tcBorders>
              <w:top w:val="nil"/>
              <w:left w:val="single" w:sz="4" w:space="0" w:color="auto"/>
              <w:bottom w:val="single" w:sz="4" w:space="0" w:color="auto"/>
              <w:right w:val="single" w:sz="4" w:space="0" w:color="auto"/>
            </w:tcBorders>
            <w:shd w:val="clear" w:color="auto" w:fill="C6EFCE"/>
            <w:noWrap/>
            <w:vAlign w:val="center"/>
          </w:tcPr>
          <w:p w14:paraId="24E98C48"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42</w:t>
            </w:r>
          </w:p>
        </w:tc>
        <w:tc>
          <w:tcPr>
            <w:tcW w:w="1593" w:type="dxa"/>
            <w:tcBorders>
              <w:top w:val="nil"/>
              <w:left w:val="nil"/>
              <w:bottom w:val="single" w:sz="4" w:space="0" w:color="auto"/>
              <w:right w:val="single" w:sz="4" w:space="0" w:color="auto"/>
            </w:tcBorders>
            <w:shd w:val="clear" w:color="auto" w:fill="C6EFCE"/>
            <w:noWrap/>
            <w:vAlign w:val="center"/>
          </w:tcPr>
          <w:p w14:paraId="2EB76865"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Blue Deal (I-1.24)</w:t>
            </w:r>
          </w:p>
        </w:tc>
        <w:tc>
          <w:tcPr>
            <w:tcW w:w="1100" w:type="dxa"/>
            <w:tcBorders>
              <w:top w:val="nil"/>
              <w:left w:val="nil"/>
              <w:bottom w:val="single" w:sz="4" w:space="0" w:color="auto"/>
              <w:right w:val="single" w:sz="4" w:space="0" w:color="auto"/>
            </w:tcBorders>
            <w:shd w:val="clear" w:color="auto" w:fill="C6EFCE"/>
            <w:noWrap/>
            <w:vAlign w:val="center"/>
          </w:tcPr>
          <w:p w14:paraId="4D2CB40C" w14:textId="6A79DB8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M</w:t>
            </w:r>
          </w:p>
        </w:tc>
        <w:tc>
          <w:tcPr>
            <w:tcW w:w="2019" w:type="dxa"/>
            <w:tcBorders>
              <w:top w:val="nil"/>
              <w:left w:val="nil"/>
              <w:bottom w:val="single" w:sz="4" w:space="0" w:color="auto"/>
              <w:right w:val="single" w:sz="4" w:space="0" w:color="auto"/>
            </w:tcBorders>
            <w:shd w:val="clear" w:color="auto" w:fill="C6EFCE"/>
            <w:noWrap/>
            <w:vAlign w:val="center"/>
          </w:tcPr>
          <w:p w14:paraId="47040388"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Land purchases to reinforce biodiversity and/or mitigate climate change effects</w:t>
            </w:r>
          </w:p>
        </w:tc>
        <w:tc>
          <w:tcPr>
            <w:tcW w:w="1241" w:type="dxa"/>
            <w:tcBorders>
              <w:top w:val="nil"/>
              <w:left w:val="nil"/>
              <w:bottom w:val="single" w:sz="4" w:space="0" w:color="auto"/>
              <w:right w:val="single" w:sz="4" w:space="0" w:color="auto"/>
            </w:tcBorders>
            <w:shd w:val="clear" w:color="auto" w:fill="C6EFCE"/>
            <w:noWrap/>
            <w:vAlign w:val="center"/>
          </w:tcPr>
          <w:p w14:paraId="000843B7"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Title deeds</w:t>
            </w:r>
          </w:p>
        </w:tc>
        <w:tc>
          <w:tcPr>
            <w:tcW w:w="993" w:type="dxa"/>
            <w:tcBorders>
              <w:top w:val="nil"/>
              <w:left w:val="nil"/>
              <w:bottom w:val="single" w:sz="4" w:space="0" w:color="auto"/>
              <w:right w:val="single" w:sz="4" w:space="0" w:color="auto"/>
            </w:tcBorders>
            <w:shd w:val="clear" w:color="auto" w:fill="C6EFCE"/>
            <w:noWrap/>
            <w:vAlign w:val="center"/>
          </w:tcPr>
          <w:p w14:paraId="581A65A6" w14:textId="77777777"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1203" w:type="dxa"/>
            <w:tcBorders>
              <w:top w:val="nil"/>
              <w:left w:val="nil"/>
              <w:bottom w:val="single" w:sz="4" w:space="0" w:color="auto"/>
              <w:right w:val="single" w:sz="4" w:space="0" w:color="auto"/>
            </w:tcBorders>
            <w:shd w:val="clear" w:color="auto" w:fill="C6EFCE"/>
            <w:noWrap/>
            <w:vAlign w:val="center"/>
          </w:tcPr>
          <w:p w14:paraId="07BA648E" w14:textId="77777777"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960" w:type="dxa"/>
            <w:tcBorders>
              <w:top w:val="nil"/>
              <w:left w:val="nil"/>
              <w:bottom w:val="single" w:sz="4" w:space="0" w:color="auto"/>
              <w:right w:val="single" w:sz="4" w:space="0" w:color="auto"/>
            </w:tcBorders>
            <w:shd w:val="clear" w:color="auto" w:fill="C6EFCE"/>
            <w:noWrap/>
            <w:vAlign w:val="center"/>
          </w:tcPr>
          <w:p w14:paraId="14B05522" w14:textId="77777777"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960" w:type="dxa"/>
            <w:tcBorders>
              <w:top w:val="nil"/>
              <w:left w:val="nil"/>
              <w:bottom w:val="single" w:sz="4" w:space="0" w:color="auto"/>
              <w:right w:val="single" w:sz="4" w:space="0" w:color="auto"/>
            </w:tcBorders>
            <w:shd w:val="clear" w:color="auto" w:fill="C6EFCE"/>
            <w:noWrap/>
            <w:vAlign w:val="center"/>
          </w:tcPr>
          <w:p w14:paraId="4BBEC002"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Q4</w:t>
            </w:r>
          </w:p>
        </w:tc>
        <w:tc>
          <w:tcPr>
            <w:tcW w:w="720" w:type="dxa"/>
            <w:tcBorders>
              <w:top w:val="nil"/>
              <w:left w:val="nil"/>
              <w:bottom w:val="single" w:sz="4" w:space="0" w:color="auto"/>
              <w:right w:val="single" w:sz="4" w:space="0" w:color="auto"/>
            </w:tcBorders>
            <w:shd w:val="clear" w:color="auto" w:fill="C6EFCE"/>
            <w:noWrap/>
            <w:vAlign w:val="center"/>
          </w:tcPr>
          <w:p w14:paraId="6FD8F194"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2023</w:t>
            </w:r>
          </w:p>
        </w:tc>
        <w:tc>
          <w:tcPr>
            <w:tcW w:w="3924" w:type="dxa"/>
            <w:tcBorders>
              <w:top w:val="nil"/>
              <w:left w:val="nil"/>
              <w:bottom w:val="single" w:sz="4" w:space="0" w:color="auto"/>
              <w:right w:val="single" w:sz="4" w:space="0" w:color="auto"/>
            </w:tcBorders>
            <w:shd w:val="clear" w:color="auto" w:fill="C6EFCE"/>
            <w:noWrap/>
            <w:vAlign w:val="center"/>
          </w:tcPr>
          <w:p w14:paraId="70B8A756" w14:textId="6C803709"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Land purchases finalised for wetland restoration projects (I) and for areas for nature-based solutions (G) (Approximately 1 000 hectares)</w:t>
            </w:r>
          </w:p>
        </w:tc>
      </w:tr>
      <w:tr w:rsidR="00077FB0" w:rsidRPr="009818D6" w14:paraId="4FB9857D" w14:textId="77777777" w:rsidTr="00AD78C9">
        <w:trPr>
          <w:trHeight w:val="309"/>
          <w:jc w:val="center"/>
        </w:trPr>
        <w:tc>
          <w:tcPr>
            <w:tcW w:w="846" w:type="dxa"/>
            <w:tcBorders>
              <w:top w:val="nil"/>
              <w:left w:val="single" w:sz="4" w:space="0" w:color="auto"/>
              <w:bottom w:val="single" w:sz="4" w:space="0" w:color="auto"/>
              <w:right w:val="single" w:sz="4" w:space="0" w:color="auto"/>
            </w:tcBorders>
            <w:shd w:val="clear" w:color="auto" w:fill="C6EFCE"/>
            <w:noWrap/>
            <w:vAlign w:val="center"/>
            <w:hideMark/>
          </w:tcPr>
          <w:p w14:paraId="33E2F22F"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43</w:t>
            </w:r>
          </w:p>
        </w:tc>
        <w:tc>
          <w:tcPr>
            <w:tcW w:w="1593" w:type="dxa"/>
            <w:tcBorders>
              <w:top w:val="nil"/>
              <w:left w:val="nil"/>
              <w:bottom w:val="single" w:sz="4" w:space="0" w:color="auto"/>
              <w:right w:val="single" w:sz="4" w:space="0" w:color="auto"/>
            </w:tcBorders>
            <w:shd w:val="clear" w:color="auto" w:fill="C6EFCE"/>
            <w:noWrap/>
            <w:vAlign w:val="center"/>
            <w:hideMark/>
          </w:tcPr>
          <w:p w14:paraId="2471D728"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Blue Deal (I-1.24)</w:t>
            </w:r>
          </w:p>
        </w:tc>
        <w:tc>
          <w:tcPr>
            <w:tcW w:w="1100" w:type="dxa"/>
            <w:tcBorders>
              <w:top w:val="nil"/>
              <w:left w:val="nil"/>
              <w:bottom w:val="single" w:sz="4" w:space="0" w:color="auto"/>
              <w:right w:val="single" w:sz="4" w:space="0" w:color="auto"/>
            </w:tcBorders>
            <w:shd w:val="clear" w:color="auto" w:fill="C6EFCE"/>
            <w:noWrap/>
            <w:vAlign w:val="center"/>
            <w:hideMark/>
          </w:tcPr>
          <w:p w14:paraId="3E57EA74" w14:textId="5ECCA0F3"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T</w:t>
            </w:r>
          </w:p>
        </w:tc>
        <w:tc>
          <w:tcPr>
            <w:tcW w:w="2019" w:type="dxa"/>
            <w:tcBorders>
              <w:top w:val="nil"/>
              <w:left w:val="nil"/>
              <w:bottom w:val="single" w:sz="4" w:space="0" w:color="auto"/>
              <w:right w:val="single" w:sz="4" w:space="0" w:color="auto"/>
            </w:tcBorders>
            <w:shd w:val="clear" w:color="auto" w:fill="C6EFCE"/>
            <w:noWrap/>
            <w:vAlign w:val="center"/>
            <w:hideMark/>
          </w:tcPr>
          <w:p w14:paraId="4DCA4493"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Completion of Blue Deal projects</w:t>
            </w:r>
          </w:p>
        </w:tc>
        <w:tc>
          <w:tcPr>
            <w:tcW w:w="1241" w:type="dxa"/>
            <w:tcBorders>
              <w:top w:val="nil"/>
              <w:left w:val="nil"/>
              <w:bottom w:val="single" w:sz="4" w:space="0" w:color="auto"/>
              <w:right w:val="single" w:sz="4" w:space="0" w:color="auto"/>
            </w:tcBorders>
            <w:shd w:val="clear" w:color="auto" w:fill="C6EFCE"/>
            <w:noWrap/>
            <w:vAlign w:val="center"/>
            <w:hideMark/>
          </w:tcPr>
          <w:p w14:paraId="63B58C79" w14:textId="77777777"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993" w:type="dxa"/>
            <w:tcBorders>
              <w:top w:val="nil"/>
              <w:left w:val="nil"/>
              <w:bottom w:val="single" w:sz="4" w:space="0" w:color="auto"/>
              <w:right w:val="single" w:sz="4" w:space="0" w:color="auto"/>
            </w:tcBorders>
            <w:shd w:val="clear" w:color="auto" w:fill="C6EFCE"/>
            <w:noWrap/>
            <w:vAlign w:val="center"/>
            <w:hideMark/>
          </w:tcPr>
          <w:p w14:paraId="46DAEC54"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projects</w:t>
            </w:r>
          </w:p>
        </w:tc>
        <w:tc>
          <w:tcPr>
            <w:tcW w:w="1203" w:type="dxa"/>
            <w:tcBorders>
              <w:top w:val="nil"/>
              <w:left w:val="nil"/>
              <w:bottom w:val="single" w:sz="4" w:space="0" w:color="auto"/>
              <w:right w:val="single" w:sz="4" w:space="0" w:color="auto"/>
            </w:tcBorders>
            <w:shd w:val="clear" w:color="auto" w:fill="C6EFCE"/>
            <w:noWrap/>
            <w:vAlign w:val="center"/>
            <w:hideMark/>
          </w:tcPr>
          <w:p w14:paraId="57A91B58"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0</w:t>
            </w:r>
          </w:p>
        </w:tc>
        <w:tc>
          <w:tcPr>
            <w:tcW w:w="960" w:type="dxa"/>
            <w:tcBorders>
              <w:top w:val="nil"/>
              <w:left w:val="nil"/>
              <w:bottom w:val="single" w:sz="4" w:space="0" w:color="auto"/>
              <w:right w:val="single" w:sz="4" w:space="0" w:color="auto"/>
            </w:tcBorders>
            <w:shd w:val="clear" w:color="auto" w:fill="C6EFCE"/>
            <w:noWrap/>
            <w:vAlign w:val="center"/>
            <w:hideMark/>
          </w:tcPr>
          <w:p w14:paraId="0D8AEE17" w14:textId="0DCC3335"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41</w:t>
            </w:r>
          </w:p>
        </w:tc>
        <w:tc>
          <w:tcPr>
            <w:tcW w:w="960" w:type="dxa"/>
            <w:tcBorders>
              <w:top w:val="nil"/>
              <w:left w:val="nil"/>
              <w:bottom w:val="single" w:sz="4" w:space="0" w:color="auto"/>
              <w:right w:val="single" w:sz="4" w:space="0" w:color="auto"/>
            </w:tcBorders>
            <w:shd w:val="clear" w:color="auto" w:fill="C6EFCE"/>
            <w:noWrap/>
            <w:vAlign w:val="center"/>
            <w:hideMark/>
          </w:tcPr>
          <w:p w14:paraId="25DCAA25"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Q2</w:t>
            </w:r>
          </w:p>
        </w:tc>
        <w:tc>
          <w:tcPr>
            <w:tcW w:w="720" w:type="dxa"/>
            <w:tcBorders>
              <w:top w:val="nil"/>
              <w:left w:val="nil"/>
              <w:bottom w:val="single" w:sz="4" w:space="0" w:color="auto"/>
              <w:right w:val="single" w:sz="4" w:space="0" w:color="auto"/>
            </w:tcBorders>
            <w:shd w:val="clear" w:color="auto" w:fill="C6EFCE"/>
            <w:noWrap/>
            <w:vAlign w:val="center"/>
            <w:hideMark/>
          </w:tcPr>
          <w:p w14:paraId="1D78135A"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2026</w:t>
            </w:r>
          </w:p>
        </w:tc>
        <w:tc>
          <w:tcPr>
            <w:tcW w:w="3924" w:type="dxa"/>
            <w:tcBorders>
              <w:top w:val="nil"/>
              <w:left w:val="nil"/>
              <w:bottom w:val="single" w:sz="4" w:space="0" w:color="auto"/>
              <w:right w:val="single" w:sz="4" w:space="0" w:color="auto"/>
            </w:tcBorders>
            <w:shd w:val="clear" w:color="auto" w:fill="C6EFCE"/>
            <w:noWrap/>
            <w:vAlign w:val="center"/>
            <w:hideMark/>
          </w:tcPr>
          <w:p w14:paraId="228B293B" w14:textId="2F4836CC"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Completion of 41 out of 46 Blue Deal projects to increase resilience to drought (A, B, C, D, F, G, I), covering 2 255 hectares (A, G, I), four pumping installations built and four lock doors restored (C) and including the completion of an operational smart water monitoring network and circular water projects (F).</w:t>
            </w:r>
          </w:p>
        </w:tc>
      </w:tr>
    </w:tbl>
    <w:p w14:paraId="1B42EA13" w14:textId="77777777" w:rsidR="006A41D9" w:rsidRPr="001961AA" w:rsidRDefault="006A41D9" w:rsidP="00BD6DD1">
      <w:pPr>
        <w:rPr>
          <w:rFonts w:ascii="Times New Roman" w:hAnsi="Times New Roman" w:cs="Times New Roman"/>
          <w:noProof/>
          <w:lang w:val="en-GB"/>
        </w:rPr>
        <w:sectPr w:rsidR="006A41D9" w:rsidRPr="001961AA" w:rsidSect="007F56C3">
          <w:headerReference w:type="even" r:id="rId48"/>
          <w:headerReference w:type="default" r:id="rId49"/>
          <w:footerReference w:type="even" r:id="rId50"/>
          <w:footerReference w:type="default" r:id="rId51"/>
          <w:headerReference w:type="first" r:id="rId52"/>
          <w:footerReference w:type="first" r:id="rId53"/>
          <w:pgSz w:w="16839" w:h="11907" w:orient="landscape"/>
          <w:pgMar w:top="1134" w:right="1134" w:bottom="1134" w:left="1134" w:header="567" w:footer="567" w:gutter="0"/>
          <w:cols w:space="720"/>
          <w:docGrid w:linePitch="360"/>
        </w:sectPr>
      </w:pPr>
    </w:p>
    <w:p w14:paraId="29F1CAC9" w14:textId="77777777" w:rsidR="006A41D9" w:rsidRPr="001961AA" w:rsidRDefault="006A41D9" w:rsidP="00BD6DD1">
      <w:pPr>
        <w:pStyle w:val="ManualHeading1"/>
        <w:spacing w:before="120"/>
        <w:ind w:left="0" w:firstLine="0"/>
        <w:rPr>
          <w:noProof/>
          <w:lang w:val="en-GB"/>
        </w:rPr>
      </w:pPr>
      <w:r w:rsidRPr="001961AA">
        <w:rPr>
          <w:noProof/>
          <w:lang w:val="en-GB"/>
        </w:rPr>
        <w:t>D. COMPONENT 2.1: Cybersecurity</w:t>
      </w:r>
    </w:p>
    <w:p w14:paraId="3BFD3E3D" w14:textId="77777777" w:rsidR="006A41D9" w:rsidRPr="001961AA" w:rsidRDefault="006A41D9" w:rsidP="00BD6DD1">
      <w:pPr>
        <w:spacing w:before="120" w:after="120" w:line="240" w:lineRule="auto"/>
        <w:jc w:val="both"/>
        <w:rPr>
          <w:rFonts w:ascii="Times New Roman" w:hAnsi="Times New Roman" w:cs="Times New Roman"/>
          <w:noProof/>
          <w:sz w:val="24"/>
          <w:szCs w:val="24"/>
          <w:lang w:val="en-GB"/>
        </w:rPr>
      </w:pPr>
      <w:r w:rsidRPr="001961AA">
        <w:rPr>
          <w:rFonts w:ascii="Times New Roman" w:hAnsi="Times New Roman"/>
          <w:noProof/>
          <w:sz w:val="24"/>
          <w:lang w:val="en-GB"/>
        </w:rPr>
        <w:t>This component of the Belgian recovery and resilience plan is expected to strengthen the overall cyber resilience and cyber crisis preparedness of Belgian society.</w:t>
      </w:r>
    </w:p>
    <w:p w14:paraId="7D496CFE" w14:textId="77777777" w:rsidR="006A41D9" w:rsidRPr="001961AA" w:rsidRDefault="006A41D9" w:rsidP="00BD6DD1">
      <w:pPr>
        <w:spacing w:before="120" w:after="120" w:line="240" w:lineRule="auto"/>
        <w:jc w:val="both"/>
        <w:rPr>
          <w:rFonts w:ascii="Times New Roman" w:hAnsi="Times New Roman" w:cs="Times New Roman"/>
          <w:noProof/>
          <w:sz w:val="24"/>
          <w:szCs w:val="24"/>
          <w:lang w:val="en-GB"/>
        </w:rPr>
      </w:pPr>
      <w:r w:rsidRPr="001961AA">
        <w:rPr>
          <w:rFonts w:ascii="Times New Roman" w:hAnsi="Times New Roman"/>
          <w:noProof/>
          <w:sz w:val="24"/>
          <w:lang w:val="en-GB"/>
        </w:rPr>
        <w:t>The component contributes to addressing Country Specific Recommendations 2019.3 and 2020.3 to focus investment on the digital transition and to Country Specific Recommendations 2019.4</w:t>
      </w:r>
      <w:r w:rsidRPr="001961AA">
        <w:rPr>
          <w:rFonts w:ascii="Times New Roman" w:hAnsi="Times New Roman"/>
          <w:noProof/>
          <w:sz w:val="24"/>
          <w:shd w:val="clear" w:color="auto" w:fill="FFFFFF"/>
          <w:lang w:val="en-GB"/>
        </w:rPr>
        <w:t xml:space="preserve"> and 2020.3 </w:t>
      </w:r>
      <w:r w:rsidRPr="001961AA">
        <w:rPr>
          <w:rFonts w:ascii="Times New Roman" w:hAnsi="Times New Roman"/>
          <w:noProof/>
          <w:sz w:val="24"/>
          <w:lang w:val="en-GB"/>
        </w:rPr>
        <w:t>to improve the business environment.</w:t>
      </w:r>
    </w:p>
    <w:p w14:paraId="04E74D61" w14:textId="77777777" w:rsidR="006A41D9" w:rsidRPr="001961AA" w:rsidRDefault="006A41D9" w:rsidP="00BD6DD1">
      <w:pPr>
        <w:spacing w:before="120" w:after="120"/>
        <w:jc w:val="both"/>
        <w:rPr>
          <w:rFonts w:ascii="Times New Roman" w:hAnsi="Times New Roman" w:cs="Times New Roman"/>
          <w:b/>
          <w:bCs/>
          <w:noProof/>
          <w:sz w:val="24"/>
          <w:szCs w:val="24"/>
          <w:u w:val="single"/>
          <w:lang w:val="en-GB"/>
        </w:rPr>
      </w:pPr>
      <w:r w:rsidRPr="001961AA">
        <w:rPr>
          <w:rFonts w:ascii="Times New Roman" w:hAnsi="Times New Roman"/>
          <w:b/>
          <w:noProof/>
          <w:sz w:val="24"/>
          <w:u w:val="single"/>
          <w:lang w:val="en-GB"/>
        </w:rPr>
        <w:t xml:space="preserve">D.1. </w:t>
      </w:r>
      <w:r w:rsidRPr="001961AA">
        <w:rPr>
          <w:noProof/>
          <w:lang w:val="en-GB"/>
        </w:rPr>
        <w:tab/>
      </w:r>
      <w:r w:rsidRPr="001961AA">
        <w:rPr>
          <w:rFonts w:ascii="Times New Roman" w:hAnsi="Times New Roman"/>
          <w:b/>
          <w:noProof/>
          <w:sz w:val="24"/>
          <w:u w:val="single"/>
          <w:lang w:val="en-GB"/>
        </w:rPr>
        <w:t>Description of the reforms and investments for non-repayable financial support</w:t>
      </w:r>
    </w:p>
    <w:p w14:paraId="38903484" w14:textId="77777777" w:rsidR="006A41D9" w:rsidRPr="001961AA" w:rsidRDefault="006A41D9" w:rsidP="00BD6DD1">
      <w:pPr>
        <w:pStyle w:val="Text1"/>
        <w:ind w:left="0"/>
        <w:rPr>
          <w:noProof/>
          <w:szCs w:val="24"/>
          <w:lang w:val="en-GB"/>
        </w:rPr>
      </w:pPr>
      <w:r w:rsidRPr="001961AA">
        <w:rPr>
          <w:noProof/>
          <w:u w:val="single"/>
          <w:lang w:val="en-GB"/>
        </w:rPr>
        <w:t>Investment I-2.01: ‘Cybersecure and resilient digital society’ of the Federal State</w:t>
      </w:r>
    </w:p>
    <w:p w14:paraId="0F3B813A" w14:textId="22A0A106" w:rsidR="006A41D9" w:rsidRPr="001961AA" w:rsidRDefault="006A41D9" w:rsidP="00BD6DD1">
      <w:pPr>
        <w:pStyle w:val="Text1"/>
        <w:ind w:left="0"/>
        <w:rPr>
          <w:noProof/>
          <w:lang w:val="en-GB"/>
        </w:rPr>
      </w:pPr>
      <w:r w:rsidRPr="001961AA">
        <w:rPr>
          <w:noProof/>
          <w:lang w:val="en-GB"/>
        </w:rPr>
        <w:t>The investment consists of measures to (1) strengthen cyber capabilities of SMEs and self-employed through cybersecurity awareness raising campaigns, a website, offering services such as a free cyberscan to quickly identify areas where cyber resilience may be improved and projects supporting SMEs in the field of cybersecurity such as exchanges of best practices, (2) combat cyber criminality through targeted warnings of cyber vulnerabilities and IT infections for professional IT users (Be Guard), an online plug-in allowing visitors to identify the reliability of websites (Validated Web Sites), and an online questionnaire to evaluate cyber maturity of businesses as well as recommendations to increase their cyber resilience (Cyber Fundamentals), (3) combat phishing through updated and new anti-phishing platforms (StopPhishing), (4) introduce a global cybersecurity governance framework within the Foreign Affairs Department based on ISO27000</w:t>
      </w:r>
      <w:r w:rsidRPr="001961AA">
        <w:rPr>
          <w:noProof/>
          <w:vertAlign w:val="superscript"/>
          <w:lang w:val="en-GB"/>
        </w:rPr>
        <w:footnoteReference w:id="4"/>
      </w:r>
      <w:r w:rsidRPr="001961AA">
        <w:rPr>
          <w:noProof/>
          <w:lang w:val="en-GB"/>
        </w:rPr>
        <w:t xml:space="preserve"> and CIS20</w:t>
      </w:r>
      <w:r w:rsidRPr="001961AA">
        <w:rPr>
          <w:noProof/>
          <w:vertAlign w:val="superscript"/>
          <w:lang w:val="en-GB"/>
        </w:rPr>
        <w:footnoteReference w:id="5"/>
      </w:r>
      <w:r w:rsidRPr="001961AA">
        <w:rPr>
          <w:noProof/>
          <w:lang w:val="en-GB"/>
        </w:rPr>
        <w:t xml:space="preserve"> norms, and (5) offer cyber resilience services to the Belgian public at large, consisting of (i) incident-handling services of cyber-attacks on IT infrastructure and systems of private businesses, citizens, and government services and (ii) services to enable attribution of such cyber-attacks (i.e. the identification of the organisation or person at the origin of the attack) due to the increased cyber capabilities of the Ministry of Defence, which is the Belgian administration’s hub of cybersecurity specialists where such activities are centralised. Military operations shall not be financed</w:t>
      </w:r>
      <w:r w:rsidRPr="001961AA">
        <w:rPr>
          <w:b/>
          <w:noProof/>
          <w:lang w:val="en-GB"/>
        </w:rPr>
        <w:t xml:space="preserve"> </w:t>
      </w:r>
      <w:r w:rsidRPr="001961AA">
        <w:rPr>
          <w:noProof/>
          <w:lang w:val="en-GB"/>
        </w:rPr>
        <w:t>and the centre of gravity of the measure is civilian, with services aimed to protect and increase the cyber resilience and cyber security of society at large, i.e. private businesses, citizens and government services. The implementation of the investment shall be completed by 30 June 2026.</w:t>
      </w:r>
    </w:p>
    <w:p w14:paraId="78D9364E" w14:textId="77777777" w:rsidR="006A41D9" w:rsidRPr="001961AA" w:rsidRDefault="006A41D9" w:rsidP="00BD6DD1">
      <w:pPr>
        <w:pStyle w:val="Text1"/>
        <w:ind w:left="0"/>
        <w:rPr>
          <w:noProof/>
          <w:szCs w:val="24"/>
          <w:u w:val="single"/>
          <w:lang w:val="en-GB"/>
        </w:rPr>
      </w:pPr>
      <w:r w:rsidRPr="001961AA">
        <w:rPr>
          <w:noProof/>
          <w:u w:val="single"/>
          <w:lang w:val="en-GB"/>
        </w:rPr>
        <w:t>Investment I-2.02: ‘Cybersecurity: 5G’ of the Federal State</w:t>
      </w:r>
    </w:p>
    <w:p w14:paraId="40053CEE" w14:textId="074E2ECA" w:rsidR="006A41D9" w:rsidRPr="001961AA" w:rsidRDefault="006A41D9" w:rsidP="00BD6DD1">
      <w:pPr>
        <w:pStyle w:val="Text1"/>
        <w:ind w:left="0"/>
        <w:rPr>
          <w:noProof/>
          <w:lang w:val="en-GB"/>
        </w:rPr>
      </w:pPr>
      <w:r w:rsidRPr="001961AA">
        <w:rPr>
          <w:noProof/>
          <w:lang w:val="en-GB"/>
        </w:rPr>
        <w:t>The investment aims to reinforce interception capabilities of private communications by the judicial police in a 5G context due to investments in a sweeping and a jamming suite, systems to capture audio in houses and vehicles, capabilities to locate and track vehicles and objects, and a transmission system of images acquired during special investigation methods. Those investments shall be adapted to 5G. The implementation of the investment shall be completed by 31 December 2025.</w:t>
      </w:r>
    </w:p>
    <w:p w14:paraId="23FF5433" w14:textId="77777777" w:rsidR="006A41D9" w:rsidRPr="001961AA" w:rsidRDefault="006A41D9" w:rsidP="00BD6DD1">
      <w:pPr>
        <w:pStyle w:val="Text1"/>
        <w:ind w:left="0"/>
        <w:rPr>
          <w:noProof/>
          <w:szCs w:val="24"/>
          <w:u w:val="single"/>
          <w:lang w:val="en-GB"/>
        </w:rPr>
      </w:pPr>
      <w:r w:rsidRPr="001961AA">
        <w:rPr>
          <w:noProof/>
          <w:u w:val="single"/>
          <w:lang w:val="en-GB"/>
        </w:rPr>
        <w:t>Investment I-2.03: ‘Cybersecurity: NTSU/CTIF interception and safeguard’ of the Federal State</w:t>
      </w:r>
    </w:p>
    <w:p w14:paraId="01750932" w14:textId="77777777" w:rsidR="00022287" w:rsidRPr="001961AA" w:rsidRDefault="006A41D9" w:rsidP="00BD6DD1">
      <w:pPr>
        <w:pStyle w:val="Text1"/>
        <w:ind w:left="0"/>
        <w:rPr>
          <w:noProof/>
          <w:szCs w:val="24"/>
          <w:lang w:val="en-GB"/>
        </w:rPr>
        <w:sectPr w:rsidR="00022287" w:rsidRPr="001961AA" w:rsidSect="00022287">
          <w:headerReference w:type="even" r:id="rId54"/>
          <w:headerReference w:type="default" r:id="rId55"/>
          <w:footerReference w:type="even" r:id="rId56"/>
          <w:footerReference w:type="default" r:id="rId57"/>
          <w:headerReference w:type="first" r:id="rId58"/>
          <w:footerReference w:type="first" r:id="rId59"/>
          <w:pgSz w:w="11907" w:h="16839"/>
          <w:pgMar w:top="1134" w:right="1134" w:bottom="1134" w:left="1134" w:header="567" w:footer="567" w:gutter="0"/>
          <w:cols w:space="720"/>
          <w:docGrid w:linePitch="360"/>
        </w:sectPr>
      </w:pPr>
      <w:r w:rsidRPr="001961AA">
        <w:rPr>
          <w:noProof/>
          <w:lang w:val="en-GB"/>
        </w:rPr>
        <w:t>The investment shall introduce a digital registry of intercepted private communications (Li-Vault) managed by the National Technical and Tactical Support Unit of the Belgian federal police, for use by the justice system, the police and intelligence services. The implementation of the investment shall be completed by 30 June 2025.</w:t>
      </w:r>
    </w:p>
    <w:p w14:paraId="353B57BE" w14:textId="6F96A641" w:rsidR="006A41D9" w:rsidRPr="001961AA" w:rsidRDefault="006A41D9" w:rsidP="00022287">
      <w:pPr>
        <w:pStyle w:val="Text1"/>
        <w:ind w:left="0"/>
        <w:rPr>
          <w:noProof/>
          <w:szCs w:val="24"/>
          <w:lang w:val="en-GB"/>
        </w:rPr>
      </w:pPr>
      <w:r w:rsidRPr="001961AA">
        <w:rPr>
          <w:b/>
          <w:noProof/>
          <w:u w:val="single"/>
          <w:lang w:val="en-GB"/>
        </w:rPr>
        <w:t xml:space="preserve">D.2. </w:t>
      </w:r>
      <w:r w:rsidRPr="001961AA">
        <w:rPr>
          <w:noProof/>
          <w:lang w:val="en-GB"/>
        </w:rPr>
        <w:tab/>
      </w:r>
      <w:r w:rsidRPr="001961AA">
        <w:rPr>
          <w:b/>
          <w:noProof/>
          <w:u w:val="single"/>
          <w:lang w:val="en-GB"/>
        </w:rPr>
        <w:t>Milestones, targets, indicators, and timetable for monitoring and implementation for non-repayable financial support</w:t>
      </w:r>
    </w:p>
    <w:tbl>
      <w:tblPr>
        <w:tblW w:w="15502" w:type="dxa"/>
        <w:tblInd w:w="-318" w:type="dxa"/>
        <w:tblLayout w:type="fixed"/>
        <w:tblLook w:val="04A0" w:firstRow="1" w:lastRow="0" w:firstColumn="1" w:lastColumn="0" w:noHBand="0" w:noVBand="1"/>
      </w:tblPr>
      <w:tblGrid>
        <w:gridCol w:w="673"/>
        <w:gridCol w:w="1680"/>
        <w:gridCol w:w="1080"/>
        <w:gridCol w:w="1680"/>
        <w:gridCol w:w="1296"/>
        <w:gridCol w:w="992"/>
        <w:gridCol w:w="1072"/>
        <w:gridCol w:w="840"/>
        <w:gridCol w:w="960"/>
        <w:gridCol w:w="840"/>
        <w:gridCol w:w="4389"/>
      </w:tblGrid>
      <w:tr w:rsidR="00292220" w:rsidRPr="009818D6" w14:paraId="080966FD" w14:textId="77777777" w:rsidTr="00AD78C9">
        <w:trPr>
          <w:trHeight w:val="927"/>
          <w:tblHeader/>
        </w:trPr>
        <w:tc>
          <w:tcPr>
            <w:tcW w:w="67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40A1F07C" w14:textId="6A91AF6E" w:rsidR="006A41D9" w:rsidRPr="001961AA" w:rsidRDefault="006A41D9" w:rsidP="00BD6DD1">
            <w:pPr>
              <w:spacing w:after="0"/>
              <w:jc w:val="center"/>
              <w:rPr>
                <w:rFonts w:ascii="Times New Roman" w:eastAsia="Times New Roman" w:hAnsi="Times New Roman" w:cs="Times New Roman"/>
                <w:b/>
                <w:noProof/>
                <w:sz w:val="20"/>
                <w:szCs w:val="20"/>
                <w:lang w:val="en-GB"/>
              </w:rPr>
            </w:pPr>
            <w:r w:rsidRPr="001961AA">
              <w:rPr>
                <w:rFonts w:ascii="Times New Roman" w:hAnsi="Times New Roman"/>
                <w:b/>
                <w:noProof/>
                <w:sz w:val="20"/>
                <w:lang w:val="en-GB"/>
              </w:rPr>
              <w:t>Seq. Nb.</w:t>
            </w:r>
          </w:p>
        </w:tc>
        <w:tc>
          <w:tcPr>
            <w:tcW w:w="168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F93A46F" w14:textId="77777777" w:rsidR="006A41D9" w:rsidRPr="001961AA" w:rsidRDefault="006A41D9" w:rsidP="00BD6DD1">
            <w:pPr>
              <w:spacing w:after="0"/>
              <w:jc w:val="center"/>
              <w:rPr>
                <w:rFonts w:ascii="Times New Roman" w:eastAsia="Times New Roman" w:hAnsi="Times New Roman" w:cs="Times New Roman"/>
                <w:b/>
                <w:noProof/>
                <w:sz w:val="20"/>
                <w:szCs w:val="20"/>
                <w:lang w:val="en-GB"/>
              </w:rPr>
            </w:pPr>
            <w:r w:rsidRPr="001961AA">
              <w:rPr>
                <w:rFonts w:ascii="Times New Roman" w:hAnsi="Times New Roman"/>
                <w:b/>
                <w:noProof/>
                <w:sz w:val="20"/>
                <w:lang w:val="en-GB"/>
              </w:rPr>
              <w:t>Related Measure (Reform or Investment)</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7E17F290" w14:textId="77777777" w:rsidR="006A41D9" w:rsidRPr="001961AA" w:rsidRDefault="006A41D9" w:rsidP="00BD6DD1">
            <w:pPr>
              <w:spacing w:after="0"/>
              <w:jc w:val="center"/>
              <w:rPr>
                <w:rFonts w:ascii="Times New Roman" w:eastAsia="Times New Roman" w:hAnsi="Times New Roman" w:cs="Times New Roman"/>
                <w:b/>
                <w:noProof/>
                <w:sz w:val="20"/>
                <w:szCs w:val="20"/>
                <w:lang w:val="en-GB"/>
              </w:rPr>
            </w:pPr>
            <w:r w:rsidRPr="001961AA">
              <w:rPr>
                <w:rFonts w:ascii="Times New Roman" w:hAnsi="Times New Roman"/>
                <w:b/>
                <w:noProof/>
                <w:sz w:val="20"/>
                <w:lang w:val="en-GB"/>
              </w:rPr>
              <w:t>Milestone / Target</w:t>
            </w:r>
          </w:p>
        </w:tc>
        <w:tc>
          <w:tcPr>
            <w:tcW w:w="1680" w:type="dxa"/>
            <w:vMerge w:val="restart"/>
            <w:tcBorders>
              <w:top w:val="single" w:sz="4" w:space="0" w:color="auto"/>
              <w:left w:val="nil"/>
              <w:bottom w:val="single" w:sz="4" w:space="0" w:color="auto"/>
              <w:right w:val="single" w:sz="4" w:space="0" w:color="auto"/>
            </w:tcBorders>
            <w:shd w:val="clear" w:color="auto" w:fill="BDD7EE"/>
            <w:vAlign w:val="center"/>
            <w:hideMark/>
          </w:tcPr>
          <w:p w14:paraId="77C18003" w14:textId="77777777" w:rsidR="006A41D9" w:rsidRPr="001961AA" w:rsidRDefault="006A41D9" w:rsidP="00BD6DD1">
            <w:pPr>
              <w:spacing w:after="0"/>
              <w:jc w:val="center"/>
              <w:rPr>
                <w:rFonts w:ascii="Times New Roman" w:eastAsia="Times New Roman" w:hAnsi="Times New Roman" w:cs="Times New Roman"/>
                <w:b/>
                <w:noProof/>
                <w:sz w:val="20"/>
                <w:szCs w:val="20"/>
                <w:lang w:val="en-GB"/>
              </w:rPr>
            </w:pPr>
            <w:r w:rsidRPr="001961AA">
              <w:rPr>
                <w:rFonts w:ascii="Times New Roman" w:hAnsi="Times New Roman"/>
                <w:b/>
                <w:noProof/>
                <w:sz w:val="20"/>
                <w:lang w:val="en-GB"/>
              </w:rPr>
              <w:t>Name</w:t>
            </w:r>
          </w:p>
        </w:tc>
        <w:tc>
          <w:tcPr>
            <w:tcW w:w="129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5558DD1D" w14:textId="77777777" w:rsidR="006A41D9" w:rsidRPr="001961AA" w:rsidRDefault="006A41D9" w:rsidP="00BD6DD1">
            <w:pPr>
              <w:spacing w:after="0"/>
              <w:jc w:val="center"/>
              <w:rPr>
                <w:rFonts w:ascii="Times New Roman" w:eastAsia="Times New Roman" w:hAnsi="Times New Roman" w:cs="Times New Roman"/>
                <w:b/>
                <w:noProof/>
                <w:sz w:val="20"/>
                <w:szCs w:val="20"/>
                <w:lang w:val="en-GB"/>
              </w:rPr>
            </w:pPr>
            <w:r w:rsidRPr="001961AA">
              <w:rPr>
                <w:rFonts w:ascii="Times New Roman" w:hAnsi="Times New Roman"/>
                <w:b/>
                <w:noProof/>
                <w:sz w:val="20"/>
                <w:lang w:val="en-GB"/>
              </w:rPr>
              <w:t xml:space="preserve">Qualitative indicators </w:t>
            </w:r>
            <w:r w:rsidRPr="001961AA">
              <w:rPr>
                <w:noProof/>
                <w:lang w:val="en-GB"/>
              </w:rPr>
              <w:t xml:space="preserve"> </w:t>
            </w:r>
            <w:r w:rsidRPr="001961AA">
              <w:rPr>
                <w:noProof/>
                <w:lang w:val="en-GB"/>
              </w:rPr>
              <w:br/>
            </w:r>
            <w:r w:rsidRPr="001961AA">
              <w:rPr>
                <w:rFonts w:ascii="Times New Roman" w:hAnsi="Times New Roman"/>
                <w:b/>
                <w:noProof/>
                <w:sz w:val="20"/>
                <w:lang w:val="en-GB"/>
              </w:rPr>
              <w:t>(for milestones)</w:t>
            </w:r>
          </w:p>
        </w:tc>
        <w:tc>
          <w:tcPr>
            <w:tcW w:w="2904" w:type="dxa"/>
            <w:gridSpan w:val="3"/>
            <w:tcBorders>
              <w:top w:val="single" w:sz="4" w:space="0" w:color="auto"/>
              <w:left w:val="nil"/>
              <w:bottom w:val="single" w:sz="4" w:space="0" w:color="auto"/>
              <w:right w:val="single" w:sz="4" w:space="0" w:color="auto"/>
            </w:tcBorders>
            <w:shd w:val="clear" w:color="auto" w:fill="BDD7EE"/>
            <w:vAlign w:val="center"/>
            <w:hideMark/>
          </w:tcPr>
          <w:p w14:paraId="4D277C46" w14:textId="77777777" w:rsidR="006A41D9" w:rsidRPr="001961AA" w:rsidRDefault="006A41D9" w:rsidP="00BD6DD1">
            <w:pPr>
              <w:spacing w:after="0"/>
              <w:jc w:val="center"/>
              <w:rPr>
                <w:rFonts w:ascii="Times New Roman" w:eastAsia="Times New Roman" w:hAnsi="Times New Roman" w:cs="Times New Roman"/>
                <w:b/>
                <w:noProof/>
                <w:sz w:val="20"/>
                <w:szCs w:val="20"/>
                <w:lang w:val="en-GB"/>
              </w:rPr>
            </w:pPr>
            <w:r w:rsidRPr="001961AA">
              <w:rPr>
                <w:rFonts w:ascii="Times New Roman" w:hAnsi="Times New Roman"/>
                <w:b/>
                <w:noProof/>
                <w:sz w:val="20"/>
                <w:lang w:val="en-GB"/>
              </w:rPr>
              <w:t xml:space="preserve">Quantitative indicators </w:t>
            </w:r>
            <w:r w:rsidRPr="001961AA">
              <w:rPr>
                <w:noProof/>
                <w:lang w:val="en-GB"/>
              </w:rPr>
              <w:t xml:space="preserve"> </w:t>
            </w:r>
            <w:r w:rsidRPr="001961AA">
              <w:rPr>
                <w:noProof/>
                <w:lang w:val="en-GB"/>
              </w:rPr>
              <w:br/>
            </w:r>
            <w:r w:rsidRPr="001961AA">
              <w:rPr>
                <w:rFonts w:ascii="Times New Roman" w:hAnsi="Times New Roman"/>
                <w:b/>
                <w:noProof/>
                <w:sz w:val="20"/>
                <w:lang w:val="en-GB"/>
              </w:rPr>
              <w:t>(for targets)</w:t>
            </w:r>
          </w:p>
        </w:tc>
        <w:tc>
          <w:tcPr>
            <w:tcW w:w="1800" w:type="dxa"/>
            <w:gridSpan w:val="2"/>
            <w:tcBorders>
              <w:top w:val="single" w:sz="4" w:space="0" w:color="auto"/>
              <w:left w:val="nil"/>
              <w:bottom w:val="single" w:sz="4" w:space="0" w:color="auto"/>
              <w:right w:val="single" w:sz="4" w:space="0" w:color="auto"/>
            </w:tcBorders>
            <w:shd w:val="clear" w:color="auto" w:fill="BDD7EE"/>
            <w:vAlign w:val="center"/>
            <w:hideMark/>
          </w:tcPr>
          <w:p w14:paraId="7ED761FE" w14:textId="77777777" w:rsidR="006A41D9" w:rsidRPr="001961AA" w:rsidRDefault="006A41D9" w:rsidP="00BD6DD1">
            <w:pPr>
              <w:spacing w:after="0"/>
              <w:jc w:val="center"/>
              <w:rPr>
                <w:rFonts w:ascii="Times New Roman" w:eastAsia="Times New Roman" w:hAnsi="Times New Roman" w:cs="Times New Roman"/>
                <w:b/>
                <w:noProof/>
                <w:sz w:val="20"/>
                <w:szCs w:val="20"/>
                <w:lang w:val="en-GB"/>
              </w:rPr>
            </w:pPr>
            <w:r w:rsidRPr="001961AA">
              <w:rPr>
                <w:rFonts w:ascii="Times New Roman" w:hAnsi="Times New Roman"/>
                <w:b/>
                <w:noProof/>
                <w:sz w:val="20"/>
                <w:lang w:val="en-GB"/>
              </w:rPr>
              <w:t xml:space="preserve">Indicative timeline for completion </w:t>
            </w:r>
          </w:p>
        </w:tc>
        <w:tc>
          <w:tcPr>
            <w:tcW w:w="438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7D741F0" w14:textId="77777777" w:rsidR="006A41D9" w:rsidRPr="001961AA" w:rsidRDefault="006A41D9" w:rsidP="00BD6DD1">
            <w:pPr>
              <w:spacing w:after="0"/>
              <w:jc w:val="center"/>
              <w:rPr>
                <w:rFonts w:ascii="Times New Roman" w:eastAsia="Times New Roman" w:hAnsi="Times New Roman" w:cs="Times New Roman"/>
                <w:b/>
                <w:noProof/>
                <w:sz w:val="20"/>
                <w:szCs w:val="20"/>
                <w:lang w:val="en-GB"/>
              </w:rPr>
            </w:pPr>
            <w:r w:rsidRPr="001961AA">
              <w:rPr>
                <w:rFonts w:ascii="Times New Roman" w:hAnsi="Times New Roman"/>
                <w:b/>
                <w:noProof/>
                <w:sz w:val="20"/>
                <w:lang w:val="en-GB"/>
              </w:rPr>
              <w:t>Description of each milestone and target</w:t>
            </w:r>
          </w:p>
        </w:tc>
      </w:tr>
      <w:tr w:rsidR="00292220" w:rsidRPr="001961AA" w14:paraId="3CE1DCA7" w14:textId="77777777" w:rsidTr="00AD78C9">
        <w:trPr>
          <w:trHeight w:val="1013"/>
        </w:trPr>
        <w:tc>
          <w:tcPr>
            <w:tcW w:w="673" w:type="dxa"/>
            <w:vMerge/>
            <w:tcBorders>
              <w:top w:val="single" w:sz="4" w:space="0" w:color="auto"/>
              <w:left w:val="single" w:sz="4" w:space="0" w:color="auto"/>
              <w:bottom w:val="single" w:sz="4" w:space="0" w:color="auto"/>
              <w:right w:val="single" w:sz="4" w:space="0" w:color="auto"/>
            </w:tcBorders>
            <w:vAlign w:val="center"/>
            <w:hideMark/>
          </w:tcPr>
          <w:p w14:paraId="6BC0A05E" w14:textId="77777777" w:rsidR="006A41D9" w:rsidRPr="001961AA" w:rsidRDefault="006A41D9" w:rsidP="00BD6DD1">
            <w:pPr>
              <w:spacing w:after="0"/>
              <w:rPr>
                <w:rFonts w:ascii="Times New Roman" w:eastAsia="Times New Roman" w:hAnsi="Times New Roman" w:cs="Times New Roman"/>
                <w:b/>
                <w:bCs/>
                <w:noProof/>
                <w:szCs w:val="24"/>
                <w:lang w:val="en-GB" w:eastAsia="en-GB"/>
              </w:rPr>
            </w:pPr>
          </w:p>
        </w:tc>
        <w:tc>
          <w:tcPr>
            <w:tcW w:w="1680" w:type="dxa"/>
            <w:vMerge/>
            <w:tcBorders>
              <w:top w:val="single" w:sz="4" w:space="0" w:color="auto"/>
              <w:left w:val="single" w:sz="4" w:space="0" w:color="auto"/>
              <w:bottom w:val="single" w:sz="4" w:space="0" w:color="auto"/>
              <w:right w:val="single" w:sz="4" w:space="0" w:color="auto"/>
            </w:tcBorders>
            <w:vAlign w:val="center"/>
            <w:hideMark/>
          </w:tcPr>
          <w:p w14:paraId="57D539A5" w14:textId="77777777" w:rsidR="006A41D9" w:rsidRPr="001961AA" w:rsidRDefault="006A41D9" w:rsidP="00BD6DD1">
            <w:pPr>
              <w:spacing w:after="0"/>
              <w:rPr>
                <w:rFonts w:ascii="Times New Roman" w:eastAsia="Times New Roman" w:hAnsi="Times New Roman" w:cs="Times New Roman"/>
                <w:b/>
                <w:bCs/>
                <w:noProof/>
                <w:szCs w:val="24"/>
                <w:lang w:val="en-GB" w:eastAsia="en-GB"/>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2A1166C1" w14:textId="77777777" w:rsidR="006A41D9" w:rsidRPr="001961AA" w:rsidRDefault="006A41D9" w:rsidP="00BD6DD1">
            <w:pPr>
              <w:spacing w:after="0"/>
              <w:rPr>
                <w:rFonts w:ascii="Times New Roman" w:eastAsia="Times New Roman" w:hAnsi="Times New Roman" w:cs="Times New Roman"/>
                <w:b/>
                <w:bCs/>
                <w:noProof/>
                <w:szCs w:val="24"/>
                <w:lang w:val="en-GB" w:eastAsia="en-GB"/>
              </w:rPr>
            </w:pPr>
          </w:p>
        </w:tc>
        <w:tc>
          <w:tcPr>
            <w:tcW w:w="1680" w:type="dxa"/>
            <w:vMerge/>
            <w:tcBorders>
              <w:top w:val="single" w:sz="4" w:space="0" w:color="auto"/>
              <w:left w:val="single" w:sz="4" w:space="0" w:color="auto"/>
              <w:bottom w:val="single" w:sz="4" w:space="0" w:color="auto"/>
              <w:right w:val="single" w:sz="4" w:space="0" w:color="auto"/>
            </w:tcBorders>
            <w:vAlign w:val="center"/>
            <w:hideMark/>
          </w:tcPr>
          <w:p w14:paraId="789FBE98" w14:textId="77777777" w:rsidR="006A41D9" w:rsidRPr="001961AA" w:rsidRDefault="006A41D9" w:rsidP="00BD6DD1">
            <w:pPr>
              <w:spacing w:after="0"/>
              <w:rPr>
                <w:rFonts w:ascii="Times New Roman" w:eastAsia="Times New Roman" w:hAnsi="Times New Roman" w:cs="Times New Roman"/>
                <w:b/>
                <w:bCs/>
                <w:noProof/>
                <w:szCs w:val="24"/>
                <w:lang w:val="en-GB" w:eastAsia="en-GB"/>
              </w:rPr>
            </w:pPr>
          </w:p>
        </w:tc>
        <w:tc>
          <w:tcPr>
            <w:tcW w:w="1296" w:type="dxa"/>
            <w:vMerge/>
            <w:tcBorders>
              <w:top w:val="single" w:sz="4" w:space="0" w:color="auto"/>
              <w:left w:val="single" w:sz="4" w:space="0" w:color="auto"/>
              <w:bottom w:val="single" w:sz="4" w:space="0" w:color="auto"/>
              <w:right w:val="single" w:sz="4" w:space="0" w:color="auto"/>
            </w:tcBorders>
            <w:vAlign w:val="center"/>
            <w:hideMark/>
          </w:tcPr>
          <w:p w14:paraId="235FCE2C" w14:textId="77777777" w:rsidR="006A41D9" w:rsidRPr="001961AA" w:rsidRDefault="006A41D9" w:rsidP="00BD6DD1">
            <w:pPr>
              <w:spacing w:after="0"/>
              <w:rPr>
                <w:rFonts w:ascii="Times New Roman" w:eastAsia="Times New Roman" w:hAnsi="Times New Roman" w:cs="Times New Roman"/>
                <w:b/>
                <w:bCs/>
                <w:noProof/>
                <w:szCs w:val="24"/>
                <w:lang w:val="en-GB" w:eastAsia="en-GB"/>
              </w:rPr>
            </w:pPr>
          </w:p>
        </w:tc>
        <w:tc>
          <w:tcPr>
            <w:tcW w:w="992" w:type="dxa"/>
            <w:tcBorders>
              <w:top w:val="nil"/>
              <w:left w:val="single" w:sz="4" w:space="0" w:color="auto"/>
              <w:bottom w:val="single" w:sz="4" w:space="0" w:color="auto"/>
              <w:right w:val="single" w:sz="4" w:space="0" w:color="auto"/>
            </w:tcBorders>
            <w:shd w:val="clear" w:color="auto" w:fill="BDD7EE"/>
            <w:vAlign w:val="center"/>
            <w:hideMark/>
          </w:tcPr>
          <w:p w14:paraId="2D7538B0" w14:textId="77777777" w:rsidR="006A41D9" w:rsidRPr="001961AA" w:rsidRDefault="006A41D9" w:rsidP="00BD6DD1">
            <w:pPr>
              <w:spacing w:after="0"/>
              <w:jc w:val="center"/>
              <w:rPr>
                <w:rFonts w:ascii="Times New Roman" w:eastAsia="Times New Roman" w:hAnsi="Times New Roman" w:cs="Times New Roman"/>
                <w:b/>
                <w:noProof/>
                <w:sz w:val="20"/>
                <w:szCs w:val="20"/>
                <w:lang w:val="en-GB"/>
              </w:rPr>
            </w:pPr>
            <w:r w:rsidRPr="001961AA">
              <w:rPr>
                <w:rFonts w:ascii="Times New Roman" w:hAnsi="Times New Roman"/>
                <w:b/>
                <w:noProof/>
                <w:sz w:val="20"/>
                <w:lang w:val="en-GB"/>
              </w:rPr>
              <w:t>Unit of measure</w:t>
            </w:r>
          </w:p>
        </w:tc>
        <w:tc>
          <w:tcPr>
            <w:tcW w:w="1072" w:type="dxa"/>
            <w:tcBorders>
              <w:top w:val="nil"/>
              <w:left w:val="nil"/>
              <w:bottom w:val="single" w:sz="4" w:space="0" w:color="auto"/>
              <w:right w:val="single" w:sz="4" w:space="0" w:color="auto"/>
            </w:tcBorders>
            <w:shd w:val="clear" w:color="auto" w:fill="BDD7EE"/>
            <w:vAlign w:val="center"/>
            <w:hideMark/>
          </w:tcPr>
          <w:p w14:paraId="050C9574" w14:textId="77777777" w:rsidR="006A41D9" w:rsidRPr="001961AA" w:rsidRDefault="006A41D9" w:rsidP="00BD6DD1">
            <w:pPr>
              <w:spacing w:after="0"/>
              <w:jc w:val="center"/>
              <w:rPr>
                <w:rFonts w:ascii="Times New Roman" w:eastAsia="Times New Roman" w:hAnsi="Times New Roman" w:cs="Times New Roman"/>
                <w:b/>
                <w:noProof/>
                <w:sz w:val="20"/>
                <w:szCs w:val="20"/>
                <w:lang w:val="en-GB"/>
              </w:rPr>
            </w:pPr>
            <w:r w:rsidRPr="001961AA">
              <w:rPr>
                <w:rFonts w:ascii="Times New Roman" w:hAnsi="Times New Roman"/>
                <w:b/>
                <w:noProof/>
                <w:sz w:val="20"/>
                <w:lang w:val="en-GB"/>
              </w:rPr>
              <w:t xml:space="preserve">Baseline </w:t>
            </w:r>
          </w:p>
        </w:tc>
        <w:tc>
          <w:tcPr>
            <w:tcW w:w="840" w:type="dxa"/>
            <w:tcBorders>
              <w:top w:val="nil"/>
              <w:left w:val="nil"/>
              <w:bottom w:val="single" w:sz="4" w:space="0" w:color="auto"/>
              <w:right w:val="single" w:sz="4" w:space="0" w:color="auto"/>
            </w:tcBorders>
            <w:shd w:val="clear" w:color="auto" w:fill="BDD7EE"/>
            <w:vAlign w:val="center"/>
            <w:hideMark/>
          </w:tcPr>
          <w:p w14:paraId="4ECE2AA1" w14:textId="77777777" w:rsidR="006A41D9" w:rsidRPr="001961AA" w:rsidRDefault="006A41D9" w:rsidP="00BD6DD1">
            <w:pPr>
              <w:spacing w:after="0"/>
              <w:jc w:val="center"/>
              <w:rPr>
                <w:rFonts w:ascii="Times New Roman" w:eastAsia="Times New Roman" w:hAnsi="Times New Roman" w:cs="Times New Roman"/>
                <w:b/>
                <w:noProof/>
                <w:sz w:val="20"/>
                <w:szCs w:val="20"/>
                <w:lang w:val="en-GB"/>
              </w:rPr>
            </w:pPr>
            <w:r w:rsidRPr="001961AA">
              <w:rPr>
                <w:rFonts w:ascii="Times New Roman" w:hAnsi="Times New Roman"/>
                <w:b/>
                <w:noProof/>
                <w:sz w:val="20"/>
                <w:lang w:val="en-GB"/>
              </w:rPr>
              <w:t xml:space="preserve">Goal </w:t>
            </w:r>
          </w:p>
        </w:tc>
        <w:tc>
          <w:tcPr>
            <w:tcW w:w="960" w:type="dxa"/>
            <w:tcBorders>
              <w:top w:val="nil"/>
              <w:left w:val="nil"/>
              <w:bottom w:val="single" w:sz="4" w:space="0" w:color="auto"/>
              <w:right w:val="single" w:sz="4" w:space="0" w:color="auto"/>
            </w:tcBorders>
            <w:shd w:val="clear" w:color="auto" w:fill="BDD7EE"/>
            <w:vAlign w:val="center"/>
            <w:hideMark/>
          </w:tcPr>
          <w:p w14:paraId="564631C3" w14:textId="77777777" w:rsidR="006A41D9" w:rsidRPr="001961AA" w:rsidRDefault="006A41D9" w:rsidP="00BD6DD1">
            <w:pPr>
              <w:spacing w:after="0"/>
              <w:jc w:val="center"/>
              <w:rPr>
                <w:rFonts w:ascii="Times New Roman" w:eastAsia="Times New Roman" w:hAnsi="Times New Roman" w:cs="Times New Roman"/>
                <w:b/>
                <w:noProof/>
                <w:sz w:val="20"/>
                <w:szCs w:val="20"/>
                <w:lang w:val="en-GB"/>
              </w:rPr>
            </w:pPr>
            <w:r w:rsidRPr="001961AA">
              <w:rPr>
                <w:rFonts w:ascii="Times New Roman" w:hAnsi="Times New Roman"/>
                <w:b/>
                <w:noProof/>
                <w:sz w:val="20"/>
                <w:lang w:val="en-GB"/>
              </w:rPr>
              <w:t>Quarter</w:t>
            </w:r>
          </w:p>
        </w:tc>
        <w:tc>
          <w:tcPr>
            <w:tcW w:w="840" w:type="dxa"/>
            <w:tcBorders>
              <w:top w:val="nil"/>
              <w:left w:val="nil"/>
              <w:bottom w:val="single" w:sz="4" w:space="0" w:color="auto"/>
              <w:right w:val="single" w:sz="4" w:space="0" w:color="auto"/>
            </w:tcBorders>
            <w:shd w:val="clear" w:color="auto" w:fill="BDD7EE"/>
            <w:vAlign w:val="center"/>
            <w:hideMark/>
          </w:tcPr>
          <w:p w14:paraId="5DEFE66C" w14:textId="77777777" w:rsidR="006A41D9" w:rsidRPr="001961AA" w:rsidRDefault="006A41D9" w:rsidP="00BD6DD1">
            <w:pPr>
              <w:spacing w:after="0"/>
              <w:jc w:val="center"/>
              <w:rPr>
                <w:rFonts w:ascii="Times New Roman" w:eastAsia="Times New Roman" w:hAnsi="Times New Roman" w:cs="Times New Roman"/>
                <w:b/>
                <w:noProof/>
                <w:sz w:val="20"/>
                <w:szCs w:val="20"/>
                <w:lang w:val="en-GB"/>
              </w:rPr>
            </w:pPr>
            <w:r w:rsidRPr="001961AA">
              <w:rPr>
                <w:rFonts w:ascii="Times New Roman" w:hAnsi="Times New Roman"/>
                <w:b/>
                <w:noProof/>
                <w:sz w:val="20"/>
                <w:lang w:val="en-GB"/>
              </w:rPr>
              <w:t>Year</w:t>
            </w:r>
          </w:p>
        </w:tc>
        <w:tc>
          <w:tcPr>
            <w:tcW w:w="4389" w:type="dxa"/>
            <w:vMerge/>
            <w:tcBorders>
              <w:top w:val="single" w:sz="4" w:space="0" w:color="auto"/>
              <w:bottom w:val="single" w:sz="4" w:space="0" w:color="auto"/>
              <w:right w:val="single" w:sz="4" w:space="0" w:color="auto"/>
            </w:tcBorders>
            <w:vAlign w:val="center"/>
            <w:hideMark/>
          </w:tcPr>
          <w:p w14:paraId="57679C3E" w14:textId="77777777" w:rsidR="006A41D9" w:rsidRPr="001961AA" w:rsidRDefault="006A41D9" w:rsidP="00BD6DD1">
            <w:pPr>
              <w:spacing w:after="0"/>
              <w:rPr>
                <w:rFonts w:ascii="Times New Roman" w:eastAsia="Times New Roman" w:hAnsi="Times New Roman" w:cs="Times New Roman"/>
                <w:b/>
                <w:bCs/>
                <w:noProof/>
                <w:szCs w:val="24"/>
                <w:lang w:val="en-GB" w:eastAsia="en-GB"/>
              </w:rPr>
            </w:pPr>
          </w:p>
        </w:tc>
      </w:tr>
      <w:tr w:rsidR="00292220" w:rsidRPr="009818D6" w14:paraId="1113BA4C" w14:textId="77777777" w:rsidTr="00AD78C9">
        <w:trPr>
          <w:trHeight w:val="309"/>
        </w:trPr>
        <w:tc>
          <w:tcPr>
            <w:tcW w:w="673"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3FDABC3F"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44</w:t>
            </w:r>
          </w:p>
        </w:tc>
        <w:tc>
          <w:tcPr>
            <w:tcW w:w="1680" w:type="dxa"/>
            <w:tcBorders>
              <w:top w:val="single" w:sz="4" w:space="0" w:color="auto"/>
              <w:left w:val="nil"/>
              <w:bottom w:val="single" w:sz="4" w:space="0" w:color="auto"/>
              <w:right w:val="single" w:sz="4" w:space="0" w:color="auto"/>
            </w:tcBorders>
            <w:shd w:val="clear" w:color="auto" w:fill="C6EFCE"/>
            <w:noWrap/>
            <w:vAlign w:val="center"/>
            <w:hideMark/>
          </w:tcPr>
          <w:p w14:paraId="4574A4F6"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Cybersecure and resilient digital society (I-2.01)</w:t>
            </w:r>
          </w:p>
        </w:tc>
        <w:tc>
          <w:tcPr>
            <w:tcW w:w="1080" w:type="dxa"/>
            <w:tcBorders>
              <w:top w:val="single" w:sz="4" w:space="0" w:color="auto"/>
              <w:left w:val="nil"/>
              <w:bottom w:val="single" w:sz="4" w:space="0" w:color="auto"/>
              <w:right w:val="single" w:sz="4" w:space="0" w:color="auto"/>
            </w:tcBorders>
            <w:shd w:val="clear" w:color="auto" w:fill="C6EFCE"/>
            <w:noWrap/>
            <w:vAlign w:val="center"/>
            <w:hideMark/>
          </w:tcPr>
          <w:p w14:paraId="26E956AC" w14:textId="77A9A15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T</w:t>
            </w:r>
          </w:p>
        </w:tc>
        <w:tc>
          <w:tcPr>
            <w:tcW w:w="1680" w:type="dxa"/>
            <w:tcBorders>
              <w:top w:val="single" w:sz="4" w:space="0" w:color="auto"/>
              <w:left w:val="nil"/>
              <w:bottom w:val="single" w:sz="4" w:space="0" w:color="auto"/>
              <w:right w:val="single" w:sz="4" w:space="0" w:color="auto"/>
            </w:tcBorders>
            <w:shd w:val="clear" w:color="auto" w:fill="C6EFCE"/>
            <w:noWrap/>
            <w:vAlign w:val="center"/>
            <w:hideMark/>
          </w:tcPr>
          <w:p w14:paraId="60AECE23" w14:textId="7FFD3CBB"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Notifica-tion of award for eight public tenders</w:t>
            </w:r>
          </w:p>
        </w:tc>
        <w:tc>
          <w:tcPr>
            <w:tcW w:w="1296" w:type="dxa"/>
            <w:tcBorders>
              <w:top w:val="single" w:sz="4" w:space="0" w:color="auto"/>
              <w:left w:val="nil"/>
              <w:bottom w:val="single" w:sz="4" w:space="0" w:color="auto"/>
              <w:right w:val="single" w:sz="4" w:space="0" w:color="auto"/>
            </w:tcBorders>
            <w:shd w:val="clear" w:color="auto" w:fill="C6EFCE"/>
            <w:noWrap/>
            <w:vAlign w:val="center"/>
          </w:tcPr>
          <w:p w14:paraId="2D2703C3" w14:textId="310FBEB1"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Written notification of awards sent to successful candidates</w:t>
            </w:r>
          </w:p>
        </w:tc>
        <w:tc>
          <w:tcPr>
            <w:tcW w:w="992" w:type="dxa"/>
            <w:tcBorders>
              <w:top w:val="nil"/>
              <w:left w:val="nil"/>
              <w:bottom w:val="single" w:sz="4" w:space="0" w:color="auto"/>
              <w:right w:val="single" w:sz="4" w:space="0" w:color="auto"/>
            </w:tcBorders>
            <w:shd w:val="clear" w:color="auto" w:fill="C6EFCE"/>
            <w:noWrap/>
            <w:vAlign w:val="center"/>
          </w:tcPr>
          <w:p w14:paraId="4CC80AA8"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Awards for public tenders</w:t>
            </w:r>
          </w:p>
        </w:tc>
        <w:tc>
          <w:tcPr>
            <w:tcW w:w="1072" w:type="dxa"/>
            <w:tcBorders>
              <w:top w:val="nil"/>
              <w:left w:val="nil"/>
              <w:bottom w:val="single" w:sz="4" w:space="0" w:color="auto"/>
              <w:right w:val="single" w:sz="4" w:space="0" w:color="auto"/>
            </w:tcBorders>
            <w:shd w:val="clear" w:color="auto" w:fill="C6EFCE"/>
            <w:noWrap/>
            <w:vAlign w:val="center"/>
          </w:tcPr>
          <w:p w14:paraId="314DBF6D" w14:textId="77777777" w:rsidR="006A41D9" w:rsidRPr="001961AA" w:rsidRDefault="006A41D9" w:rsidP="00BD6DD1">
            <w:pPr>
              <w:spacing w:after="0"/>
              <w:jc w:val="right"/>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0</w:t>
            </w:r>
          </w:p>
        </w:tc>
        <w:tc>
          <w:tcPr>
            <w:tcW w:w="840" w:type="dxa"/>
            <w:tcBorders>
              <w:top w:val="nil"/>
              <w:left w:val="nil"/>
              <w:bottom w:val="single" w:sz="4" w:space="0" w:color="auto"/>
              <w:right w:val="single" w:sz="4" w:space="0" w:color="auto"/>
            </w:tcBorders>
            <w:shd w:val="clear" w:color="auto" w:fill="C6EFCE"/>
            <w:noWrap/>
            <w:vAlign w:val="center"/>
          </w:tcPr>
          <w:p w14:paraId="0EB57DC3" w14:textId="77777777" w:rsidR="006A41D9" w:rsidRPr="001961AA" w:rsidRDefault="006A41D9" w:rsidP="00BD6DD1">
            <w:pPr>
              <w:spacing w:after="0"/>
              <w:jc w:val="right"/>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8</w:t>
            </w:r>
          </w:p>
        </w:tc>
        <w:tc>
          <w:tcPr>
            <w:tcW w:w="960" w:type="dxa"/>
            <w:tcBorders>
              <w:top w:val="nil"/>
              <w:left w:val="nil"/>
              <w:bottom w:val="single" w:sz="4" w:space="0" w:color="auto"/>
              <w:right w:val="single" w:sz="4" w:space="0" w:color="auto"/>
            </w:tcBorders>
            <w:shd w:val="clear" w:color="auto" w:fill="C6EFCE"/>
            <w:noWrap/>
            <w:vAlign w:val="center"/>
            <w:hideMark/>
          </w:tcPr>
          <w:p w14:paraId="63A6480D"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Q2</w:t>
            </w:r>
          </w:p>
        </w:tc>
        <w:tc>
          <w:tcPr>
            <w:tcW w:w="840" w:type="dxa"/>
            <w:tcBorders>
              <w:top w:val="nil"/>
              <w:left w:val="nil"/>
              <w:bottom w:val="single" w:sz="4" w:space="0" w:color="auto"/>
              <w:right w:val="single" w:sz="4" w:space="0" w:color="auto"/>
            </w:tcBorders>
            <w:shd w:val="clear" w:color="auto" w:fill="C6EFCE"/>
            <w:noWrap/>
            <w:vAlign w:val="center"/>
            <w:hideMark/>
          </w:tcPr>
          <w:p w14:paraId="7D270CFC"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2024</w:t>
            </w:r>
          </w:p>
        </w:tc>
        <w:tc>
          <w:tcPr>
            <w:tcW w:w="4389" w:type="dxa"/>
            <w:tcBorders>
              <w:top w:val="single" w:sz="4" w:space="0" w:color="auto"/>
              <w:left w:val="nil"/>
              <w:bottom w:val="single" w:sz="4" w:space="0" w:color="auto"/>
              <w:right w:val="single" w:sz="4" w:space="0" w:color="auto"/>
            </w:tcBorders>
            <w:shd w:val="clear" w:color="auto" w:fill="C6EFCE"/>
            <w:noWrap/>
            <w:vAlign w:val="bottom"/>
            <w:hideMark/>
          </w:tcPr>
          <w:p w14:paraId="5E2A1FD3" w14:textId="401404CD"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Notification of awards for eight public tenders (i) by the Ministry of Economy for the delivery of the website that allows SMEs and self-employed to carry out a free cyber scan to quickly identify areas where cyber resilience may be improved, (ii) by the Ministry of Economy for a yearly cybersecurity awareness campaign targeted towards SMEs and self-employed, (iii) by the Centre for Cyber security for the delivery of an online plug-in allowing visitors to identify the reliability of websites, (iv) by the Centre for Cyber security for the delivery of a platform where larger SMEs may self-asses their cyber maturity based on an online survey; (v) by the Belgian federal telecommunications regulator for the implementation of an anti-phishing solution for emails, (vi) SMS, (vii) fraudulent calls and (viii) fraudulent signalisation messages in telecom operators infrastructure.</w:t>
            </w:r>
          </w:p>
        </w:tc>
      </w:tr>
      <w:tr w:rsidR="00292220" w:rsidRPr="009818D6" w14:paraId="1C24E52E" w14:textId="77777777" w:rsidTr="00AD78C9">
        <w:trPr>
          <w:trHeight w:val="309"/>
        </w:trPr>
        <w:tc>
          <w:tcPr>
            <w:tcW w:w="673" w:type="dxa"/>
            <w:tcBorders>
              <w:top w:val="nil"/>
              <w:left w:val="single" w:sz="4" w:space="0" w:color="auto"/>
              <w:bottom w:val="single" w:sz="4" w:space="0" w:color="auto"/>
              <w:right w:val="single" w:sz="4" w:space="0" w:color="auto"/>
            </w:tcBorders>
            <w:shd w:val="clear" w:color="auto" w:fill="C6EFCE"/>
            <w:noWrap/>
            <w:vAlign w:val="center"/>
            <w:hideMark/>
          </w:tcPr>
          <w:p w14:paraId="3CDEA484"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45</w:t>
            </w:r>
          </w:p>
        </w:tc>
        <w:tc>
          <w:tcPr>
            <w:tcW w:w="1680" w:type="dxa"/>
            <w:tcBorders>
              <w:top w:val="nil"/>
              <w:left w:val="nil"/>
              <w:bottom w:val="single" w:sz="4" w:space="0" w:color="auto"/>
              <w:right w:val="single" w:sz="4" w:space="0" w:color="auto"/>
            </w:tcBorders>
            <w:shd w:val="clear" w:color="auto" w:fill="C6EFCE"/>
            <w:noWrap/>
            <w:vAlign w:val="center"/>
            <w:hideMark/>
          </w:tcPr>
          <w:p w14:paraId="445A2A8E"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Cybersecure and resilient digital society (I-2.01)</w:t>
            </w:r>
          </w:p>
        </w:tc>
        <w:tc>
          <w:tcPr>
            <w:tcW w:w="1080" w:type="dxa"/>
            <w:tcBorders>
              <w:top w:val="nil"/>
              <w:left w:val="nil"/>
              <w:bottom w:val="single" w:sz="4" w:space="0" w:color="auto"/>
              <w:right w:val="single" w:sz="4" w:space="0" w:color="auto"/>
            </w:tcBorders>
            <w:shd w:val="clear" w:color="auto" w:fill="C6EFCE"/>
            <w:noWrap/>
            <w:vAlign w:val="center"/>
            <w:hideMark/>
          </w:tcPr>
          <w:p w14:paraId="521F51D1" w14:textId="5BF77051"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M</w:t>
            </w:r>
          </w:p>
        </w:tc>
        <w:tc>
          <w:tcPr>
            <w:tcW w:w="1680" w:type="dxa"/>
            <w:tcBorders>
              <w:top w:val="nil"/>
              <w:left w:val="nil"/>
              <w:bottom w:val="single" w:sz="4" w:space="0" w:color="auto"/>
              <w:right w:val="single" w:sz="4" w:space="0" w:color="auto"/>
            </w:tcBorders>
            <w:shd w:val="clear" w:color="auto" w:fill="C6EFCE"/>
            <w:noWrap/>
            <w:vAlign w:val="center"/>
            <w:hideMark/>
          </w:tcPr>
          <w:p w14:paraId="16929CAA"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Delivery of first cybersecu-rity awareness campaign</w:t>
            </w:r>
          </w:p>
        </w:tc>
        <w:tc>
          <w:tcPr>
            <w:tcW w:w="1296" w:type="dxa"/>
            <w:tcBorders>
              <w:top w:val="nil"/>
              <w:left w:val="nil"/>
              <w:bottom w:val="single" w:sz="4" w:space="0" w:color="auto"/>
              <w:right w:val="single" w:sz="4" w:space="0" w:color="auto"/>
            </w:tcBorders>
            <w:shd w:val="clear" w:color="auto" w:fill="C6EFCE"/>
            <w:noWrap/>
            <w:vAlign w:val="bottom"/>
            <w:hideMark/>
          </w:tcPr>
          <w:p w14:paraId="1190E227"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First cybersecurity awareness campaign targeted towards SMEs and self-employed on cyber resilience risks delivered</w:t>
            </w:r>
          </w:p>
        </w:tc>
        <w:tc>
          <w:tcPr>
            <w:tcW w:w="992" w:type="dxa"/>
            <w:tcBorders>
              <w:top w:val="nil"/>
              <w:left w:val="nil"/>
              <w:bottom w:val="single" w:sz="4" w:space="0" w:color="auto"/>
              <w:right w:val="single" w:sz="4" w:space="0" w:color="auto"/>
            </w:tcBorders>
            <w:shd w:val="clear" w:color="auto" w:fill="C6EFCE"/>
            <w:noWrap/>
            <w:vAlign w:val="center"/>
          </w:tcPr>
          <w:p w14:paraId="7E40B513" w14:textId="77777777"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1072" w:type="dxa"/>
            <w:tcBorders>
              <w:top w:val="nil"/>
              <w:left w:val="nil"/>
              <w:bottom w:val="single" w:sz="4" w:space="0" w:color="auto"/>
              <w:right w:val="single" w:sz="4" w:space="0" w:color="auto"/>
            </w:tcBorders>
            <w:shd w:val="clear" w:color="auto" w:fill="C6EFCE"/>
            <w:noWrap/>
            <w:vAlign w:val="center"/>
          </w:tcPr>
          <w:p w14:paraId="136FA1FA" w14:textId="77777777" w:rsidR="006A41D9" w:rsidRPr="001961AA" w:rsidRDefault="006A41D9" w:rsidP="00BD6DD1">
            <w:pPr>
              <w:spacing w:after="0"/>
              <w:jc w:val="right"/>
              <w:rPr>
                <w:rFonts w:ascii="Times New Roman" w:eastAsia="Times New Roman" w:hAnsi="Times New Roman" w:cs="Times New Roman"/>
                <w:noProof/>
                <w:color w:val="006100"/>
                <w:lang w:val="en-GB" w:eastAsia="en-GB"/>
              </w:rPr>
            </w:pPr>
          </w:p>
        </w:tc>
        <w:tc>
          <w:tcPr>
            <w:tcW w:w="840" w:type="dxa"/>
            <w:tcBorders>
              <w:top w:val="nil"/>
              <w:left w:val="nil"/>
              <w:bottom w:val="single" w:sz="4" w:space="0" w:color="auto"/>
              <w:right w:val="single" w:sz="4" w:space="0" w:color="auto"/>
            </w:tcBorders>
            <w:shd w:val="clear" w:color="auto" w:fill="C6EFCE"/>
            <w:noWrap/>
            <w:vAlign w:val="center"/>
          </w:tcPr>
          <w:p w14:paraId="3CA5A1E7" w14:textId="77777777" w:rsidR="006A41D9" w:rsidRPr="001961AA" w:rsidRDefault="006A41D9" w:rsidP="00BD6DD1">
            <w:pPr>
              <w:spacing w:after="0"/>
              <w:jc w:val="right"/>
              <w:rPr>
                <w:rFonts w:ascii="Times New Roman" w:eastAsia="Times New Roman" w:hAnsi="Times New Roman" w:cs="Times New Roman"/>
                <w:noProof/>
                <w:color w:val="006100"/>
                <w:lang w:val="en-GB" w:eastAsia="en-GB"/>
              </w:rPr>
            </w:pPr>
          </w:p>
        </w:tc>
        <w:tc>
          <w:tcPr>
            <w:tcW w:w="960" w:type="dxa"/>
            <w:tcBorders>
              <w:top w:val="nil"/>
              <w:left w:val="nil"/>
              <w:bottom w:val="single" w:sz="4" w:space="0" w:color="auto"/>
              <w:right w:val="single" w:sz="4" w:space="0" w:color="auto"/>
            </w:tcBorders>
            <w:shd w:val="clear" w:color="auto" w:fill="C6EFCE"/>
            <w:noWrap/>
            <w:vAlign w:val="center"/>
            <w:hideMark/>
          </w:tcPr>
          <w:p w14:paraId="3940E998"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Q4</w:t>
            </w:r>
          </w:p>
        </w:tc>
        <w:tc>
          <w:tcPr>
            <w:tcW w:w="840" w:type="dxa"/>
            <w:tcBorders>
              <w:top w:val="nil"/>
              <w:left w:val="nil"/>
              <w:bottom w:val="single" w:sz="4" w:space="0" w:color="auto"/>
              <w:right w:val="single" w:sz="4" w:space="0" w:color="auto"/>
            </w:tcBorders>
            <w:shd w:val="clear" w:color="auto" w:fill="C6EFCE"/>
            <w:noWrap/>
            <w:vAlign w:val="center"/>
            <w:hideMark/>
          </w:tcPr>
          <w:p w14:paraId="0A4E3B6C"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2022</w:t>
            </w:r>
          </w:p>
        </w:tc>
        <w:tc>
          <w:tcPr>
            <w:tcW w:w="4389" w:type="dxa"/>
            <w:tcBorders>
              <w:top w:val="nil"/>
              <w:left w:val="nil"/>
              <w:bottom w:val="single" w:sz="4" w:space="0" w:color="auto"/>
              <w:right w:val="single" w:sz="4" w:space="0" w:color="auto"/>
            </w:tcBorders>
            <w:shd w:val="clear" w:color="auto" w:fill="C6EFCE"/>
            <w:noWrap/>
            <w:vAlign w:val="center"/>
          </w:tcPr>
          <w:p w14:paraId="764A517B"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First cybersecurity awareness campaign targeted towards SMEs and self-employed on cyber resilience risks delivered and website deployed. This website shall offer a free cyberscan to SMEs and self-employed to quickly identify areas where cyber resilience may be improved.</w:t>
            </w:r>
          </w:p>
        </w:tc>
      </w:tr>
      <w:tr w:rsidR="00292220" w:rsidRPr="009818D6" w14:paraId="4F264A0D" w14:textId="77777777" w:rsidTr="00AD78C9">
        <w:trPr>
          <w:trHeight w:val="309"/>
        </w:trPr>
        <w:tc>
          <w:tcPr>
            <w:tcW w:w="673" w:type="dxa"/>
            <w:tcBorders>
              <w:top w:val="nil"/>
              <w:left w:val="single" w:sz="4" w:space="0" w:color="auto"/>
              <w:bottom w:val="single" w:sz="4" w:space="0" w:color="auto"/>
              <w:right w:val="single" w:sz="4" w:space="0" w:color="auto"/>
            </w:tcBorders>
            <w:shd w:val="clear" w:color="auto" w:fill="C6EFCE"/>
            <w:noWrap/>
            <w:vAlign w:val="center"/>
            <w:hideMark/>
          </w:tcPr>
          <w:p w14:paraId="4E78D52D"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46</w:t>
            </w:r>
          </w:p>
        </w:tc>
        <w:tc>
          <w:tcPr>
            <w:tcW w:w="1680" w:type="dxa"/>
            <w:tcBorders>
              <w:top w:val="nil"/>
              <w:left w:val="nil"/>
              <w:bottom w:val="single" w:sz="4" w:space="0" w:color="auto"/>
              <w:right w:val="single" w:sz="4" w:space="0" w:color="auto"/>
            </w:tcBorders>
            <w:shd w:val="clear" w:color="auto" w:fill="C6EFCE"/>
            <w:noWrap/>
            <w:vAlign w:val="center"/>
            <w:hideMark/>
          </w:tcPr>
          <w:p w14:paraId="0C96F36C"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Cybersecure and resilient digital society (I-2.01)</w:t>
            </w:r>
          </w:p>
        </w:tc>
        <w:tc>
          <w:tcPr>
            <w:tcW w:w="1080" w:type="dxa"/>
            <w:tcBorders>
              <w:top w:val="nil"/>
              <w:left w:val="nil"/>
              <w:bottom w:val="single" w:sz="4" w:space="0" w:color="auto"/>
              <w:right w:val="single" w:sz="4" w:space="0" w:color="auto"/>
            </w:tcBorders>
            <w:shd w:val="clear" w:color="auto" w:fill="C6EFCE"/>
            <w:noWrap/>
            <w:vAlign w:val="center"/>
            <w:hideMark/>
          </w:tcPr>
          <w:p w14:paraId="16052212" w14:textId="6BD8981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T</w:t>
            </w:r>
          </w:p>
        </w:tc>
        <w:tc>
          <w:tcPr>
            <w:tcW w:w="1680" w:type="dxa"/>
            <w:tcBorders>
              <w:top w:val="nil"/>
              <w:left w:val="nil"/>
              <w:bottom w:val="single" w:sz="4" w:space="0" w:color="auto"/>
              <w:right w:val="single" w:sz="4" w:space="0" w:color="auto"/>
            </w:tcBorders>
            <w:shd w:val="clear" w:color="auto" w:fill="C6EFCE"/>
            <w:noWrap/>
            <w:vAlign w:val="center"/>
            <w:hideMark/>
          </w:tcPr>
          <w:p w14:paraId="5DF8C9FB"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Instruments to increase cyber resilience available to the general public</w:t>
            </w:r>
          </w:p>
        </w:tc>
        <w:tc>
          <w:tcPr>
            <w:tcW w:w="1296" w:type="dxa"/>
            <w:tcBorders>
              <w:top w:val="nil"/>
              <w:left w:val="nil"/>
              <w:bottom w:val="single" w:sz="4" w:space="0" w:color="auto"/>
              <w:right w:val="single" w:sz="4" w:space="0" w:color="auto"/>
            </w:tcBorders>
            <w:shd w:val="clear" w:color="auto" w:fill="C6EFCE"/>
            <w:noWrap/>
            <w:vAlign w:val="center"/>
            <w:hideMark/>
          </w:tcPr>
          <w:p w14:paraId="2C6979ED" w14:textId="77777777"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992" w:type="dxa"/>
            <w:tcBorders>
              <w:top w:val="nil"/>
              <w:left w:val="nil"/>
              <w:bottom w:val="single" w:sz="4" w:space="0" w:color="auto"/>
              <w:right w:val="single" w:sz="4" w:space="0" w:color="auto"/>
            </w:tcBorders>
            <w:shd w:val="clear" w:color="auto" w:fill="C6EFCE"/>
            <w:noWrap/>
            <w:vAlign w:val="center"/>
            <w:hideMark/>
          </w:tcPr>
          <w:p w14:paraId="65774778"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 xml:space="preserve">Number of Instruments </w:t>
            </w:r>
          </w:p>
        </w:tc>
        <w:tc>
          <w:tcPr>
            <w:tcW w:w="1072" w:type="dxa"/>
            <w:tcBorders>
              <w:top w:val="nil"/>
              <w:left w:val="nil"/>
              <w:bottom w:val="single" w:sz="4" w:space="0" w:color="auto"/>
              <w:right w:val="single" w:sz="4" w:space="0" w:color="auto"/>
            </w:tcBorders>
            <w:shd w:val="clear" w:color="auto" w:fill="C6EFCE"/>
            <w:noWrap/>
            <w:vAlign w:val="center"/>
          </w:tcPr>
          <w:p w14:paraId="2BFDC6A6"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0</w:t>
            </w:r>
          </w:p>
        </w:tc>
        <w:tc>
          <w:tcPr>
            <w:tcW w:w="840" w:type="dxa"/>
            <w:tcBorders>
              <w:top w:val="nil"/>
              <w:left w:val="nil"/>
              <w:bottom w:val="single" w:sz="4" w:space="0" w:color="auto"/>
              <w:right w:val="single" w:sz="4" w:space="0" w:color="auto"/>
            </w:tcBorders>
            <w:shd w:val="clear" w:color="auto" w:fill="C6EFCE"/>
            <w:noWrap/>
            <w:vAlign w:val="center"/>
          </w:tcPr>
          <w:p w14:paraId="41BA920A"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4</w:t>
            </w:r>
          </w:p>
        </w:tc>
        <w:tc>
          <w:tcPr>
            <w:tcW w:w="960" w:type="dxa"/>
            <w:tcBorders>
              <w:top w:val="nil"/>
              <w:left w:val="nil"/>
              <w:bottom w:val="single" w:sz="4" w:space="0" w:color="auto"/>
              <w:right w:val="single" w:sz="4" w:space="0" w:color="auto"/>
            </w:tcBorders>
            <w:shd w:val="clear" w:color="auto" w:fill="C6EFCE"/>
            <w:noWrap/>
            <w:vAlign w:val="center"/>
            <w:hideMark/>
          </w:tcPr>
          <w:p w14:paraId="2D816B44"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Q4</w:t>
            </w:r>
          </w:p>
        </w:tc>
        <w:tc>
          <w:tcPr>
            <w:tcW w:w="840" w:type="dxa"/>
            <w:tcBorders>
              <w:top w:val="nil"/>
              <w:left w:val="nil"/>
              <w:bottom w:val="single" w:sz="4" w:space="0" w:color="auto"/>
              <w:right w:val="single" w:sz="4" w:space="0" w:color="auto"/>
            </w:tcBorders>
            <w:shd w:val="clear" w:color="auto" w:fill="C6EFCE"/>
            <w:noWrap/>
            <w:vAlign w:val="center"/>
            <w:hideMark/>
          </w:tcPr>
          <w:p w14:paraId="58FCDD2E" w14:textId="4E144C6D"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2024</w:t>
            </w:r>
          </w:p>
        </w:tc>
        <w:tc>
          <w:tcPr>
            <w:tcW w:w="4389" w:type="dxa"/>
            <w:tcBorders>
              <w:top w:val="nil"/>
              <w:left w:val="nil"/>
              <w:bottom w:val="single" w:sz="4" w:space="0" w:color="auto"/>
              <w:right w:val="single" w:sz="4" w:space="0" w:color="auto"/>
            </w:tcBorders>
            <w:shd w:val="clear" w:color="auto" w:fill="C6EFCE"/>
            <w:noWrap/>
            <w:vAlign w:val="center"/>
            <w:hideMark/>
          </w:tcPr>
          <w:p w14:paraId="77BE0081"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Four tools aimed at increasing cyber resilience capabilities are available to the general public, i.e. (i) BeGuard, (ii) Validated Web Sites; (iii) Cyber fundamentals, and (iv) StopPhishing.</w:t>
            </w:r>
          </w:p>
        </w:tc>
      </w:tr>
      <w:tr w:rsidR="00292220" w:rsidRPr="009818D6" w14:paraId="25F3B820" w14:textId="77777777" w:rsidTr="00AD78C9">
        <w:trPr>
          <w:trHeight w:val="309"/>
        </w:trPr>
        <w:tc>
          <w:tcPr>
            <w:tcW w:w="673" w:type="dxa"/>
            <w:tcBorders>
              <w:top w:val="nil"/>
              <w:left w:val="single" w:sz="4" w:space="0" w:color="auto"/>
              <w:bottom w:val="single" w:sz="4" w:space="0" w:color="auto"/>
              <w:right w:val="single" w:sz="4" w:space="0" w:color="auto"/>
            </w:tcBorders>
            <w:shd w:val="clear" w:color="auto" w:fill="C6EFCE"/>
            <w:noWrap/>
            <w:vAlign w:val="center"/>
          </w:tcPr>
          <w:p w14:paraId="0AF3B1DD"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47</w:t>
            </w:r>
          </w:p>
        </w:tc>
        <w:tc>
          <w:tcPr>
            <w:tcW w:w="1680" w:type="dxa"/>
            <w:tcBorders>
              <w:top w:val="nil"/>
              <w:left w:val="nil"/>
              <w:bottom w:val="single" w:sz="4" w:space="0" w:color="auto"/>
              <w:right w:val="single" w:sz="4" w:space="0" w:color="auto"/>
            </w:tcBorders>
            <w:shd w:val="clear" w:color="auto" w:fill="C6EFCE"/>
            <w:noWrap/>
            <w:vAlign w:val="center"/>
          </w:tcPr>
          <w:p w14:paraId="41FB164B"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Cybersecure and resilient digital society (I-2.01)</w:t>
            </w:r>
          </w:p>
        </w:tc>
        <w:tc>
          <w:tcPr>
            <w:tcW w:w="1080" w:type="dxa"/>
            <w:tcBorders>
              <w:top w:val="nil"/>
              <w:left w:val="nil"/>
              <w:bottom w:val="single" w:sz="4" w:space="0" w:color="auto"/>
              <w:right w:val="single" w:sz="4" w:space="0" w:color="auto"/>
            </w:tcBorders>
            <w:shd w:val="clear" w:color="auto" w:fill="C6EFCE"/>
            <w:noWrap/>
            <w:vAlign w:val="center"/>
          </w:tcPr>
          <w:p w14:paraId="58931F20" w14:textId="7FD6258E"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M</w:t>
            </w:r>
          </w:p>
        </w:tc>
        <w:tc>
          <w:tcPr>
            <w:tcW w:w="1680" w:type="dxa"/>
            <w:tcBorders>
              <w:top w:val="nil"/>
              <w:left w:val="nil"/>
              <w:bottom w:val="single" w:sz="4" w:space="0" w:color="auto"/>
              <w:right w:val="single" w:sz="4" w:space="0" w:color="auto"/>
            </w:tcBorders>
            <w:shd w:val="clear" w:color="auto" w:fill="C6EFCE"/>
            <w:noWrap/>
            <w:vAlign w:val="center"/>
          </w:tcPr>
          <w:p w14:paraId="1F1DED56"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 xml:space="preserve">Global cybersecurity governance framework within the Ministry of Foreign Affairs </w:t>
            </w:r>
          </w:p>
        </w:tc>
        <w:tc>
          <w:tcPr>
            <w:tcW w:w="1296" w:type="dxa"/>
            <w:tcBorders>
              <w:top w:val="nil"/>
              <w:left w:val="nil"/>
              <w:bottom w:val="single" w:sz="4" w:space="0" w:color="auto"/>
              <w:right w:val="single" w:sz="4" w:space="0" w:color="auto"/>
            </w:tcBorders>
            <w:shd w:val="clear" w:color="auto" w:fill="C6EFCE"/>
            <w:noWrap/>
            <w:vAlign w:val="center"/>
          </w:tcPr>
          <w:p w14:paraId="5A26C67F"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Global cybersecurity governance framework within the Ministry of Foreign Affairs implemented and in force</w:t>
            </w:r>
          </w:p>
        </w:tc>
        <w:tc>
          <w:tcPr>
            <w:tcW w:w="992" w:type="dxa"/>
            <w:tcBorders>
              <w:top w:val="nil"/>
              <w:left w:val="nil"/>
              <w:bottom w:val="single" w:sz="4" w:space="0" w:color="auto"/>
              <w:right w:val="single" w:sz="4" w:space="0" w:color="auto"/>
            </w:tcBorders>
            <w:shd w:val="clear" w:color="auto" w:fill="C6EFCE"/>
            <w:noWrap/>
            <w:vAlign w:val="center"/>
          </w:tcPr>
          <w:p w14:paraId="1C99D034" w14:textId="77777777"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1072" w:type="dxa"/>
            <w:tcBorders>
              <w:top w:val="nil"/>
              <w:left w:val="nil"/>
              <w:bottom w:val="single" w:sz="4" w:space="0" w:color="auto"/>
              <w:right w:val="single" w:sz="4" w:space="0" w:color="auto"/>
            </w:tcBorders>
            <w:shd w:val="clear" w:color="auto" w:fill="C6EFCE"/>
            <w:noWrap/>
            <w:vAlign w:val="center"/>
          </w:tcPr>
          <w:p w14:paraId="53D51B1A" w14:textId="77777777"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840" w:type="dxa"/>
            <w:tcBorders>
              <w:top w:val="nil"/>
              <w:left w:val="nil"/>
              <w:bottom w:val="single" w:sz="4" w:space="0" w:color="auto"/>
              <w:right w:val="single" w:sz="4" w:space="0" w:color="auto"/>
            </w:tcBorders>
            <w:shd w:val="clear" w:color="auto" w:fill="C6EFCE"/>
            <w:noWrap/>
            <w:vAlign w:val="center"/>
          </w:tcPr>
          <w:p w14:paraId="317DA7D6" w14:textId="77777777"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960" w:type="dxa"/>
            <w:tcBorders>
              <w:top w:val="nil"/>
              <w:left w:val="nil"/>
              <w:bottom w:val="single" w:sz="4" w:space="0" w:color="auto"/>
              <w:right w:val="single" w:sz="4" w:space="0" w:color="auto"/>
            </w:tcBorders>
            <w:shd w:val="clear" w:color="auto" w:fill="C6EFCE"/>
            <w:noWrap/>
            <w:vAlign w:val="center"/>
          </w:tcPr>
          <w:p w14:paraId="3C9C8C17"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Q4</w:t>
            </w:r>
          </w:p>
        </w:tc>
        <w:tc>
          <w:tcPr>
            <w:tcW w:w="840" w:type="dxa"/>
            <w:tcBorders>
              <w:top w:val="nil"/>
              <w:left w:val="nil"/>
              <w:bottom w:val="single" w:sz="4" w:space="0" w:color="auto"/>
              <w:right w:val="single" w:sz="4" w:space="0" w:color="auto"/>
            </w:tcBorders>
            <w:shd w:val="clear" w:color="auto" w:fill="C6EFCE"/>
            <w:noWrap/>
            <w:vAlign w:val="center"/>
          </w:tcPr>
          <w:p w14:paraId="5CB735E8"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2023</w:t>
            </w:r>
          </w:p>
        </w:tc>
        <w:tc>
          <w:tcPr>
            <w:tcW w:w="4389" w:type="dxa"/>
            <w:tcBorders>
              <w:top w:val="nil"/>
              <w:left w:val="nil"/>
              <w:bottom w:val="single" w:sz="4" w:space="0" w:color="auto"/>
              <w:right w:val="single" w:sz="4" w:space="0" w:color="auto"/>
            </w:tcBorders>
            <w:shd w:val="clear" w:color="auto" w:fill="C6EFCE"/>
            <w:noWrap/>
            <w:vAlign w:val="center"/>
          </w:tcPr>
          <w:p w14:paraId="7B9BE02A"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A global cybersecurity governance framework based on ISO27000 and CIS20 norms is in force and implemented within the Ministry of Foreign Affairs.</w:t>
            </w:r>
          </w:p>
        </w:tc>
      </w:tr>
      <w:tr w:rsidR="00292220" w:rsidRPr="009818D6" w14:paraId="3B3C7ECB" w14:textId="77777777" w:rsidTr="00AD78C9">
        <w:trPr>
          <w:trHeight w:val="309"/>
        </w:trPr>
        <w:tc>
          <w:tcPr>
            <w:tcW w:w="673" w:type="dxa"/>
            <w:tcBorders>
              <w:top w:val="nil"/>
              <w:left w:val="single" w:sz="4" w:space="0" w:color="auto"/>
              <w:bottom w:val="single" w:sz="4" w:space="0" w:color="auto"/>
              <w:right w:val="single" w:sz="4" w:space="0" w:color="auto"/>
            </w:tcBorders>
            <w:shd w:val="clear" w:color="auto" w:fill="C6EFCE"/>
            <w:noWrap/>
            <w:vAlign w:val="center"/>
          </w:tcPr>
          <w:p w14:paraId="11EB69B0"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48</w:t>
            </w:r>
          </w:p>
        </w:tc>
        <w:tc>
          <w:tcPr>
            <w:tcW w:w="1680" w:type="dxa"/>
            <w:tcBorders>
              <w:top w:val="nil"/>
              <w:left w:val="nil"/>
              <w:bottom w:val="single" w:sz="4" w:space="0" w:color="auto"/>
              <w:right w:val="single" w:sz="4" w:space="0" w:color="auto"/>
            </w:tcBorders>
            <w:shd w:val="clear" w:color="auto" w:fill="C6EFCE"/>
            <w:noWrap/>
            <w:vAlign w:val="center"/>
          </w:tcPr>
          <w:p w14:paraId="0F42320C"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Cybersecure and resilient digital society (I-2.01)</w:t>
            </w:r>
          </w:p>
        </w:tc>
        <w:tc>
          <w:tcPr>
            <w:tcW w:w="1080" w:type="dxa"/>
            <w:tcBorders>
              <w:top w:val="nil"/>
              <w:left w:val="nil"/>
              <w:bottom w:val="single" w:sz="4" w:space="0" w:color="auto"/>
              <w:right w:val="single" w:sz="4" w:space="0" w:color="auto"/>
            </w:tcBorders>
            <w:shd w:val="clear" w:color="auto" w:fill="C6EFCE"/>
            <w:noWrap/>
            <w:vAlign w:val="center"/>
          </w:tcPr>
          <w:p w14:paraId="7986B72B" w14:textId="03BA753E"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M</w:t>
            </w:r>
          </w:p>
        </w:tc>
        <w:tc>
          <w:tcPr>
            <w:tcW w:w="1680" w:type="dxa"/>
            <w:tcBorders>
              <w:top w:val="nil"/>
              <w:left w:val="nil"/>
              <w:bottom w:val="single" w:sz="4" w:space="0" w:color="auto"/>
              <w:right w:val="single" w:sz="4" w:space="0" w:color="auto"/>
            </w:tcBorders>
            <w:shd w:val="clear" w:color="auto" w:fill="C6EFCE"/>
            <w:noWrap/>
            <w:vAlign w:val="center"/>
          </w:tcPr>
          <w:p w14:paraId="402DF165"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Delivery of cyber resilience services to Belgian society at large by the Ministry of Defence</w:t>
            </w:r>
          </w:p>
        </w:tc>
        <w:tc>
          <w:tcPr>
            <w:tcW w:w="1296" w:type="dxa"/>
            <w:tcBorders>
              <w:top w:val="nil"/>
              <w:left w:val="nil"/>
              <w:bottom w:val="single" w:sz="4" w:space="0" w:color="auto"/>
              <w:right w:val="single" w:sz="4" w:space="0" w:color="auto"/>
            </w:tcBorders>
            <w:shd w:val="clear" w:color="auto" w:fill="C6EFCE"/>
            <w:noWrap/>
            <w:vAlign w:val="center"/>
          </w:tcPr>
          <w:p w14:paraId="3D928470"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Entry in operation of Ministry of Defence cyber resilience platform and publication of cyber threats report</w:t>
            </w:r>
          </w:p>
        </w:tc>
        <w:tc>
          <w:tcPr>
            <w:tcW w:w="992" w:type="dxa"/>
            <w:tcBorders>
              <w:top w:val="nil"/>
              <w:left w:val="nil"/>
              <w:bottom w:val="single" w:sz="4" w:space="0" w:color="auto"/>
              <w:right w:val="single" w:sz="4" w:space="0" w:color="auto"/>
            </w:tcBorders>
            <w:shd w:val="clear" w:color="auto" w:fill="C6EFCE"/>
            <w:noWrap/>
            <w:vAlign w:val="center"/>
          </w:tcPr>
          <w:p w14:paraId="38EF80DF" w14:textId="77777777"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1072" w:type="dxa"/>
            <w:tcBorders>
              <w:top w:val="nil"/>
              <w:left w:val="nil"/>
              <w:bottom w:val="single" w:sz="4" w:space="0" w:color="auto"/>
              <w:right w:val="single" w:sz="4" w:space="0" w:color="auto"/>
            </w:tcBorders>
            <w:shd w:val="clear" w:color="auto" w:fill="C6EFCE"/>
            <w:noWrap/>
            <w:vAlign w:val="center"/>
          </w:tcPr>
          <w:p w14:paraId="572FD017" w14:textId="77777777"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840" w:type="dxa"/>
            <w:tcBorders>
              <w:top w:val="nil"/>
              <w:left w:val="nil"/>
              <w:bottom w:val="single" w:sz="4" w:space="0" w:color="auto"/>
              <w:right w:val="single" w:sz="4" w:space="0" w:color="auto"/>
            </w:tcBorders>
            <w:shd w:val="clear" w:color="auto" w:fill="C6EFCE"/>
            <w:noWrap/>
            <w:vAlign w:val="center"/>
          </w:tcPr>
          <w:p w14:paraId="604EDD77" w14:textId="77777777"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960" w:type="dxa"/>
            <w:tcBorders>
              <w:top w:val="nil"/>
              <w:left w:val="nil"/>
              <w:bottom w:val="single" w:sz="4" w:space="0" w:color="auto"/>
              <w:right w:val="single" w:sz="4" w:space="0" w:color="auto"/>
            </w:tcBorders>
            <w:shd w:val="clear" w:color="auto" w:fill="C6EFCE"/>
            <w:noWrap/>
            <w:vAlign w:val="center"/>
          </w:tcPr>
          <w:p w14:paraId="4C9319A3"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Q2</w:t>
            </w:r>
          </w:p>
        </w:tc>
        <w:tc>
          <w:tcPr>
            <w:tcW w:w="840" w:type="dxa"/>
            <w:tcBorders>
              <w:top w:val="nil"/>
              <w:left w:val="nil"/>
              <w:bottom w:val="single" w:sz="4" w:space="0" w:color="auto"/>
              <w:right w:val="single" w:sz="4" w:space="0" w:color="auto"/>
            </w:tcBorders>
            <w:shd w:val="clear" w:color="auto" w:fill="C6EFCE"/>
            <w:noWrap/>
            <w:vAlign w:val="center"/>
          </w:tcPr>
          <w:p w14:paraId="424B6246"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2026</w:t>
            </w:r>
          </w:p>
        </w:tc>
        <w:tc>
          <w:tcPr>
            <w:tcW w:w="4389" w:type="dxa"/>
            <w:tcBorders>
              <w:top w:val="nil"/>
              <w:left w:val="nil"/>
              <w:bottom w:val="single" w:sz="4" w:space="0" w:color="auto"/>
              <w:right w:val="single" w:sz="4" w:space="0" w:color="auto"/>
            </w:tcBorders>
            <w:shd w:val="clear" w:color="auto" w:fill="C6EFCE"/>
            <w:noWrap/>
            <w:vAlign w:val="center"/>
          </w:tcPr>
          <w:p w14:paraId="6105EC06" w14:textId="7330DF64"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Cyber resilience capabilities of the Ministry of Defence are enhanced to offer cyber resilience services to Belgian society at large, including citizens, businesses and civil services. These services shall be delivered through one platform integrating relevant cyber threat intelligence, and through the oversight of actors potentially representing cyber threats. This oversight shall consist of a periodic report containing cyber actor updates.</w:t>
            </w:r>
          </w:p>
        </w:tc>
      </w:tr>
      <w:tr w:rsidR="00292220" w:rsidRPr="009818D6" w14:paraId="1520E900" w14:textId="77777777" w:rsidTr="00AD78C9">
        <w:trPr>
          <w:trHeight w:val="309"/>
        </w:trPr>
        <w:tc>
          <w:tcPr>
            <w:tcW w:w="673" w:type="dxa"/>
            <w:tcBorders>
              <w:top w:val="nil"/>
              <w:left w:val="single" w:sz="4" w:space="0" w:color="auto"/>
              <w:bottom w:val="single" w:sz="4" w:space="0" w:color="auto"/>
              <w:right w:val="single" w:sz="4" w:space="0" w:color="auto"/>
            </w:tcBorders>
            <w:shd w:val="clear" w:color="auto" w:fill="C6EFCE"/>
            <w:noWrap/>
            <w:vAlign w:val="center"/>
          </w:tcPr>
          <w:p w14:paraId="1AD8F8B5"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49</w:t>
            </w:r>
          </w:p>
        </w:tc>
        <w:tc>
          <w:tcPr>
            <w:tcW w:w="1680" w:type="dxa"/>
            <w:tcBorders>
              <w:top w:val="nil"/>
              <w:left w:val="nil"/>
              <w:bottom w:val="single" w:sz="4" w:space="0" w:color="auto"/>
              <w:right w:val="single" w:sz="4" w:space="0" w:color="auto"/>
            </w:tcBorders>
            <w:shd w:val="clear" w:color="auto" w:fill="C6EFCE"/>
            <w:noWrap/>
            <w:vAlign w:val="center"/>
          </w:tcPr>
          <w:p w14:paraId="10C9EBC2" w14:textId="204FB0D9"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Cybersecurity: 5G (I-2.02)</w:t>
            </w:r>
          </w:p>
        </w:tc>
        <w:tc>
          <w:tcPr>
            <w:tcW w:w="1080" w:type="dxa"/>
            <w:tcBorders>
              <w:top w:val="nil"/>
              <w:left w:val="nil"/>
              <w:bottom w:val="single" w:sz="4" w:space="0" w:color="auto"/>
              <w:right w:val="single" w:sz="4" w:space="0" w:color="auto"/>
            </w:tcBorders>
            <w:shd w:val="clear" w:color="auto" w:fill="C6EFCE"/>
            <w:noWrap/>
            <w:vAlign w:val="center"/>
          </w:tcPr>
          <w:p w14:paraId="2D662734" w14:textId="0C3CBDCE"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M</w:t>
            </w:r>
          </w:p>
        </w:tc>
        <w:tc>
          <w:tcPr>
            <w:tcW w:w="1680" w:type="dxa"/>
            <w:tcBorders>
              <w:top w:val="nil"/>
              <w:left w:val="nil"/>
              <w:bottom w:val="single" w:sz="4" w:space="0" w:color="auto"/>
              <w:right w:val="single" w:sz="4" w:space="0" w:color="auto"/>
            </w:tcBorders>
            <w:shd w:val="clear" w:color="auto" w:fill="C6EFCE"/>
            <w:noWrap/>
            <w:vAlign w:val="center"/>
          </w:tcPr>
          <w:p w14:paraId="42FAB26F"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 xml:space="preserve">Reinforced interception capabilities of the judicial police in a 5G context </w:t>
            </w:r>
          </w:p>
        </w:tc>
        <w:tc>
          <w:tcPr>
            <w:tcW w:w="1296" w:type="dxa"/>
            <w:tcBorders>
              <w:top w:val="nil"/>
              <w:left w:val="nil"/>
              <w:bottom w:val="single" w:sz="4" w:space="0" w:color="auto"/>
              <w:right w:val="single" w:sz="4" w:space="0" w:color="auto"/>
            </w:tcBorders>
            <w:shd w:val="clear" w:color="auto" w:fill="C6EFCE"/>
            <w:noWrap/>
            <w:vAlign w:val="center"/>
          </w:tcPr>
          <w:p w14:paraId="269C1D2C"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Reinforced interception capabilities of the judicial police in a 5G context on the entire Belgian territory through five operational elements</w:t>
            </w:r>
          </w:p>
        </w:tc>
        <w:tc>
          <w:tcPr>
            <w:tcW w:w="992" w:type="dxa"/>
            <w:tcBorders>
              <w:top w:val="nil"/>
              <w:left w:val="nil"/>
              <w:bottom w:val="single" w:sz="4" w:space="0" w:color="auto"/>
              <w:right w:val="single" w:sz="4" w:space="0" w:color="auto"/>
            </w:tcBorders>
            <w:shd w:val="clear" w:color="auto" w:fill="C6EFCE"/>
            <w:noWrap/>
            <w:vAlign w:val="center"/>
          </w:tcPr>
          <w:p w14:paraId="4E17FA73" w14:textId="77777777"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1072" w:type="dxa"/>
            <w:tcBorders>
              <w:top w:val="nil"/>
              <w:left w:val="nil"/>
              <w:bottom w:val="single" w:sz="4" w:space="0" w:color="auto"/>
              <w:right w:val="single" w:sz="4" w:space="0" w:color="auto"/>
            </w:tcBorders>
            <w:shd w:val="clear" w:color="auto" w:fill="C6EFCE"/>
            <w:noWrap/>
            <w:vAlign w:val="center"/>
          </w:tcPr>
          <w:p w14:paraId="08EFE2F9" w14:textId="77777777"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840" w:type="dxa"/>
            <w:tcBorders>
              <w:top w:val="nil"/>
              <w:left w:val="nil"/>
              <w:bottom w:val="single" w:sz="4" w:space="0" w:color="auto"/>
              <w:right w:val="single" w:sz="4" w:space="0" w:color="auto"/>
            </w:tcBorders>
            <w:shd w:val="clear" w:color="auto" w:fill="C6EFCE"/>
            <w:noWrap/>
            <w:vAlign w:val="center"/>
          </w:tcPr>
          <w:p w14:paraId="75E33216" w14:textId="77777777"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960" w:type="dxa"/>
            <w:tcBorders>
              <w:top w:val="nil"/>
              <w:left w:val="nil"/>
              <w:bottom w:val="single" w:sz="4" w:space="0" w:color="auto"/>
              <w:right w:val="single" w:sz="4" w:space="0" w:color="auto"/>
            </w:tcBorders>
            <w:shd w:val="clear" w:color="auto" w:fill="C6EFCE"/>
            <w:noWrap/>
            <w:vAlign w:val="center"/>
          </w:tcPr>
          <w:p w14:paraId="280568B6"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Q4</w:t>
            </w:r>
          </w:p>
        </w:tc>
        <w:tc>
          <w:tcPr>
            <w:tcW w:w="840" w:type="dxa"/>
            <w:tcBorders>
              <w:top w:val="nil"/>
              <w:left w:val="nil"/>
              <w:bottom w:val="single" w:sz="4" w:space="0" w:color="auto"/>
              <w:right w:val="single" w:sz="4" w:space="0" w:color="auto"/>
            </w:tcBorders>
            <w:shd w:val="clear" w:color="auto" w:fill="C6EFCE"/>
            <w:noWrap/>
            <w:vAlign w:val="center"/>
          </w:tcPr>
          <w:p w14:paraId="728EC530"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2025</w:t>
            </w:r>
          </w:p>
        </w:tc>
        <w:tc>
          <w:tcPr>
            <w:tcW w:w="4389" w:type="dxa"/>
            <w:tcBorders>
              <w:top w:val="nil"/>
              <w:left w:val="nil"/>
              <w:bottom w:val="single" w:sz="4" w:space="0" w:color="auto"/>
              <w:right w:val="single" w:sz="4" w:space="0" w:color="auto"/>
            </w:tcBorders>
            <w:shd w:val="clear" w:color="auto" w:fill="C6EFCE"/>
            <w:noWrap/>
            <w:vAlign w:val="center"/>
          </w:tcPr>
          <w:p w14:paraId="6A2FAFAE"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Interception capabilities of private communications by the judicial police in a 5G context are reinforced on the entire Belgian territory. This shall be achieved through the entry in operation of the following:</w:t>
            </w:r>
          </w:p>
          <w:p w14:paraId="4273A01F"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 a sweeping suite adapted to 5G;</w:t>
            </w:r>
          </w:p>
          <w:p w14:paraId="68D28D0A"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 xml:space="preserve">- a jamming suite adapted to 5G; </w:t>
            </w:r>
          </w:p>
          <w:p w14:paraId="7079B948"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 xml:space="preserve">- systems to capture audio in houses and vehicles adapted to 5G; </w:t>
            </w:r>
          </w:p>
          <w:p w14:paraId="08C5FAA4"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 capabilities to locate and track vehicles and objects adapted to 5G; and</w:t>
            </w:r>
          </w:p>
          <w:p w14:paraId="2E2D263E"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 a transmission system of images acquired during special investigation methods.</w:t>
            </w:r>
          </w:p>
        </w:tc>
      </w:tr>
      <w:tr w:rsidR="00292220" w:rsidRPr="009818D6" w14:paraId="6754F364" w14:textId="77777777" w:rsidTr="00AD78C9">
        <w:trPr>
          <w:trHeight w:val="309"/>
        </w:trPr>
        <w:tc>
          <w:tcPr>
            <w:tcW w:w="673" w:type="dxa"/>
            <w:tcBorders>
              <w:top w:val="nil"/>
              <w:left w:val="single" w:sz="4" w:space="0" w:color="auto"/>
              <w:bottom w:val="single" w:sz="4" w:space="0" w:color="auto"/>
              <w:right w:val="single" w:sz="4" w:space="0" w:color="auto"/>
            </w:tcBorders>
            <w:shd w:val="clear" w:color="auto" w:fill="C6EFCE"/>
            <w:noWrap/>
            <w:vAlign w:val="center"/>
          </w:tcPr>
          <w:p w14:paraId="2A975BA0"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50</w:t>
            </w:r>
          </w:p>
        </w:tc>
        <w:tc>
          <w:tcPr>
            <w:tcW w:w="1680" w:type="dxa"/>
            <w:tcBorders>
              <w:top w:val="nil"/>
              <w:left w:val="nil"/>
              <w:bottom w:val="single" w:sz="4" w:space="0" w:color="auto"/>
              <w:right w:val="single" w:sz="4" w:space="0" w:color="auto"/>
            </w:tcBorders>
            <w:shd w:val="clear" w:color="auto" w:fill="C6EFCE"/>
            <w:noWrap/>
            <w:vAlign w:val="center"/>
          </w:tcPr>
          <w:p w14:paraId="0BA2CC90" w14:textId="2C403366"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Cybersecurity: NTSU/CTIF interception and safeguard (I-2.03)</w:t>
            </w:r>
          </w:p>
        </w:tc>
        <w:tc>
          <w:tcPr>
            <w:tcW w:w="1080" w:type="dxa"/>
            <w:tcBorders>
              <w:top w:val="nil"/>
              <w:left w:val="nil"/>
              <w:bottom w:val="single" w:sz="4" w:space="0" w:color="auto"/>
              <w:right w:val="single" w:sz="4" w:space="0" w:color="auto"/>
            </w:tcBorders>
            <w:shd w:val="clear" w:color="auto" w:fill="C6EFCE"/>
            <w:noWrap/>
            <w:vAlign w:val="center"/>
          </w:tcPr>
          <w:p w14:paraId="7F8E7611" w14:textId="45CCD793"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M</w:t>
            </w:r>
          </w:p>
        </w:tc>
        <w:tc>
          <w:tcPr>
            <w:tcW w:w="1680" w:type="dxa"/>
            <w:tcBorders>
              <w:top w:val="nil"/>
              <w:left w:val="nil"/>
              <w:bottom w:val="single" w:sz="4" w:space="0" w:color="auto"/>
              <w:right w:val="single" w:sz="4" w:space="0" w:color="auto"/>
            </w:tcBorders>
            <w:shd w:val="clear" w:color="auto" w:fill="C6EFCE"/>
            <w:noWrap/>
            <w:vAlign w:val="center"/>
          </w:tcPr>
          <w:p w14:paraId="17546E81" w14:textId="193B4373" w:rsidR="006A41D9" w:rsidRPr="001961AA" w:rsidRDefault="006A41D9" w:rsidP="00BD6DD1">
            <w:pPr>
              <w:spacing w:after="0"/>
              <w:rPr>
                <w:rFonts w:ascii="Times New Roman" w:eastAsia="Times New Roman" w:hAnsi="Times New Roman" w:cs="Times New Roman"/>
                <w:noProof/>
                <w:color w:val="006100"/>
                <w:highlight w:val="yellow"/>
                <w:lang w:val="en-GB"/>
              </w:rPr>
            </w:pPr>
            <w:r w:rsidRPr="001961AA">
              <w:rPr>
                <w:rFonts w:ascii="Times New Roman" w:hAnsi="Times New Roman"/>
                <w:noProof/>
                <w:color w:val="006100"/>
                <w:lang w:val="en-GB"/>
              </w:rPr>
              <w:t>Digital registry of intercepted private communications managed by the National Technical and Tactical Support Unit of the Belgian federal police</w:t>
            </w:r>
          </w:p>
        </w:tc>
        <w:tc>
          <w:tcPr>
            <w:tcW w:w="1296" w:type="dxa"/>
            <w:tcBorders>
              <w:top w:val="nil"/>
              <w:left w:val="nil"/>
              <w:bottom w:val="single" w:sz="4" w:space="0" w:color="auto"/>
              <w:right w:val="single" w:sz="4" w:space="0" w:color="auto"/>
            </w:tcBorders>
            <w:shd w:val="clear" w:color="auto" w:fill="C6EFCE"/>
            <w:noWrap/>
            <w:vAlign w:val="center"/>
          </w:tcPr>
          <w:p w14:paraId="1D1FF5F3"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 xml:space="preserve">Entry in operation of the digital registry of intercepted private communications </w:t>
            </w:r>
          </w:p>
        </w:tc>
        <w:tc>
          <w:tcPr>
            <w:tcW w:w="992" w:type="dxa"/>
            <w:tcBorders>
              <w:top w:val="nil"/>
              <w:left w:val="nil"/>
              <w:bottom w:val="single" w:sz="4" w:space="0" w:color="auto"/>
              <w:right w:val="single" w:sz="4" w:space="0" w:color="auto"/>
            </w:tcBorders>
            <w:shd w:val="clear" w:color="auto" w:fill="C6EFCE"/>
            <w:noWrap/>
            <w:vAlign w:val="center"/>
          </w:tcPr>
          <w:p w14:paraId="6E2B2FC2" w14:textId="77777777"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1072" w:type="dxa"/>
            <w:tcBorders>
              <w:top w:val="nil"/>
              <w:left w:val="nil"/>
              <w:bottom w:val="single" w:sz="4" w:space="0" w:color="auto"/>
              <w:right w:val="single" w:sz="4" w:space="0" w:color="auto"/>
            </w:tcBorders>
            <w:shd w:val="clear" w:color="auto" w:fill="C6EFCE"/>
            <w:noWrap/>
            <w:vAlign w:val="center"/>
          </w:tcPr>
          <w:p w14:paraId="09D4266F" w14:textId="77777777"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840" w:type="dxa"/>
            <w:tcBorders>
              <w:top w:val="nil"/>
              <w:left w:val="nil"/>
              <w:bottom w:val="single" w:sz="4" w:space="0" w:color="auto"/>
              <w:right w:val="single" w:sz="4" w:space="0" w:color="auto"/>
            </w:tcBorders>
            <w:shd w:val="clear" w:color="auto" w:fill="C6EFCE"/>
            <w:noWrap/>
            <w:vAlign w:val="center"/>
          </w:tcPr>
          <w:p w14:paraId="2AD314AB" w14:textId="77777777"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960" w:type="dxa"/>
            <w:tcBorders>
              <w:top w:val="nil"/>
              <w:left w:val="nil"/>
              <w:bottom w:val="single" w:sz="4" w:space="0" w:color="auto"/>
              <w:right w:val="single" w:sz="4" w:space="0" w:color="auto"/>
            </w:tcBorders>
            <w:shd w:val="clear" w:color="auto" w:fill="C6EFCE"/>
            <w:noWrap/>
            <w:vAlign w:val="center"/>
          </w:tcPr>
          <w:p w14:paraId="7ECC9B44"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Q2</w:t>
            </w:r>
          </w:p>
        </w:tc>
        <w:tc>
          <w:tcPr>
            <w:tcW w:w="840" w:type="dxa"/>
            <w:tcBorders>
              <w:top w:val="nil"/>
              <w:left w:val="nil"/>
              <w:bottom w:val="single" w:sz="4" w:space="0" w:color="auto"/>
              <w:right w:val="single" w:sz="4" w:space="0" w:color="auto"/>
            </w:tcBorders>
            <w:shd w:val="clear" w:color="auto" w:fill="C6EFCE"/>
            <w:noWrap/>
            <w:vAlign w:val="center"/>
          </w:tcPr>
          <w:p w14:paraId="0A6D73EC"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2025</w:t>
            </w:r>
          </w:p>
        </w:tc>
        <w:tc>
          <w:tcPr>
            <w:tcW w:w="4389" w:type="dxa"/>
            <w:tcBorders>
              <w:top w:val="nil"/>
              <w:left w:val="nil"/>
              <w:bottom w:val="single" w:sz="4" w:space="0" w:color="auto"/>
              <w:right w:val="single" w:sz="4" w:space="0" w:color="auto"/>
            </w:tcBorders>
            <w:shd w:val="clear" w:color="auto" w:fill="C6EFCE"/>
            <w:noWrap/>
            <w:vAlign w:val="center"/>
          </w:tcPr>
          <w:p w14:paraId="2404CDB9"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Digital registry of intercepted private communications (Li-vault) managed by the National Technical and Tactical Support Unit of the Belgian federal police, operational and ready for use by the justice system, the police and intelligence services.</w:t>
            </w:r>
          </w:p>
        </w:tc>
      </w:tr>
    </w:tbl>
    <w:p w14:paraId="410A4494" w14:textId="77777777" w:rsidR="006A41D9" w:rsidRPr="001961AA" w:rsidRDefault="006A41D9" w:rsidP="00BD6DD1">
      <w:pPr>
        <w:ind w:left="709"/>
        <w:rPr>
          <w:rFonts w:ascii="Times New Roman" w:hAnsi="Times New Roman" w:cs="Times New Roman"/>
          <w:noProof/>
          <w:lang w:val="en-GB"/>
        </w:rPr>
        <w:sectPr w:rsidR="006A41D9" w:rsidRPr="001961AA" w:rsidSect="007F56C3">
          <w:headerReference w:type="even" r:id="rId60"/>
          <w:headerReference w:type="default" r:id="rId61"/>
          <w:footerReference w:type="even" r:id="rId62"/>
          <w:footerReference w:type="default" r:id="rId63"/>
          <w:headerReference w:type="first" r:id="rId64"/>
          <w:footerReference w:type="first" r:id="rId65"/>
          <w:pgSz w:w="16839" w:h="11907" w:orient="landscape"/>
          <w:pgMar w:top="1134" w:right="1134" w:bottom="1134" w:left="1134" w:header="567" w:footer="567" w:gutter="0"/>
          <w:cols w:space="720"/>
          <w:docGrid w:linePitch="360"/>
        </w:sectPr>
      </w:pPr>
    </w:p>
    <w:p w14:paraId="41F5C845" w14:textId="1FEF0F50" w:rsidR="006A41D9" w:rsidRPr="001961AA" w:rsidRDefault="006A41D9" w:rsidP="00BD6DD1">
      <w:pPr>
        <w:pStyle w:val="ManualHeading1"/>
        <w:spacing w:before="120"/>
        <w:ind w:left="0" w:firstLine="0"/>
        <w:rPr>
          <w:noProof/>
          <w:lang w:val="en-GB"/>
        </w:rPr>
      </w:pPr>
      <w:r w:rsidRPr="001961AA">
        <w:rPr>
          <w:noProof/>
          <w:lang w:val="en-GB"/>
        </w:rPr>
        <w:t>E. COMPONENT 2.2: Public administration</w:t>
      </w:r>
    </w:p>
    <w:p w14:paraId="0D10C521" w14:textId="77777777" w:rsidR="006A41D9" w:rsidRPr="001961AA" w:rsidRDefault="006A41D9" w:rsidP="00BD6DD1">
      <w:pPr>
        <w:spacing w:before="120" w:after="120" w:line="240" w:lineRule="auto"/>
        <w:jc w:val="both"/>
        <w:rPr>
          <w:rFonts w:ascii="Times New Roman" w:hAnsi="Times New Roman" w:cs="Times New Roman"/>
          <w:noProof/>
          <w:sz w:val="24"/>
          <w:szCs w:val="24"/>
          <w:lang w:val="en-GB"/>
        </w:rPr>
      </w:pPr>
      <w:r w:rsidRPr="001961AA">
        <w:rPr>
          <w:rFonts w:ascii="Times New Roman" w:hAnsi="Times New Roman"/>
          <w:noProof/>
          <w:sz w:val="24"/>
          <w:lang w:val="en-GB"/>
        </w:rPr>
        <w:t>This component of the Belgian recovery and resilience plan aims at increasing the efficiency of the public administration by digitalising its services.</w:t>
      </w:r>
    </w:p>
    <w:p w14:paraId="57673018" w14:textId="77777777" w:rsidR="006A41D9" w:rsidRPr="001961AA" w:rsidRDefault="006A41D9" w:rsidP="00BD6DD1">
      <w:pPr>
        <w:spacing w:before="120" w:after="120" w:line="240" w:lineRule="auto"/>
        <w:jc w:val="both"/>
        <w:rPr>
          <w:rFonts w:ascii="Times New Roman" w:hAnsi="Times New Roman" w:cs="Times New Roman"/>
          <w:noProof/>
          <w:sz w:val="24"/>
          <w:szCs w:val="24"/>
          <w:lang w:val="en-GB"/>
        </w:rPr>
      </w:pPr>
      <w:r w:rsidRPr="001961AA">
        <w:rPr>
          <w:rFonts w:ascii="Times New Roman" w:hAnsi="Times New Roman"/>
          <w:noProof/>
          <w:sz w:val="24"/>
          <w:lang w:val="en-GB"/>
        </w:rPr>
        <w:t>This component contributes to addressing the Country Specific Recommendations 2019.3 and 2019.4 calling on Belgium to focus investment-related economic policy on, inter alia, digitalisation and to reduce the regulatory and administrative burden to incentivise entrepreneurship. It is also related to Country Specific Recommendation 2020.3 to improve the business environment, to front-load mature public investment and to focus investment on the digital transition.</w:t>
      </w:r>
    </w:p>
    <w:p w14:paraId="2CACEFE6" w14:textId="77777777" w:rsidR="006A41D9" w:rsidRPr="001961AA" w:rsidRDefault="006A41D9" w:rsidP="00BD6DD1">
      <w:pPr>
        <w:spacing w:before="120" w:after="120" w:line="240" w:lineRule="auto"/>
        <w:jc w:val="both"/>
        <w:rPr>
          <w:rFonts w:ascii="Times New Roman" w:hAnsi="Times New Roman" w:cs="Times New Roman"/>
          <w:noProof/>
          <w:sz w:val="24"/>
          <w:szCs w:val="24"/>
          <w:lang w:val="en-GB"/>
        </w:rPr>
      </w:pPr>
      <w:r w:rsidRPr="001961AA">
        <w:rPr>
          <w:rFonts w:ascii="Times New Roman" w:hAnsi="Times New Roman"/>
          <w:noProof/>
          <w:sz w:val="24"/>
          <w:lang w:val="en-GB"/>
        </w:rPr>
        <w:t>It is expected that no measure in this component does significant harm to environmental objectives within the meaning of Article 17 of Regulation (EU) 2020/852, taking into account the description of the measures and the mitigating steps set out in the recovery and resilience plan in accordance with the DNSH Technical Guidance (2021/C58/01).</w:t>
      </w:r>
    </w:p>
    <w:p w14:paraId="017C029B" w14:textId="77777777" w:rsidR="006A41D9" w:rsidRPr="001961AA" w:rsidRDefault="006A41D9" w:rsidP="00BD6DD1">
      <w:pPr>
        <w:spacing w:before="120" w:after="120"/>
        <w:jc w:val="both"/>
        <w:rPr>
          <w:rFonts w:ascii="Times New Roman" w:hAnsi="Times New Roman" w:cs="Times New Roman"/>
          <w:b/>
          <w:bCs/>
          <w:noProof/>
          <w:sz w:val="24"/>
          <w:szCs w:val="24"/>
          <w:u w:val="single"/>
          <w:lang w:val="en-GB"/>
        </w:rPr>
      </w:pPr>
      <w:r w:rsidRPr="001961AA">
        <w:rPr>
          <w:rFonts w:ascii="Times New Roman" w:hAnsi="Times New Roman"/>
          <w:b/>
          <w:noProof/>
          <w:sz w:val="24"/>
          <w:u w:val="single"/>
          <w:lang w:val="en-GB"/>
        </w:rPr>
        <w:t xml:space="preserve">E.1. </w:t>
      </w:r>
      <w:r w:rsidRPr="001961AA">
        <w:rPr>
          <w:noProof/>
          <w:lang w:val="en-GB"/>
        </w:rPr>
        <w:tab/>
      </w:r>
      <w:r w:rsidRPr="001961AA">
        <w:rPr>
          <w:rFonts w:ascii="Times New Roman" w:hAnsi="Times New Roman"/>
          <w:b/>
          <w:noProof/>
          <w:sz w:val="24"/>
          <w:u w:val="single"/>
          <w:lang w:val="en-GB"/>
        </w:rPr>
        <w:t>Description of the reforms and investments for non-repayable financial support</w:t>
      </w:r>
    </w:p>
    <w:p w14:paraId="0D7CA2B1" w14:textId="77777777" w:rsidR="006A41D9" w:rsidRPr="001961AA" w:rsidRDefault="006A41D9" w:rsidP="00BD6DD1">
      <w:pPr>
        <w:spacing w:before="120" w:after="120" w:line="240" w:lineRule="auto"/>
        <w:jc w:val="both"/>
        <w:rPr>
          <w:rFonts w:ascii="Times New Roman" w:hAnsi="Times New Roman" w:cs="Times New Roman"/>
          <w:noProof/>
          <w:sz w:val="24"/>
          <w:szCs w:val="24"/>
          <w:u w:val="single"/>
          <w:lang w:val="en-GB"/>
        </w:rPr>
      </w:pPr>
      <w:r w:rsidRPr="001961AA">
        <w:rPr>
          <w:rFonts w:ascii="Times New Roman" w:hAnsi="Times New Roman"/>
          <w:noProof/>
          <w:sz w:val="24"/>
          <w:u w:val="single"/>
          <w:lang w:val="en-GB"/>
        </w:rPr>
        <w:t>Investment I-2.04: ‘Digitalisation IPSS’ of the Federal State</w:t>
      </w:r>
    </w:p>
    <w:p w14:paraId="017A247E" w14:textId="77777777" w:rsidR="006A41D9" w:rsidRPr="001961AA" w:rsidRDefault="006A41D9" w:rsidP="00BD6DD1">
      <w:pPr>
        <w:pStyle w:val="Text1"/>
        <w:ind w:left="0"/>
        <w:rPr>
          <w:noProof/>
          <w:szCs w:val="24"/>
          <w:lang w:val="en-GB"/>
        </w:rPr>
      </w:pPr>
      <w:r w:rsidRPr="001961AA">
        <w:rPr>
          <w:noProof/>
          <w:lang w:val="en-GB"/>
        </w:rPr>
        <w:t>This measure aims at the acceleration of the digitalisation of the public social security institutions. The implementation of the investment shall be completed by 31 August 2026. It consists of three sub-measures:</w:t>
      </w:r>
    </w:p>
    <w:p w14:paraId="45D699A0" w14:textId="77777777" w:rsidR="006A41D9" w:rsidRPr="001961AA" w:rsidRDefault="006A41D9" w:rsidP="00BD6DD1">
      <w:pPr>
        <w:pStyle w:val="Text1"/>
        <w:ind w:left="0"/>
        <w:rPr>
          <w:noProof/>
          <w:szCs w:val="24"/>
          <w:u w:val="single"/>
          <w:lang w:val="en-GB"/>
        </w:rPr>
      </w:pPr>
      <w:r w:rsidRPr="001961AA">
        <w:rPr>
          <w:noProof/>
          <w:u w:val="single"/>
          <w:lang w:val="en-GB"/>
        </w:rPr>
        <w:t>Investment I-2.04: ‘Digitalisation IPSS; sub-measure 1: Digital platform for interaction between Social Security and the citizens and businesses’ of the Federal State</w:t>
      </w:r>
    </w:p>
    <w:p w14:paraId="54D078E3" w14:textId="77777777" w:rsidR="006A41D9" w:rsidRPr="001961AA" w:rsidRDefault="006A41D9" w:rsidP="00BD6DD1">
      <w:pPr>
        <w:pStyle w:val="Text1"/>
        <w:ind w:left="0"/>
        <w:rPr>
          <w:noProof/>
          <w:szCs w:val="24"/>
          <w:lang w:val="en-GB"/>
        </w:rPr>
      </w:pPr>
      <w:r w:rsidRPr="001961AA">
        <w:rPr>
          <w:noProof/>
          <w:lang w:val="en-GB"/>
        </w:rPr>
        <w:t>The objective of this investment is to provide better access to social security services for citizens, businesses, including self-employed people, and on the other hand, to achieve performance gains for administrations and businesses. The investment is also intended to make Belgian social security more accessible in a European context. This investment shall make it possible to improve the communication and exchange of data among the institutions of the Member States, in particular in the context of rights clearance, fraud detection, the transmission of digital European forms and the use of a unique European citizen identification number.</w:t>
      </w:r>
    </w:p>
    <w:p w14:paraId="5CBA7D6C" w14:textId="77777777" w:rsidR="006A41D9" w:rsidRPr="001961AA" w:rsidRDefault="006A41D9" w:rsidP="00BD6DD1">
      <w:pPr>
        <w:pStyle w:val="Text1"/>
        <w:ind w:left="0"/>
        <w:rPr>
          <w:noProof/>
          <w:szCs w:val="24"/>
          <w:u w:val="single"/>
          <w:lang w:val="en-GB"/>
        </w:rPr>
      </w:pPr>
      <w:r w:rsidRPr="001961AA">
        <w:rPr>
          <w:noProof/>
          <w:u w:val="single"/>
          <w:lang w:val="en-GB"/>
        </w:rPr>
        <w:t>Investment I-2.04: ‘Digitalisation IPSS, sub-measure 2: Digital account management for each company’ of the Federal State</w:t>
      </w:r>
    </w:p>
    <w:p w14:paraId="796A73B8" w14:textId="77777777" w:rsidR="006A41D9" w:rsidRPr="001961AA" w:rsidRDefault="006A41D9" w:rsidP="00BD6DD1">
      <w:pPr>
        <w:pStyle w:val="Text1"/>
        <w:ind w:left="0"/>
        <w:rPr>
          <w:noProof/>
          <w:szCs w:val="24"/>
          <w:lang w:val="en-GB"/>
        </w:rPr>
      </w:pPr>
      <w:r w:rsidRPr="001961AA">
        <w:rPr>
          <w:noProof/>
          <w:lang w:val="en-GB"/>
        </w:rPr>
        <w:t>This investment shall make it possible to digitalise financial flows between social security and businesses and potential financial intermediaries and service providers. Some of the applications for managing employers’ accounts date from 1979 and are very heterogeneous. This constitutes a technological and human risk. Their overhaul and the establishment of an integrated, efficient, evolving and high-quality information system is essential for the digitalisation and opening up of employers’ accounts.</w:t>
      </w:r>
    </w:p>
    <w:p w14:paraId="03E651BC" w14:textId="77777777" w:rsidR="006A41D9" w:rsidRPr="001961AA" w:rsidRDefault="006A41D9" w:rsidP="00BD6DD1">
      <w:pPr>
        <w:pStyle w:val="Text1"/>
        <w:ind w:left="0"/>
        <w:rPr>
          <w:noProof/>
          <w:szCs w:val="24"/>
          <w:u w:val="single"/>
          <w:lang w:val="en-GB"/>
        </w:rPr>
      </w:pPr>
      <w:r w:rsidRPr="001961AA">
        <w:rPr>
          <w:noProof/>
          <w:u w:val="single"/>
          <w:lang w:val="en-GB"/>
        </w:rPr>
        <w:t>Investment I-2.04: ‘Digitalisation IPSS, sub-measure 3: Improving data quality for automated decision-making and providing an independent social security platform – INASTI’ of the Federal State</w:t>
      </w:r>
    </w:p>
    <w:p w14:paraId="35DA3E63" w14:textId="77777777" w:rsidR="006A41D9" w:rsidRPr="001961AA" w:rsidRDefault="006A41D9" w:rsidP="00BD6DD1">
      <w:pPr>
        <w:pStyle w:val="Text1"/>
        <w:ind w:left="0"/>
        <w:rPr>
          <w:noProof/>
          <w:szCs w:val="24"/>
          <w:lang w:val="en-GB"/>
        </w:rPr>
      </w:pPr>
      <w:r w:rsidRPr="001961AA">
        <w:rPr>
          <w:noProof/>
          <w:lang w:val="en-GB"/>
        </w:rPr>
        <w:t xml:space="preserve">This measure includes the creation of a central database by the </w:t>
      </w:r>
      <w:r w:rsidRPr="001961AA">
        <w:rPr>
          <w:i/>
          <w:noProof/>
          <w:lang w:val="en-GB"/>
        </w:rPr>
        <w:t>Institut national d'assurances sociales pour travailleurs indépendants</w:t>
      </w:r>
      <w:r w:rsidRPr="001961AA">
        <w:rPr>
          <w:noProof/>
          <w:lang w:val="en-GB"/>
        </w:rPr>
        <w:t xml:space="preserve"> (INASTI), the social security institution for self-employed. This database is meant to contain all career data, as well as all rights and obligations of the self-employed. The creation of a single self-employed database is a prerequisite, for INASTI to create the social security platform for self-employed persons. Through such a platform, the provision of interactive electronic forms, automation of processes based on new technologies shall make it possible to record all social security information in the self-employed people’s ‘individual’ file, which may be consulted immediately by stakeholders at any time.</w:t>
      </w:r>
    </w:p>
    <w:p w14:paraId="1098326F" w14:textId="77777777" w:rsidR="006A41D9" w:rsidRPr="001961AA" w:rsidRDefault="006A41D9" w:rsidP="004F212C">
      <w:pPr>
        <w:pStyle w:val="Text1"/>
        <w:pageBreakBefore/>
        <w:ind w:left="0"/>
        <w:rPr>
          <w:noProof/>
          <w:szCs w:val="24"/>
          <w:u w:val="single"/>
          <w:lang w:val="en-GB"/>
        </w:rPr>
      </w:pPr>
      <w:r w:rsidRPr="001961AA">
        <w:rPr>
          <w:noProof/>
          <w:u w:val="single"/>
          <w:lang w:val="en-GB"/>
        </w:rPr>
        <w:t>Investment I–2.05: ‘Digitalisation SPF’ of the Federal State</w:t>
      </w:r>
    </w:p>
    <w:p w14:paraId="39D39754" w14:textId="7BC4D1BA" w:rsidR="006A41D9" w:rsidRPr="001961AA" w:rsidRDefault="006A41D9" w:rsidP="00BD6DD1">
      <w:pPr>
        <w:pStyle w:val="Text1"/>
        <w:ind w:left="0"/>
        <w:rPr>
          <w:noProof/>
          <w:lang w:val="en-GB"/>
        </w:rPr>
      </w:pPr>
      <w:r w:rsidRPr="001961AA">
        <w:rPr>
          <w:noProof/>
          <w:lang w:val="en-GB"/>
        </w:rPr>
        <w:t xml:space="preserve">This measure aims at the acceleration of the digitalisation of different administration services under the Federal State. The implementation of the investment shall be completed by 30 June 2026. It consists of 11 sub-measures. </w:t>
      </w:r>
    </w:p>
    <w:p w14:paraId="0561448A" w14:textId="77777777" w:rsidR="006A41D9" w:rsidRPr="001961AA" w:rsidRDefault="006A41D9" w:rsidP="00BD6DD1">
      <w:pPr>
        <w:pStyle w:val="Text1"/>
        <w:ind w:left="0"/>
        <w:rPr>
          <w:noProof/>
          <w:szCs w:val="24"/>
          <w:u w:val="single"/>
          <w:lang w:val="en-GB"/>
        </w:rPr>
      </w:pPr>
      <w:r w:rsidRPr="001961AA">
        <w:rPr>
          <w:noProof/>
          <w:u w:val="single"/>
          <w:lang w:val="en-GB"/>
        </w:rPr>
        <w:t>Investment I-2.05: ‘Digitalisation SPF, sub-measure 1: Digital transformation of Justice’ of the Federal State</w:t>
      </w:r>
    </w:p>
    <w:p w14:paraId="7F8F1F7F" w14:textId="77777777" w:rsidR="006A41D9" w:rsidRPr="001961AA" w:rsidRDefault="006A41D9" w:rsidP="00BD6DD1">
      <w:pPr>
        <w:pStyle w:val="Text1"/>
        <w:ind w:left="0"/>
        <w:rPr>
          <w:noProof/>
          <w:szCs w:val="24"/>
          <w:lang w:val="en-GB"/>
        </w:rPr>
      </w:pPr>
      <w:r w:rsidRPr="001961AA">
        <w:rPr>
          <w:noProof/>
          <w:lang w:val="en-GB"/>
        </w:rPr>
        <w:t>This sub-measure aims at increasing the overall level of digitalisation of the Belgian judicial system, which is expected to have a positive impact on its overall efficiency. The sub-measure aims at addressing various identified weaknesses, starting from the digitalisation of the internal processes. The focus shall notably be on investments to tackle the current limitations and inefficiencies by improving case management and introducing data collection automation. In addition, the project aims at increasing the rate of online publication of judgments which is currently low and is essential to help citizens and businesses comply with the law.</w:t>
      </w:r>
    </w:p>
    <w:p w14:paraId="30B84246" w14:textId="77777777" w:rsidR="006A41D9" w:rsidRPr="001961AA" w:rsidRDefault="006A41D9" w:rsidP="00BD6DD1">
      <w:pPr>
        <w:pStyle w:val="Text1"/>
        <w:ind w:left="0"/>
        <w:rPr>
          <w:noProof/>
          <w:szCs w:val="24"/>
          <w:u w:val="single"/>
          <w:lang w:val="en-GB"/>
        </w:rPr>
      </w:pPr>
      <w:r w:rsidRPr="001961AA">
        <w:rPr>
          <w:noProof/>
          <w:u w:val="single"/>
          <w:lang w:val="en-GB"/>
        </w:rPr>
        <w:t>Investment I-2.05: ‘Digitalisation SPF, sub-measure 2: Digitalisation of judicial business processes’ of the Federal State</w:t>
      </w:r>
    </w:p>
    <w:p w14:paraId="27D34A14" w14:textId="040A36F2" w:rsidR="006A41D9" w:rsidRPr="001961AA" w:rsidRDefault="2DF8951B" w:rsidP="7D2DE183">
      <w:pPr>
        <w:pStyle w:val="Text1"/>
        <w:ind w:left="0"/>
        <w:rPr>
          <w:noProof/>
          <w:lang w:val="en-GB"/>
        </w:rPr>
      </w:pPr>
      <w:r w:rsidRPr="001961AA">
        <w:rPr>
          <w:noProof/>
          <w:lang w:val="en-GB"/>
        </w:rPr>
        <w:t>This sub-measure aims at responding to the technical and technological challenges faced by the Federal Judicial Police in increasingly complex operations. The sub-measure shall enable the members of the federal judicial police to gain in efficiency: a) in solving problems encountered today such as decryption, 5G, internet research; b) through an increased automation of certain actions and use of artificial intelligence tools; c) through better data management and better understanding of data by the modernisation of forensic centres. The sub-measure includes the purchase of specific software solutions and IT equipment (servers).</w:t>
      </w:r>
    </w:p>
    <w:p w14:paraId="6FCDA227" w14:textId="77777777" w:rsidR="006A41D9" w:rsidRPr="001961AA" w:rsidRDefault="006A41D9" w:rsidP="00BD6DD1">
      <w:pPr>
        <w:pStyle w:val="Text1"/>
        <w:ind w:left="0"/>
        <w:rPr>
          <w:noProof/>
          <w:szCs w:val="24"/>
          <w:u w:val="single"/>
          <w:lang w:val="en-GB"/>
        </w:rPr>
      </w:pPr>
      <w:r w:rsidRPr="001961AA">
        <w:rPr>
          <w:noProof/>
          <w:u w:val="single"/>
          <w:lang w:val="en-GB"/>
        </w:rPr>
        <w:t>Investment I-2.05: ‘Digitalisation SPF, sub-measure 3: Support to the development of digital tools and the increased digitalisation of the foreign trade agency’ of the Federal State</w:t>
      </w:r>
    </w:p>
    <w:p w14:paraId="3ED2978C" w14:textId="77777777" w:rsidR="006A41D9" w:rsidRPr="001961AA" w:rsidRDefault="006A41D9" w:rsidP="00BD6DD1">
      <w:pPr>
        <w:pStyle w:val="Text1"/>
        <w:ind w:left="0"/>
        <w:rPr>
          <w:noProof/>
          <w:szCs w:val="24"/>
          <w:lang w:val="en-GB"/>
        </w:rPr>
      </w:pPr>
      <w:r w:rsidRPr="001961AA">
        <w:rPr>
          <w:noProof/>
          <w:lang w:val="en-GB"/>
        </w:rPr>
        <w:t>This sub-measure aims at supporting trade through the development of digital tools and increased digitalisation of the Foreign Trade Agency to enable a modern and digital transition of federal services in charge of promoting foreign trade. The sub-measure includes the development of a specific application and the corresponding training for 25 users.</w:t>
      </w:r>
    </w:p>
    <w:p w14:paraId="300CA68F" w14:textId="77777777" w:rsidR="006A41D9" w:rsidRPr="001961AA" w:rsidRDefault="006A41D9" w:rsidP="00BD6DD1">
      <w:pPr>
        <w:pStyle w:val="Text1"/>
        <w:ind w:left="0"/>
        <w:rPr>
          <w:noProof/>
          <w:szCs w:val="24"/>
          <w:u w:val="single"/>
          <w:lang w:val="en-GB"/>
        </w:rPr>
      </w:pPr>
      <w:r w:rsidRPr="001961AA">
        <w:rPr>
          <w:noProof/>
          <w:u w:val="single"/>
          <w:lang w:val="en-GB"/>
        </w:rPr>
        <w:t>Investment I-2.05: ‘Digitalisation SPF, sub-measure 4: Crisis management and security’ of the Federal State</w:t>
      </w:r>
    </w:p>
    <w:p w14:paraId="705E8779" w14:textId="77777777" w:rsidR="006A41D9" w:rsidRPr="001961AA" w:rsidRDefault="006A41D9" w:rsidP="00BD6DD1">
      <w:pPr>
        <w:pStyle w:val="Text1"/>
        <w:ind w:left="0"/>
        <w:rPr>
          <w:noProof/>
          <w:szCs w:val="24"/>
          <w:lang w:val="en-GB"/>
        </w:rPr>
      </w:pPr>
      <w:r w:rsidRPr="001961AA">
        <w:rPr>
          <w:noProof/>
          <w:lang w:val="en-GB"/>
        </w:rPr>
        <w:t>This sub-measure aims at ensuring that the National Crisis Centre is provided with the capacity of hosting many partners in safe and secure circumstances, and for them to be able to connect to the digital infrastructure. A highly available and secure communication network among security partners involved in national crisis management needs to be developed to allow the release of confidential and classified information. To this end, the development of a new digital crisis infrastructure, a secure communication network and of a crisis management platform are included in the sub-measure.</w:t>
      </w:r>
    </w:p>
    <w:p w14:paraId="758030C1" w14:textId="77777777" w:rsidR="006A41D9" w:rsidRPr="001961AA" w:rsidRDefault="006A41D9" w:rsidP="00BD6DD1">
      <w:pPr>
        <w:pStyle w:val="Text1"/>
        <w:ind w:left="0"/>
        <w:rPr>
          <w:noProof/>
          <w:szCs w:val="24"/>
          <w:u w:val="single"/>
          <w:lang w:val="en-GB"/>
        </w:rPr>
      </w:pPr>
      <w:r w:rsidRPr="001961AA">
        <w:rPr>
          <w:noProof/>
          <w:u w:val="single"/>
          <w:lang w:val="en-GB"/>
        </w:rPr>
        <w:t>Investment I-2.05: ‘Digitalisation SPF, sub-measure 5: Digital Bozar’ of the Federal State</w:t>
      </w:r>
    </w:p>
    <w:p w14:paraId="51DB496F" w14:textId="77777777" w:rsidR="006A41D9" w:rsidRPr="001961AA" w:rsidRDefault="006A41D9" w:rsidP="00BD6DD1">
      <w:pPr>
        <w:pStyle w:val="Text1"/>
        <w:ind w:left="0"/>
        <w:rPr>
          <w:noProof/>
          <w:szCs w:val="24"/>
          <w:lang w:val="en-GB"/>
        </w:rPr>
      </w:pPr>
      <w:r w:rsidRPr="001961AA">
        <w:rPr>
          <w:noProof/>
          <w:lang w:val="en-GB"/>
        </w:rPr>
        <w:t>This sub-measure aims at adopting digital technologies, which shall make it possible to create 100% digital events (such as music, exhibitions, BOZAR LAB) with the aim of gaining access to new markets for artists and cultural partners and increasing access to culture for people and groups located remotely (including in other countries), or facing mobility challenges (such as elderly people). To this end the sub-measure includes an infrastructure component with the laying of optical fiber between the Royal Theatre of La Monnaie and the Centre for Fine Arts, a cybersecurity component and the deployment of digital activities including IT training for the staff.</w:t>
      </w:r>
    </w:p>
    <w:p w14:paraId="649D01C3" w14:textId="77777777" w:rsidR="006A41D9" w:rsidRPr="001961AA" w:rsidRDefault="006A41D9" w:rsidP="004F212C">
      <w:pPr>
        <w:pStyle w:val="Text1"/>
        <w:pageBreakBefore/>
        <w:ind w:left="0"/>
        <w:rPr>
          <w:noProof/>
          <w:szCs w:val="24"/>
          <w:u w:val="single"/>
          <w:lang w:val="en-GB"/>
        </w:rPr>
      </w:pPr>
      <w:r w:rsidRPr="001961AA">
        <w:rPr>
          <w:noProof/>
          <w:u w:val="single"/>
          <w:lang w:val="en-GB"/>
        </w:rPr>
        <w:t>Investment I-2.05: ‘Digitalisation SPF, sub-measure 6: Digital government for citizens and businesses’ of the Federal State</w:t>
      </w:r>
    </w:p>
    <w:p w14:paraId="765978E4" w14:textId="77777777" w:rsidR="006A41D9" w:rsidRPr="001961AA" w:rsidRDefault="006A41D9" w:rsidP="00BD6DD1">
      <w:pPr>
        <w:pStyle w:val="Text1"/>
        <w:ind w:left="0"/>
        <w:rPr>
          <w:noProof/>
          <w:szCs w:val="24"/>
          <w:lang w:val="en-GB"/>
        </w:rPr>
      </w:pPr>
      <w:r w:rsidRPr="001961AA">
        <w:rPr>
          <w:noProof/>
          <w:lang w:val="en-GB"/>
        </w:rPr>
        <w:t>This sub-measure aims at putting in place a strategy for radical transformation of the current model of related administration services and increase the uptake of digital public services by citizens and businesses. It provides for the development of a digital platform for the interaction between the government and the citizens and businesses.</w:t>
      </w:r>
    </w:p>
    <w:p w14:paraId="4F43C2CF" w14:textId="77777777" w:rsidR="006A41D9" w:rsidRPr="001961AA" w:rsidRDefault="006A41D9" w:rsidP="00BD6DD1">
      <w:pPr>
        <w:pStyle w:val="Text1"/>
        <w:ind w:left="0"/>
        <w:rPr>
          <w:noProof/>
          <w:szCs w:val="24"/>
          <w:u w:val="single"/>
          <w:lang w:val="en-GB"/>
        </w:rPr>
      </w:pPr>
      <w:r w:rsidRPr="001961AA">
        <w:rPr>
          <w:noProof/>
          <w:u w:val="single"/>
          <w:lang w:val="en-GB"/>
        </w:rPr>
        <w:t>Investment I-2.05: ‘Digitalisation SPF, sub-measure 8: Digitalisation of the AFSCA’s services for operators and consumers’ of the Federal State</w:t>
      </w:r>
    </w:p>
    <w:p w14:paraId="75956207" w14:textId="77777777" w:rsidR="006A41D9" w:rsidRPr="001961AA" w:rsidRDefault="006A41D9" w:rsidP="00BD6DD1">
      <w:pPr>
        <w:pStyle w:val="Text1"/>
        <w:ind w:left="0"/>
        <w:rPr>
          <w:noProof/>
          <w:szCs w:val="24"/>
          <w:lang w:val="en-GB"/>
        </w:rPr>
      </w:pPr>
      <w:r w:rsidRPr="001961AA">
        <w:rPr>
          <w:noProof/>
          <w:lang w:val="en-GB"/>
        </w:rPr>
        <w:t>The sub-measure aims to contribute to the digital transformation of the Federal Agency for the Safety of the Food Chain (AFSCA), which is responsible for monitoring the safety of the food chain and the food quality. In particular, this project aims at modernising existing applications and better integrating them to form a coherent system, ensuring rapid, efficient and fully digital processing of files. The project includes the digitalisation of the internal procedures, the development of two applications, one for the operators and one for the consumers and the setting-up of an open data platform.</w:t>
      </w:r>
    </w:p>
    <w:p w14:paraId="7EDE96C8" w14:textId="77777777" w:rsidR="006A41D9" w:rsidRPr="001961AA" w:rsidRDefault="006A41D9" w:rsidP="00BD6DD1">
      <w:pPr>
        <w:pStyle w:val="Text1"/>
        <w:ind w:left="0"/>
        <w:rPr>
          <w:noProof/>
          <w:szCs w:val="24"/>
          <w:u w:val="single"/>
          <w:lang w:val="en-GB"/>
        </w:rPr>
      </w:pPr>
      <w:r w:rsidRPr="001961AA">
        <w:rPr>
          <w:noProof/>
          <w:u w:val="single"/>
          <w:lang w:val="en-GB"/>
        </w:rPr>
        <w:t>Investment I-2.05: ‘Digitalisation SPF, sub-measure 9: Investment in the digitalisation of the SPF Foreign Affairs and the services offered by the SPF Foreign Affairs’ of the Federal State</w:t>
      </w:r>
    </w:p>
    <w:p w14:paraId="3C4B7AC1" w14:textId="77777777" w:rsidR="006A41D9" w:rsidRPr="001961AA" w:rsidRDefault="006A41D9" w:rsidP="00BD6DD1">
      <w:pPr>
        <w:pStyle w:val="Text1"/>
        <w:ind w:left="0"/>
        <w:rPr>
          <w:noProof/>
          <w:szCs w:val="24"/>
          <w:lang w:val="en-GB"/>
        </w:rPr>
      </w:pPr>
      <w:r w:rsidRPr="001961AA">
        <w:rPr>
          <w:noProof/>
          <w:lang w:val="en-GB"/>
        </w:rPr>
        <w:t>This sub-measure aims at modernising the Foreign Affair administration. This project comprises the development of several applications, including the recast of Belpas (the passport applications), which is necessary in view of the evolution and modernisation of passports and biometric data. The sub-measure also involves the development of a new application for the management of the human resources, the digitalisation of the consular registers and the modernisation of the IT network.</w:t>
      </w:r>
    </w:p>
    <w:p w14:paraId="36B120F2" w14:textId="77777777" w:rsidR="006A41D9" w:rsidRPr="001961AA" w:rsidRDefault="006A41D9" w:rsidP="00BD6DD1">
      <w:pPr>
        <w:pStyle w:val="Text1"/>
        <w:ind w:left="0"/>
        <w:rPr>
          <w:noProof/>
          <w:szCs w:val="24"/>
          <w:u w:val="single"/>
          <w:lang w:val="en-GB"/>
        </w:rPr>
      </w:pPr>
      <w:r w:rsidRPr="001961AA">
        <w:rPr>
          <w:noProof/>
          <w:u w:val="single"/>
          <w:lang w:val="en-GB"/>
        </w:rPr>
        <w:t>Investment I-2.05: ‘Digitalisation SPF, sub-measure 10: Single Digital Gateway’ of the Federal State</w:t>
      </w:r>
    </w:p>
    <w:p w14:paraId="4449ADCB" w14:textId="77777777" w:rsidR="006A41D9" w:rsidRPr="001961AA" w:rsidRDefault="006A41D9" w:rsidP="00BD6DD1">
      <w:pPr>
        <w:pStyle w:val="Text1"/>
        <w:ind w:left="0"/>
        <w:rPr>
          <w:noProof/>
          <w:szCs w:val="24"/>
          <w:lang w:val="en-GB"/>
        </w:rPr>
      </w:pPr>
      <w:r w:rsidRPr="001961AA">
        <w:rPr>
          <w:noProof/>
          <w:lang w:val="en-GB"/>
        </w:rPr>
        <w:t>This sub-measure aims at fostering a far-reaching transformation of the Belgian administrative landscape to support the recovery and reap the full potential of the internal market. In order to achieve this, full use of Belgian authentic sources shall be made which consist in databases where genuine data are kept and which serve as a reference for data on persons and legal fact. Such databases allow for simplification since the data may be reused by all the authorities having the appropriate authorizations and no longer shall be requested from citizens or businesses, in application of the ‘Only once’ principle. Furthermore, the sub-measure aims at maximising secure access to public online applications through electronic identification, digitalising back-office functions related to citizens and businesses; extend the Single Digital Gateway core support services to fully user-centric support services by sending questions from citizens and businesses to targeted administrations and by monitoring statistics.</w:t>
      </w:r>
    </w:p>
    <w:p w14:paraId="599D2255" w14:textId="77777777" w:rsidR="006A41D9" w:rsidRPr="001961AA" w:rsidRDefault="006A41D9" w:rsidP="00BD6DD1">
      <w:pPr>
        <w:pStyle w:val="Text1"/>
        <w:ind w:left="0"/>
        <w:rPr>
          <w:noProof/>
          <w:szCs w:val="24"/>
          <w:u w:val="single"/>
          <w:lang w:val="en-GB"/>
        </w:rPr>
      </w:pPr>
      <w:r w:rsidRPr="001961AA">
        <w:rPr>
          <w:noProof/>
          <w:u w:val="single"/>
          <w:lang w:val="en-GB"/>
        </w:rPr>
        <w:t>Investment I-2.05: ‘Digitalisation SPF, sub-measure 11: Unleashing government data’ of the Federal State</w:t>
      </w:r>
    </w:p>
    <w:p w14:paraId="7C3AEBB2" w14:textId="731CB9E2" w:rsidR="006A41D9" w:rsidRPr="001961AA" w:rsidRDefault="006A41D9" w:rsidP="00BD6DD1">
      <w:pPr>
        <w:pStyle w:val="Text1"/>
        <w:ind w:left="0"/>
        <w:rPr>
          <w:noProof/>
          <w:lang w:val="en-GB"/>
        </w:rPr>
      </w:pPr>
      <w:r w:rsidRPr="001961AA">
        <w:rPr>
          <w:noProof/>
          <w:lang w:val="en-GB"/>
        </w:rPr>
        <w:t>This sub-measure aims at reaching a greater overview of available government data through the expansion of a register of authentic sources, increase the availability and reliability of data and make it easier to access them. Furthermore, this sub-measure aims to increase trust in the correct use of data, or maximise its re-use through standardisation and the use of artificial intelligence. This project includes the support for the extension of a number of platforms and the development of new services or expansion of existing services.</w:t>
      </w:r>
    </w:p>
    <w:p w14:paraId="7B70FD2D" w14:textId="77777777" w:rsidR="006A41D9" w:rsidRPr="001961AA" w:rsidRDefault="006A41D9" w:rsidP="00BD6DD1">
      <w:pPr>
        <w:pStyle w:val="Text1"/>
        <w:ind w:left="0"/>
        <w:rPr>
          <w:noProof/>
          <w:szCs w:val="24"/>
          <w:u w:val="single"/>
          <w:lang w:val="en-GB"/>
        </w:rPr>
      </w:pPr>
      <w:r w:rsidRPr="001961AA">
        <w:rPr>
          <w:noProof/>
          <w:u w:val="single"/>
          <w:lang w:val="en-GB"/>
        </w:rPr>
        <w:t>Investment I-2.05: ‘Digitalisation SPF, sub-measure 12: Digitalisation SPF Employment’ of the Federal State</w:t>
      </w:r>
    </w:p>
    <w:p w14:paraId="38ADAEBE" w14:textId="77777777" w:rsidR="006A41D9" w:rsidRPr="001961AA" w:rsidRDefault="006A41D9" w:rsidP="00BD6DD1">
      <w:pPr>
        <w:pStyle w:val="Text1"/>
        <w:ind w:left="0"/>
        <w:rPr>
          <w:noProof/>
          <w:szCs w:val="24"/>
          <w:lang w:val="en-GB"/>
        </w:rPr>
      </w:pPr>
      <w:r w:rsidRPr="001961AA">
        <w:rPr>
          <w:noProof/>
          <w:lang w:val="en-GB"/>
        </w:rPr>
        <w:t>This sub-measure consists of two parts. The first part aims at the creation of a digital individual training account for each person participating to the labour market dynamics. The account shall contain a number of information such as a skills assessment, trainings followed and a formal validation of the acquired competencies. This account shall be accessible to the concerned people. The second part aims at the creation of a database to monitor changes in working conditions. A user-friendly website shall be created for the presentation of the collected data and of the relative reports.</w:t>
      </w:r>
    </w:p>
    <w:p w14:paraId="7A15918D" w14:textId="77777777" w:rsidR="006A41D9" w:rsidRPr="001961AA" w:rsidRDefault="006A41D9" w:rsidP="00BD6DD1">
      <w:pPr>
        <w:pStyle w:val="Text1"/>
        <w:ind w:left="0"/>
        <w:rPr>
          <w:noProof/>
          <w:szCs w:val="24"/>
          <w:u w:val="single"/>
          <w:lang w:val="en-GB"/>
        </w:rPr>
      </w:pPr>
      <w:r w:rsidRPr="001961AA">
        <w:rPr>
          <w:noProof/>
          <w:u w:val="single"/>
          <w:lang w:val="en-GB"/>
        </w:rPr>
        <w:t>Investment I-2.06: ‘eHealth Services and Health Data’ of the Federal State</w:t>
      </w:r>
    </w:p>
    <w:p w14:paraId="7C9326DB" w14:textId="160F4D45" w:rsidR="006A41D9" w:rsidRPr="001961AA" w:rsidRDefault="006A41D9" w:rsidP="00BD6DD1">
      <w:pPr>
        <w:pStyle w:val="Text1"/>
        <w:ind w:left="0"/>
        <w:rPr>
          <w:noProof/>
          <w:lang w:val="en-GB"/>
        </w:rPr>
      </w:pPr>
      <w:r w:rsidRPr="001961AA">
        <w:rPr>
          <w:noProof/>
          <w:lang w:val="en-GB"/>
        </w:rPr>
        <w:t>The objective of this project is to increase the quality, speed of healthcare through digitalisation of health processes . In addition, it also aims at ensuring the administrative and technical means and availability of well anonymised and secure health data. Different actions are foreseen under the project, among which the extension of the e-prescription capabilities, improvement of the quality of prescriptions and cost reductions achieved for instance through Prescription Search Support or the operationalisation of tele-monitoring. The implementation of the investment shall be completed by 31 December 2025.</w:t>
      </w:r>
    </w:p>
    <w:p w14:paraId="3446A72E" w14:textId="77777777" w:rsidR="006A41D9" w:rsidRPr="001961AA" w:rsidRDefault="006A41D9" w:rsidP="00BD6DD1">
      <w:pPr>
        <w:pStyle w:val="Text1"/>
        <w:ind w:left="0"/>
        <w:rPr>
          <w:noProof/>
          <w:szCs w:val="24"/>
          <w:u w:val="single"/>
          <w:lang w:val="en-GB"/>
        </w:rPr>
      </w:pPr>
      <w:r w:rsidRPr="001961AA">
        <w:rPr>
          <w:noProof/>
          <w:u w:val="single"/>
          <w:lang w:val="en-GB"/>
        </w:rPr>
        <w:t>Investment I-2.07: ‘Digitalisation of ONE’ of the French Community</w:t>
      </w:r>
    </w:p>
    <w:p w14:paraId="2BF8A6E6" w14:textId="047C9B17" w:rsidR="006A41D9" w:rsidRPr="001961AA" w:rsidRDefault="006A41D9" w:rsidP="00BD6DD1">
      <w:pPr>
        <w:pStyle w:val="Text1"/>
        <w:ind w:left="0"/>
        <w:rPr>
          <w:noProof/>
          <w:szCs w:val="24"/>
          <w:lang w:val="en-GB"/>
        </w:rPr>
      </w:pPr>
      <w:r w:rsidRPr="001961AA">
        <w:rPr>
          <w:noProof/>
          <w:lang w:val="en-GB"/>
        </w:rPr>
        <w:t>The measure aims to contribute to the digital transformation of the Office de la Naissance et de l’Enfance (ONE), a public reference body in the French Community for all matters relating to childhood, child policies, mother and child protection, medico-social support for the (future) mother and child, childcare outside their family environment and support for parenthood. The implementation of the investment shall be completed by 31 December 2025.</w:t>
      </w:r>
    </w:p>
    <w:p w14:paraId="7D278A43" w14:textId="77777777" w:rsidR="006A41D9" w:rsidRPr="001961AA" w:rsidRDefault="006A41D9" w:rsidP="00BD6DD1">
      <w:pPr>
        <w:pStyle w:val="Text1"/>
        <w:ind w:left="0"/>
        <w:rPr>
          <w:noProof/>
          <w:u w:val="single"/>
          <w:lang w:val="en-GB"/>
        </w:rPr>
      </w:pPr>
      <w:r w:rsidRPr="001961AA">
        <w:rPr>
          <w:noProof/>
          <w:u w:val="single"/>
          <w:lang w:val="en-GB"/>
        </w:rPr>
        <w:t>Investment I-2.08: ‘Digitalisation of the cultural and media sector’ of the French Community</w:t>
      </w:r>
    </w:p>
    <w:p w14:paraId="46689F02" w14:textId="7EEFB209" w:rsidR="006A41D9" w:rsidRPr="001961AA" w:rsidRDefault="006A41D9" w:rsidP="00BD6DD1">
      <w:pPr>
        <w:pStyle w:val="Text1"/>
        <w:ind w:left="0"/>
        <w:rPr>
          <w:noProof/>
          <w:szCs w:val="24"/>
          <w:lang w:val="en-GB"/>
        </w:rPr>
      </w:pPr>
      <w:r w:rsidRPr="001961AA">
        <w:rPr>
          <w:noProof/>
          <w:lang w:val="en-GB"/>
        </w:rPr>
        <w:t>The objective of the measure is to equip the Belgian French-speaking media and cultural sectors with tools assisting them in the digitalisation of the audio-visual and audio works and enhancing the visibility of those works. To increase the visibility of the Belgian French-speaking media and cultural sector over the different digital platforms, a set of technological tools shall be developed. The measure includes as well the digitalisation of 37 audio-visual and audio works produced in the French-speaking community. The implementation of the investment shall be completed by 30 June 2026.</w:t>
      </w:r>
    </w:p>
    <w:p w14:paraId="36A8E778" w14:textId="4C8DFC6E" w:rsidR="006A41D9" w:rsidRPr="001961AA" w:rsidRDefault="006A41D9" w:rsidP="00BD6DD1">
      <w:pPr>
        <w:pStyle w:val="Text1"/>
        <w:ind w:left="0"/>
        <w:rPr>
          <w:noProof/>
          <w:szCs w:val="24"/>
          <w:u w:val="single"/>
          <w:lang w:val="en-GB"/>
        </w:rPr>
      </w:pPr>
      <w:r w:rsidRPr="001961AA">
        <w:rPr>
          <w:noProof/>
          <w:u w:val="single"/>
          <w:lang w:val="en-GB"/>
        </w:rPr>
        <w:t>Investment I-2.09: ‘Digitalisation of the Flemish Government’ of the Flemish Region</w:t>
      </w:r>
    </w:p>
    <w:p w14:paraId="08C4B4F9" w14:textId="77777777" w:rsidR="006A41D9" w:rsidRPr="001961AA" w:rsidRDefault="006A41D9" w:rsidP="00BD6DD1">
      <w:pPr>
        <w:pStyle w:val="Text1"/>
        <w:ind w:left="0"/>
        <w:rPr>
          <w:noProof/>
          <w:szCs w:val="24"/>
          <w:lang w:val="en-GB"/>
        </w:rPr>
      </w:pPr>
      <w:r w:rsidRPr="001961AA">
        <w:rPr>
          <w:noProof/>
          <w:lang w:val="en-GB"/>
        </w:rPr>
        <w:t>This measure has four main objectives:</w:t>
      </w:r>
    </w:p>
    <w:p w14:paraId="7D5F67C8" w14:textId="64141BD1" w:rsidR="006A41D9" w:rsidRPr="001961AA" w:rsidRDefault="006A41D9" w:rsidP="00DF5893">
      <w:pPr>
        <w:pStyle w:val="Text1"/>
        <w:numPr>
          <w:ilvl w:val="0"/>
          <w:numId w:val="29"/>
        </w:numPr>
        <w:ind w:left="357" w:hanging="357"/>
        <w:rPr>
          <w:noProof/>
          <w:lang w:val="en-GB"/>
        </w:rPr>
      </w:pPr>
      <w:r w:rsidRPr="001961AA">
        <w:rPr>
          <w:noProof/>
          <w:lang w:val="en-GB"/>
        </w:rPr>
        <w:t xml:space="preserve">automating as many services as possible, notably those involving payments and proactive information, </w:t>
      </w:r>
    </w:p>
    <w:p w14:paraId="501D4DC1" w14:textId="77777777" w:rsidR="006A41D9" w:rsidRPr="001961AA" w:rsidRDefault="006A41D9" w:rsidP="00DF5893">
      <w:pPr>
        <w:pStyle w:val="Text1"/>
        <w:numPr>
          <w:ilvl w:val="0"/>
          <w:numId w:val="29"/>
        </w:numPr>
        <w:ind w:left="357" w:hanging="357"/>
        <w:rPr>
          <w:noProof/>
          <w:szCs w:val="24"/>
          <w:lang w:val="en-GB"/>
        </w:rPr>
      </w:pPr>
      <w:r w:rsidRPr="001961AA">
        <w:rPr>
          <w:noProof/>
          <w:lang w:val="en-GB"/>
        </w:rPr>
        <w:t>enabling quick and effective government decisions with data, where the use of data increasingly feeds government decisions. In this regard, investments are foreseen in the development of sensor data platforms, particularly in the areas of mobility and the environment.</w:t>
      </w:r>
    </w:p>
    <w:p w14:paraId="0F3CC6C0" w14:textId="1CFBF896" w:rsidR="006A41D9" w:rsidRPr="001961AA" w:rsidRDefault="006A41D9" w:rsidP="00DF5893">
      <w:pPr>
        <w:pStyle w:val="Text1"/>
        <w:numPr>
          <w:ilvl w:val="0"/>
          <w:numId w:val="29"/>
        </w:numPr>
        <w:ind w:left="357" w:hanging="357"/>
        <w:rPr>
          <w:noProof/>
          <w:lang w:val="en-GB"/>
        </w:rPr>
      </w:pPr>
      <w:r w:rsidRPr="001961AA">
        <w:rPr>
          <w:noProof/>
          <w:lang w:val="en-GB"/>
        </w:rPr>
        <w:t>ensuring that a reliable basic infrastructure is put in place by strengthening the ICT building blocks and by providing support,</w:t>
      </w:r>
    </w:p>
    <w:p w14:paraId="29A15ADD" w14:textId="77777777" w:rsidR="006A41D9" w:rsidRPr="001961AA" w:rsidRDefault="006A41D9" w:rsidP="00DF5893">
      <w:pPr>
        <w:pStyle w:val="Text1"/>
        <w:numPr>
          <w:ilvl w:val="0"/>
          <w:numId w:val="29"/>
        </w:numPr>
        <w:ind w:left="357" w:hanging="357"/>
        <w:rPr>
          <w:noProof/>
          <w:szCs w:val="24"/>
          <w:lang w:val="en-GB"/>
        </w:rPr>
      </w:pPr>
      <w:r w:rsidRPr="001961AA">
        <w:rPr>
          <w:noProof/>
          <w:lang w:val="en-GB"/>
        </w:rPr>
        <w:t>offering a hybrid future-oriented workplace to each Flemish official.</w:t>
      </w:r>
    </w:p>
    <w:p w14:paraId="41A82B74" w14:textId="048B939C" w:rsidR="006A41D9" w:rsidRPr="001961AA" w:rsidRDefault="006A41D9" w:rsidP="00BD6DD1">
      <w:pPr>
        <w:pStyle w:val="Text1"/>
        <w:ind w:left="0"/>
        <w:rPr>
          <w:noProof/>
          <w:lang w:val="en-GB"/>
        </w:rPr>
      </w:pPr>
      <w:r w:rsidRPr="001961AA">
        <w:rPr>
          <w:noProof/>
          <w:lang w:val="en-GB"/>
        </w:rPr>
        <w:t>The measure shall consist in a number of 11 projects to be realised under the following 4 schemes: 1. Towards public service for citizens, businesses and associations; 2. Enable quick and effective decisions with data; 3. Ensuring a reliable basic infrastructure by strengthening ICT building blocks; and 4. Providing a hybrid workplace of the future for each Flemish official. The implementation of the investment shall be completed by 30 December 2025.</w:t>
      </w:r>
    </w:p>
    <w:p w14:paraId="6B97DE46" w14:textId="77777777" w:rsidR="006A41D9" w:rsidRPr="001961AA" w:rsidRDefault="006A41D9" w:rsidP="00BD6DD1">
      <w:pPr>
        <w:pStyle w:val="Text1"/>
        <w:ind w:left="0"/>
        <w:rPr>
          <w:noProof/>
          <w:szCs w:val="24"/>
          <w:u w:val="single"/>
          <w:lang w:val="en-GB"/>
        </w:rPr>
      </w:pPr>
      <w:r w:rsidRPr="001961AA">
        <w:rPr>
          <w:noProof/>
          <w:u w:val="single"/>
          <w:lang w:val="en-GB"/>
        </w:rPr>
        <w:t>Investment I-2.10: ‘Regional data exchange platform’ of the Brussels-Capital Region</w:t>
      </w:r>
    </w:p>
    <w:p w14:paraId="2919FE4A" w14:textId="17123283" w:rsidR="006A41D9" w:rsidRPr="001961AA" w:rsidRDefault="006A41D9" w:rsidP="00BD6DD1">
      <w:pPr>
        <w:pStyle w:val="Text1"/>
        <w:ind w:left="0"/>
        <w:rPr>
          <w:noProof/>
          <w:szCs w:val="24"/>
          <w:lang w:val="en-GB"/>
        </w:rPr>
      </w:pPr>
      <w:r w:rsidRPr="001961AA">
        <w:rPr>
          <w:noProof/>
          <w:lang w:val="en-GB"/>
        </w:rPr>
        <w:t>The aim of this project is to make use of the data available in the Brussels Region for the benefit of Brussels citizens and businesses by developing a Brussels data exchange platform. In particular, the platform shall facilitate the establishment of urban “digital twins” (virtual representations of a city's physical assets). The implementation of the investment shall be completed by 31 December 2024.</w:t>
      </w:r>
    </w:p>
    <w:p w14:paraId="653D232A" w14:textId="77777777" w:rsidR="006A41D9" w:rsidRPr="001961AA" w:rsidRDefault="006A41D9" w:rsidP="004F212C">
      <w:pPr>
        <w:pStyle w:val="Text1"/>
        <w:pageBreakBefore/>
        <w:ind w:left="0"/>
        <w:rPr>
          <w:noProof/>
          <w:szCs w:val="24"/>
          <w:u w:val="single"/>
          <w:lang w:val="en-GB"/>
        </w:rPr>
      </w:pPr>
      <w:r w:rsidRPr="001961AA">
        <w:rPr>
          <w:noProof/>
          <w:u w:val="single"/>
          <w:lang w:val="en-GB"/>
        </w:rPr>
        <w:t>Investment I-2.11: ‘Digitalisation of citizen-business processes’ of the Brussels-Capital Region</w:t>
      </w:r>
    </w:p>
    <w:p w14:paraId="757AEAA1" w14:textId="77777777" w:rsidR="006A41D9" w:rsidRPr="001961AA" w:rsidRDefault="006A41D9" w:rsidP="00BD6DD1">
      <w:pPr>
        <w:pStyle w:val="Text1"/>
        <w:ind w:left="0"/>
        <w:rPr>
          <w:noProof/>
          <w:szCs w:val="24"/>
          <w:lang w:val="en-GB"/>
        </w:rPr>
      </w:pPr>
      <w:r w:rsidRPr="001961AA">
        <w:rPr>
          <w:noProof/>
          <w:lang w:val="en-GB"/>
        </w:rPr>
        <w:t>The objective of this project is to address the growing need for administrative simplification and to enable citizens and businesses to complete their procedures in a coherent, efficient and transparent manner. In this regard, four projects shall contribute to the objective of administrative simplification:</w:t>
      </w:r>
    </w:p>
    <w:p w14:paraId="078823AB" w14:textId="77777777" w:rsidR="006A41D9" w:rsidRPr="001961AA" w:rsidRDefault="006A41D9" w:rsidP="009E6286">
      <w:pPr>
        <w:pStyle w:val="Text1"/>
        <w:numPr>
          <w:ilvl w:val="0"/>
          <w:numId w:val="45"/>
        </w:numPr>
        <w:tabs>
          <w:tab w:val="left" w:pos="426"/>
        </w:tabs>
        <w:rPr>
          <w:noProof/>
          <w:szCs w:val="24"/>
          <w:lang w:val="en-GB"/>
        </w:rPr>
      </w:pPr>
      <w:r w:rsidRPr="001961AA">
        <w:rPr>
          <w:noProof/>
          <w:lang w:val="en-GB"/>
        </w:rPr>
        <w:t>the implementation of a Brussels Regional Platform for Citizens Relations Management (CIRM),</w:t>
      </w:r>
    </w:p>
    <w:p w14:paraId="0CCD104B" w14:textId="77777777" w:rsidR="006A41D9" w:rsidRPr="001961AA" w:rsidRDefault="006A41D9" w:rsidP="009E6286">
      <w:pPr>
        <w:pStyle w:val="Text1"/>
        <w:numPr>
          <w:ilvl w:val="0"/>
          <w:numId w:val="45"/>
        </w:numPr>
        <w:tabs>
          <w:tab w:val="left" w:pos="426"/>
        </w:tabs>
        <w:rPr>
          <w:noProof/>
          <w:szCs w:val="24"/>
          <w:lang w:val="en-GB"/>
        </w:rPr>
      </w:pPr>
      <w:r w:rsidRPr="001961AA">
        <w:rPr>
          <w:noProof/>
          <w:lang w:val="en-GB"/>
        </w:rPr>
        <w:t>the launch of platform for digitalisation of planning permitting procedures,</w:t>
      </w:r>
    </w:p>
    <w:p w14:paraId="31F6D76D" w14:textId="77777777" w:rsidR="006A41D9" w:rsidRPr="001961AA" w:rsidRDefault="006A41D9" w:rsidP="009E6286">
      <w:pPr>
        <w:pStyle w:val="Text1"/>
        <w:numPr>
          <w:ilvl w:val="0"/>
          <w:numId w:val="45"/>
        </w:numPr>
        <w:tabs>
          <w:tab w:val="left" w:pos="426"/>
        </w:tabs>
        <w:rPr>
          <w:noProof/>
          <w:szCs w:val="24"/>
          <w:lang w:val="en-GB"/>
        </w:rPr>
      </w:pPr>
      <w:r w:rsidRPr="001961AA">
        <w:rPr>
          <w:noProof/>
          <w:lang w:val="en-GB"/>
        </w:rPr>
        <w:t xml:space="preserve">the launch of a platform for the digitalisation of urban information procedures and urban archives. This project shall be accompanied with the reforms and adjustments required for its proper implementation. </w:t>
      </w:r>
    </w:p>
    <w:p w14:paraId="65B343B1" w14:textId="77777777" w:rsidR="006A41D9" w:rsidRPr="001961AA" w:rsidRDefault="006A41D9" w:rsidP="009E6286">
      <w:pPr>
        <w:pStyle w:val="Text1"/>
        <w:numPr>
          <w:ilvl w:val="0"/>
          <w:numId w:val="45"/>
        </w:numPr>
        <w:tabs>
          <w:tab w:val="left" w:pos="426"/>
        </w:tabs>
        <w:rPr>
          <w:noProof/>
          <w:szCs w:val="24"/>
          <w:lang w:val="en-GB"/>
        </w:rPr>
      </w:pPr>
      <w:r w:rsidRPr="001961AA">
        <w:rPr>
          <w:noProof/>
          <w:lang w:val="en-GB"/>
        </w:rPr>
        <w:t>the launch of a platform for the digitalisation of environmental permit procedures.</w:t>
      </w:r>
    </w:p>
    <w:p w14:paraId="2938C800" w14:textId="77777777" w:rsidR="006A41D9" w:rsidRPr="001961AA" w:rsidRDefault="006A41D9" w:rsidP="00BD6DD1">
      <w:pPr>
        <w:pStyle w:val="Text1"/>
        <w:ind w:left="0"/>
        <w:rPr>
          <w:noProof/>
          <w:szCs w:val="24"/>
          <w:lang w:val="en-GB"/>
        </w:rPr>
      </w:pPr>
      <w:r w:rsidRPr="001961AA">
        <w:rPr>
          <w:noProof/>
          <w:lang w:val="en-GB"/>
        </w:rPr>
        <w:t>The implementation of the investment shall be completed by 31 December 2025.</w:t>
      </w:r>
    </w:p>
    <w:p w14:paraId="7317BFCC" w14:textId="605F6810" w:rsidR="006A41D9" w:rsidRPr="001961AA" w:rsidRDefault="006A41D9" w:rsidP="00BD6DD1">
      <w:pPr>
        <w:pStyle w:val="Text1"/>
        <w:ind w:left="0"/>
        <w:rPr>
          <w:noProof/>
          <w:u w:val="single"/>
          <w:lang w:val="en-GB"/>
        </w:rPr>
      </w:pPr>
      <w:r w:rsidRPr="001961AA">
        <w:rPr>
          <w:noProof/>
          <w:u w:val="single"/>
          <w:lang w:val="en-GB"/>
        </w:rPr>
        <w:t>Reform R-2.01: ‘Simplification of administrative procedures: e-government for businesses, simplification of administrative procedures’ of the Federal State</w:t>
      </w:r>
    </w:p>
    <w:p w14:paraId="55471228" w14:textId="6920B67D" w:rsidR="006A41D9" w:rsidRPr="001961AA" w:rsidRDefault="2DF8951B" w:rsidP="00BD6DD1">
      <w:pPr>
        <w:pStyle w:val="Text1"/>
        <w:ind w:left="0"/>
        <w:rPr>
          <w:noProof/>
          <w:lang w:val="en-GB"/>
        </w:rPr>
      </w:pPr>
      <w:r w:rsidRPr="001961AA">
        <w:rPr>
          <w:noProof/>
          <w:lang w:val="en-GB"/>
        </w:rPr>
        <w:t>This reform aims at administrative simplification notably by fully digitalising the procedures for the creation, modification and dissolution of business activities and legal persons. In particular, a cooperation agreement including measures to enable the creation, modification and dissolution of business activities in full electronic format shall enter into force. The new digital system introduced by the cooperation agreement, encompassing three electronic forms for the creation, modification and dissolution of business activities, shall be an alternative administrative channel that shall provide a simplified alternative to the existing forms. Additionally, the laws and royal decrees gradually enabling the online creation, modification and dissolution of legal persons for all legal forms via notaries or via Just-Act shall enter into force. The implementation of the reform shall be completed by 31 December 2023.</w:t>
      </w:r>
    </w:p>
    <w:p w14:paraId="22905B7B" w14:textId="77777777" w:rsidR="006A41D9" w:rsidRPr="001961AA" w:rsidRDefault="006A41D9" w:rsidP="00BD6DD1">
      <w:pPr>
        <w:pStyle w:val="Text1"/>
        <w:ind w:left="0"/>
        <w:rPr>
          <w:noProof/>
          <w:szCs w:val="24"/>
          <w:u w:val="single"/>
          <w:lang w:val="en-GB"/>
        </w:rPr>
      </w:pPr>
      <w:r w:rsidRPr="001961AA">
        <w:rPr>
          <w:noProof/>
          <w:u w:val="single"/>
          <w:lang w:val="en-GB"/>
        </w:rPr>
        <w:t>Reform R-2.02: ‘E-government: Tendering procedure’ of the Federal State</w:t>
      </w:r>
    </w:p>
    <w:p w14:paraId="6485D315" w14:textId="77777777" w:rsidR="00022287" w:rsidRPr="001961AA" w:rsidRDefault="006A41D9" w:rsidP="00BD6DD1">
      <w:pPr>
        <w:pStyle w:val="Text1"/>
        <w:ind w:left="0"/>
        <w:rPr>
          <w:noProof/>
          <w:szCs w:val="24"/>
          <w:lang w:val="en-GB"/>
        </w:rPr>
        <w:sectPr w:rsidR="00022287" w:rsidRPr="001961AA" w:rsidSect="00022287">
          <w:headerReference w:type="even" r:id="rId66"/>
          <w:headerReference w:type="default" r:id="rId67"/>
          <w:footerReference w:type="even" r:id="rId68"/>
          <w:footerReference w:type="default" r:id="rId69"/>
          <w:headerReference w:type="first" r:id="rId70"/>
          <w:footerReference w:type="first" r:id="rId71"/>
          <w:pgSz w:w="11907" w:h="16839"/>
          <w:pgMar w:top="1134" w:right="1134" w:bottom="1134" w:left="1134" w:header="567" w:footer="567" w:gutter="0"/>
          <w:cols w:space="720"/>
          <w:docGrid w:linePitch="360"/>
        </w:sectPr>
      </w:pPr>
      <w:r w:rsidRPr="001961AA">
        <w:rPr>
          <w:noProof/>
          <w:lang w:val="en-GB"/>
        </w:rPr>
        <w:t>This reform consists of a coherent set of measure to expand the use of eProcurement including a new Royal Decree, which shall adapt the federal regulatory framework for conducting tendering procedures in order to facilitate the ease of use of the new and improved e-government platform. The implementation of the reform shall be completed by 31 December 2024.</w:t>
      </w:r>
    </w:p>
    <w:p w14:paraId="28B98CCE" w14:textId="77777777" w:rsidR="006A41D9" w:rsidRPr="001961AA" w:rsidRDefault="006A41D9" w:rsidP="00BD6DD1">
      <w:pPr>
        <w:pStyle w:val="Text1"/>
        <w:ind w:left="0"/>
        <w:rPr>
          <w:b/>
          <w:bCs/>
          <w:noProof/>
          <w:szCs w:val="24"/>
          <w:u w:val="single"/>
          <w:lang w:val="en-GB"/>
        </w:rPr>
      </w:pPr>
      <w:r w:rsidRPr="001961AA">
        <w:rPr>
          <w:b/>
          <w:noProof/>
          <w:u w:val="single"/>
          <w:lang w:val="en-GB"/>
        </w:rPr>
        <w:t xml:space="preserve">E.2. </w:t>
      </w:r>
      <w:r w:rsidRPr="001961AA">
        <w:rPr>
          <w:noProof/>
          <w:lang w:val="en-GB"/>
        </w:rPr>
        <w:tab/>
      </w:r>
      <w:r w:rsidRPr="001961AA">
        <w:rPr>
          <w:b/>
          <w:noProof/>
          <w:u w:val="single"/>
          <w:lang w:val="en-GB"/>
        </w:rPr>
        <w:t>Milestones, targets, indicators, and timetable for monitoring and implementation for non-repayable financial support</w:t>
      </w:r>
    </w:p>
    <w:tbl>
      <w:tblPr>
        <w:tblW w:w="14895" w:type="dxa"/>
        <w:tblInd w:w="-318" w:type="dxa"/>
        <w:tblLayout w:type="fixed"/>
        <w:tblLook w:val="04A0" w:firstRow="1" w:lastRow="0" w:firstColumn="1" w:lastColumn="0" w:noHBand="0" w:noVBand="1"/>
      </w:tblPr>
      <w:tblGrid>
        <w:gridCol w:w="667"/>
        <w:gridCol w:w="1446"/>
        <w:gridCol w:w="1080"/>
        <w:gridCol w:w="1560"/>
        <w:gridCol w:w="1920"/>
        <w:gridCol w:w="1440"/>
        <w:gridCol w:w="1080"/>
        <w:gridCol w:w="840"/>
        <w:gridCol w:w="960"/>
        <w:gridCol w:w="720"/>
        <w:gridCol w:w="3182"/>
      </w:tblGrid>
      <w:tr w:rsidR="00292220" w:rsidRPr="001961AA" w14:paraId="1B42ADCD" w14:textId="77777777" w:rsidTr="00BF38A0">
        <w:trPr>
          <w:trHeight w:val="927"/>
          <w:tblHeader/>
        </w:trPr>
        <w:tc>
          <w:tcPr>
            <w:tcW w:w="667"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FBFC576" w14:textId="5AB36C15" w:rsidR="006A41D9" w:rsidRPr="001961AA" w:rsidRDefault="006A41D9" w:rsidP="00BD6DD1">
            <w:pPr>
              <w:spacing w:after="0"/>
              <w:jc w:val="center"/>
              <w:rPr>
                <w:rFonts w:ascii="Times New Roman" w:eastAsia="Times New Roman" w:hAnsi="Times New Roman" w:cs="Times New Roman"/>
                <w:b/>
                <w:bCs/>
                <w:noProof/>
                <w:sz w:val="20"/>
                <w:szCs w:val="20"/>
                <w:lang w:val="en-GB"/>
              </w:rPr>
            </w:pPr>
            <w:r w:rsidRPr="001961AA">
              <w:rPr>
                <w:rFonts w:ascii="Times New Roman" w:hAnsi="Times New Roman"/>
                <w:b/>
                <w:noProof/>
                <w:sz w:val="20"/>
                <w:lang w:val="en-GB"/>
              </w:rPr>
              <w:t>SeqNb.</w:t>
            </w:r>
          </w:p>
        </w:tc>
        <w:tc>
          <w:tcPr>
            <w:tcW w:w="144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B072B04" w14:textId="77777777" w:rsidR="006A41D9" w:rsidRPr="001961AA" w:rsidRDefault="006A41D9" w:rsidP="00BD6DD1">
            <w:pPr>
              <w:spacing w:after="0"/>
              <w:jc w:val="center"/>
              <w:rPr>
                <w:rFonts w:ascii="Times New Roman" w:eastAsia="Times New Roman" w:hAnsi="Times New Roman" w:cs="Times New Roman"/>
                <w:b/>
                <w:bCs/>
                <w:noProof/>
                <w:sz w:val="20"/>
                <w:szCs w:val="20"/>
                <w:lang w:val="en-GB"/>
              </w:rPr>
            </w:pPr>
            <w:r w:rsidRPr="001961AA">
              <w:rPr>
                <w:rFonts w:ascii="Times New Roman" w:hAnsi="Times New Roman"/>
                <w:b/>
                <w:noProof/>
                <w:sz w:val="20"/>
                <w:lang w:val="en-GB"/>
              </w:rPr>
              <w:t>Related Measure (Reform or Investment)</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4D0A08B3" w14:textId="77777777" w:rsidR="006A41D9" w:rsidRPr="001961AA" w:rsidRDefault="006A41D9" w:rsidP="00BD6DD1">
            <w:pPr>
              <w:spacing w:after="0"/>
              <w:jc w:val="center"/>
              <w:rPr>
                <w:rFonts w:ascii="Times New Roman" w:eastAsia="Times New Roman" w:hAnsi="Times New Roman" w:cs="Times New Roman"/>
                <w:b/>
                <w:bCs/>
                <w:noProof/>
                <w:sz w:val="20"/>
                <w:szCs w:val="20"/>
                <w:lang w:val="en-GB"/>
              </w:rPr>
            </w:pPr>
            <w:r w:rsidRPr="001961AA">
              <w:rPr>
                <w:rFonts w:ascii="Times New Roman" w:hAnsi="Times New Roman"/>
                <w:b/>
                <w:noProof/>
                <w:sz w:val="20"/>
                <w:lang w:val="en-GB"/>
              </w:rPr>
              <w:t>Milestone / Target</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4FCA979" w14:textId="77777777" w:rsidR="006A41D9" w:rsidRPr="001961AA" w:rsidRDefault="006A41D9" w:rsidP="00BD6DD1">
            <w:pPr>
              <w:spacing w:after="0"/>
              <w:jc w:val="center"/>
              <w:rPr>
                <w:rFonts w:ascii="Times New Roman" w:eastAsia="Times New Roman" w:hAnsi="Times New Roman" w:cs="Times New Roman"/>
                <w:b/>
                <w:bCs/>
                <w:noProof/>
                <w:sz w:val="20"/>
                <w:szCs w:val="20"/>
                <w:lang w:val="en-GB"/>
              </w:rPr>
            </w:pPr>
            <w:r w:rsidRPr="001961AA">
              <w:rPr>
                <w:rFonts w:ascii="Times New Roman" w:hAnsi="Times New Roman"/>
                <w:b/>
                <w:noProof/>
                <w:sz w:val="20"/>
                <w:lang w:val="en-GB"/>
              </w:rPr>
              <w:t>Name</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BFE56C2" w14:textId="77777777" w:rsidR="006A41D9" w:rsidRPr="001961AA" w:rsidRDefault="006A41D9" w:rsidP="00BD6DD1">
            <w:pPr>
              <w:spacing w:after="0"/>
              <w:jc w:val="center"/>
              <w:rPr>
                <w:rFonts w:ascii="Times New Roman" w:eastAsia="Times New Roman" w:hAnsi="Times New Roman" w:cs="Times New Roman"/>
                <w:b/>
                <w:bCs/>
                <w:noProof/>
                <w:sz w:val="20"/>
                <w:szCs w:val="20"/>
                <w:lang w:val="en-GB"/>
              </w:rPr>
            </w:pPr>
            <w:r w:rsidRPr="001961AA">
              <w:rPr>
                <w:rFonts w:ascii="Times New Roman" w:hAnsi="Times New Roman"/>
                <w:b/>
                <w:noProof/>
                <w:sz w:val="20"/>
                <w:lang w:val="en-GB"/>
              </w:rPr>
              <w:t xml:space="preserve">Qualitative indicators </w:t>
            </w:r>
            <w:r w:rsidRPr="001961AA">
              <w:rPr>
                <w:noProof/>
                <w:lang w:val="en-GB"/>
              </w:rPr>
              <w:t xml:space="preserve"> </w:t>
            </w:r>
            <w:r w:rsidRPr="001961AA">
              <w:rPr>
                <w:noProof/>
                <w:lang w:val="en-GB"/>
              </w:rPr>
              <w:br/>
            </w:r>
            <w:r w:rsidRPr="001961AA">
              <w:rPr>
                <w:rFonts w:ascii="Times New Roman" w:hAnsi="Times New Roman"/>
                <w:b/>
                <w:noProof/>
                <w:sz w:val="20"/>
                <w:lang w:val="en-GB"/>
              </w:rPr>
              <w:t>(for milestones)</w:t>
            </w:r>
          </w:p>
        </w:tc>
        <w:tc>
          <w:tcPr>
            <w:tcW w:w="3360" w:type="dxa"/>
            <w:gridSpan w:val="3"/>
            <w:tcBorders>
              <w:top w:val="single" w:sz="4" w:space="0" w:color="auto"/>
              <w:left w:val="single" w:sz="4" w:space="0" w:color="auto"/>
              <w:bottom w:val="single" w:sz="4" w:space="0" w:color="auto"/>
              <w:right w:val="single" w:sz="4" w:space="0" w:color="auto"/>
            </w:tcBorders>
            <w:shd w:val="clear" w:color="auto" w:fill="BDD7EE"/>
            <w:vAlign w:val="center"/>
            <w:hideMark/>
          </w:tcPr>
          <w:p w14:paraId="2753151D" w14:textId="77777777" w:rsidR="006A41D9" w:rsidRPr="001961AA" w:rsidRDefault="006A41D9" w:rsidP="00BD6DD1">
            <w:pPr>
              <w:spacing w:after="0"/>
              <w:jc w:val="center"/>
              <w:rPr>
                <w:rFonts w:ascii="Times New Roman" w:eastAsia="Times New Roman" w:hAnsi="Times New Roman" w:cs="Times New Roman"/>
                <w:b/>
                <w:bCs/>
                <w:noProof/>
                <w:sz w:val="20"/>
                <w:szCs w:val="20"/>
                <w:lang w:val="en-GB"/>
              </w:rPr>
            </w:pPr>
            <w:r w:rsidRPr="001961AA">
              <w:rPr>
                <w:rFonts w:ascii="Times New Roman" w:hAnsi="Times New Roman"/>
                <w:b/>
                <w:noProof/>
                <w:sz w:val="20"/>
                <w:lang w:val="en-GB"/>
              </w:rPr>
              <w:t xml:space="preserve">Quantitative indicators </w:t>
            </w:r>
            <w:r w:rsidRPr="001961AA">
              <w:rPr>
                <w:noProof/>
                <w:lang w:val="en-GB"/>
              </w:rPr>
              <w:t xml:space="preserve"> </w:t>
            </w:r>
            <w:r w:rsidRPr="001961AA">
              <w:rPr>
                <w:noProof/>
                <w:lang w:val="en-GB"/>
              </w:rPr>
              <w:br/>
            </w:r>
            <w:r w:rsidRPr="001961AA">
              <w:rPr>
                <w:rFonts w:ascii="Times New Roman" w:hAnsi="Times New Roman"/>
                <w:b/>
                <w:noProof/>
                <w:sz w:val="20"/>
                <w:lang w:val="en-GB"/>
              </w:rPr>
              <w:t>(for targets)</w:t>
            </w:r>
          </w:p>
        </w:tc>
        <w:tc>
          <w:tcPr>
            <w:tcW w:w="1680" w:type="dxa"/>
            <w:gridSpan w:val="2"/>
            <w:tcBorders>
              <w:top w:val="single" w:sz="4" w:space="0" w:color="auto"/>
              <w:left w:val="nil"/>
              <w:bottom w:val="single" w:sz="4" w:space="0" w:color="auto"/>
              <w:right w:val="single" w:sz="4" w:space="0" w:color="auto"/>
            </w:tcBorders>
            <w:shd w:val="clear" w:color="auto" w:fill="BDD7EE"/>
            <w:vAlign w:val="center"/>
            <w:hideMark/>
          </w:tcPr>
          <w:p w14:paraId="395DBBB3" w14:textId="77777777" w:rsidR="006A41D9" w:rsidRPr="001961AA" w:rsidRDefault="006A41D9" w:rsidP="00BD6DD1">
            <w:pPr>
              <w:spacing w:after="0"/>
              <w:jc w:val="center"/>
              <w:rPr>
                <w:rFonts w:ascii="Times New Roman" w:eastAsia="Times New Roman" w:hAnsi="Times New Roman" w:cs="Times New Roman"/>
                <w:b/>
                <w:bCs/>
                <w:noProof/>
                <w:sz w:val="20"/>
                <w:szCs w:val="20"/>
                <w:lang w:val="en-GB"/>
              </w:rPr>
            </w:pPr>
            <w:r w:rsidRPr="001961AA">
              <w:rPr>
                <w:rFonts w:ascii="Times New Roman" w:hAnsi="Times New Roman"/>
                <w:b/>
                <w:noProof/>
                <w:sz w:val="20"/>
                <w:lang w:val="en-GB"/>
              </w:rPr>
              <w:t xml:space="preserve">Indicative timeline for completion </w:t>
            </w:r>
          </w:p>
        </w:tc>
        <w:tc>
          <w:tcPr>
            <w:tcW w:w="3182"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5BF6846A" w14:textId="77777777" w:rsidR="006A41D9" w:rsidRPr="001961AA" w:rsidRDefault="006A41D9" w:rsidP="00BD6DD1">
            <w:pPr>
              <w:spacing w:after="0"/>
              <w:jc w:val="center"/>
              <w:rPr>
                <w:rFonts w:ascii="Times New Roman" w:eastAsia="Times New Roman" w:hAnsi="Times New Roman" w:cs="Times New Roman"/>
                <w:b/>
                <w:bCs/>
                <w:noProof/>
                <w:sz w:val="20"/>
                <w:szCs w:val="20"/>
                <w:lang w:val="en-GB"/>
              </w:rPr>
            </w:pPr>
            <w:r w:rsidRPr="001961AA">
              <w:rPr>
                <w:rFonts w:ascii="Times New Roman" w:hAnsi="Times New Roman"/>
                <w:b/>
                <w:noProof/>
                <w:sz w:val="20"/>
                <w:lang w:val="en-GB"/>
              </w:rPr>
              <w:t>Description of each milestone and target</w:t>
            </w:r>
          </w:p>
        </w:tc>
      </w:tr>
      <w:tr w:rsidR="00BF38A0" w:rsidRPr="001961AA" w14:paraId="573092C2" w14:textId="77777777" w:rsidTr="00BF38A0">
        <w:trPr>
          <w:trHeight w:val="1013"/>
        </w:trPr>
        <w:tc>
          <w:tcPr>
            <w:tcW w:w="667" w:type="dxa"/>
            <w:vMerge/>
            <w:tcBorders>
              <w:left w:val="single" w:sz="4" w:space="0" w:color="auto"/>
              <w:right w:val="single" w:sz="4" w:space="0" w:color="auto"/>
            </w:tcBorders>
            <w:vAlign w:val="center"/>
            <w:hideMark/>
          </w:tcPr>
          <w:p w14:paraId="68125C66" w14:textId="77777777" w:rsidR="006A41D9" w:rsidRPr="001961AA" w:rsidRDefault="006A41D9" w:rsidP="00BD6DD1">
            <w:pPr>
              <w:spacing w:after="0"/>
              <w:rPr>
                <w:rFonts w:ascii="Times New Roman" w:eastAsia="Times New Roman" w:hAnsi="Times New Roman" w:cs="Times New Roman"/>
                <w:b/>
                <w:bCs/>
                <w:noProof/>
                <w:lang w:val="en-GB" w:eastAsia="en-GB"/>
              </w:rPr>
            </w:pPr>
          </w:p>
        </w:tc>
        <w:tc>
          <w:tcPr>
            <w:tcW w:w="1446" w:type="dxa"/>
            <w:vMerge/>
            <w:tcBorders>
              <w:left w:val="single" w:sz="4" w:space="0" w:color="auto"/>
              <w:right w:val="single" w:sz="4" w:space="0" w:color="auto"/>
            </w:tcBorders>
            <w:vAlign w:val="center"/>
            <w:hideMark/>
          </w:tcPr>
          <w:p w14:paraId="236FA779" w14:textId="77777777" w:rsidR="006A41D9" w:rsidRPr="001961AA" w:rsidRDefault="006A41D9" w:rsidP="00BD6DD1">
            <w:pPr>
              <w:spacing w:after="0"/>
              <w:rPr>
                <w:rFonts w:ascii="Times New Roman" w:eastAsia="Times New Roman" w:hAnsi="Times New Roman" w:cs="Times New Roman"/>
                <w:b/>
                <w:bCs/>
                <w:noProof/>
                <w:szCs w:val="24"/>
                <w:lang w:val="en-GB" w:eastAsia="en-GB"/>
              </w:rPr>
            </w:pPr>
          </w:p>
        </w:tc>
        <w:tc>
          <w:tcPr>
            <w:tcW w:w="1080" w:type="dxa"/>
            <w:vMerge/>
            <w:tcBorders>
              <w:left w:val="single" w:sz="4" w:space="0" w:color="auto"/>
              <w:right w:val="single" w:sz="4" w:space="0" w:color="auto"/>
            </w:tcBorders>
            <w:vAlign w:val="center"/>
            <w:hideMark/>
          </w:tcPr>
          <w:p w14:paraId="0D788E73" w14:textId="77777777" w:rsidR="006A41D9" w:rsidRPr="001961AA" w:rsidRDefault="006A41D9" w:rsidP="00BD6DD1">
            <w:pPr>
              <w:spacing w:after="0"/>
              <w:rPr>
                <w:rFonts w:ascii="Times New Roman" w:eastAsia="Times New Roman" w:hAnsi="Times New Roman" w:cs="Times New Roman"/>
                <w:b/>
                <w:bCs/>
                <w:noProof/>
                <w:szCs w:val="24"/>
                <w:lang w:val="en-GB" w:eastAsia="en-GB"/>
              </w:rPr>
            </w:pPr>
          </w:p>
        </w:tc>
        <w:tc>
          <w:tcPr>
            <w:tcW w:w="1560" w:type="dxa"/>
            <w:vMerge/>
            <w:tcBorders>
              <w:left w:val="single" w:sz="4" w:space="0" w:color="auto"/>
              <w:right w:val="single" w:sz="4" w:space="0" w:color="auto"/>
            </w:tcBorders>
            <w:vAlign w:val="center"/>
            <w:hideMark/>
          </w:tcPr>
          <w:p w14:paraId="64FD7BCF" w14:textId="77777777" w:rsidR="006A41D9" w:rsidRPr="001961AA" w:rsidRDefault="006A41D9" w:rsidP="00BD6DD1">
            <w:pPr>
              <w:spacing w:after="0"/>
              <w:rPr>
                <w:rFonts w:ascii="Times New Roman" w:eastAsia="Times New Roman" w:hAnsi="Times New Roman" w:cs="Times New Roman"/>
                <w:b/>
                <w:bCs/>
                <w:noProof/>
                <w:szCs w:val="24"/>
                <w:lang w:val="en-GB" w:eastAsia="en-GB"/>
              </w:rPr>
            </w:pPr>
          </w:p>
        </w:tc>
        <w:tc>
          <w:tcPr>
            <w:tcW w:w="1920" w:type="dxa"/>
            <w:vMerge/>
            <w:tcBorders>
              <w:left w:val="single" w:sz="4" w:space="0" w:color="auto"/>
            </w:tcBorders>
            <w:vAlign w:val="center"/>
            <w:hideMark/>
          </w:tcPr>
          <w:p w14:paraId="6B83B094" w14:textId="77777777" w:rsidR="006A41D9" w:rsidRPr="001961AA" w:rsidRDefault="006A41D9" w:rsidP="00BD6DD1">
            <w:pPr>
              <w:spacing w:after="0"/>
              <w:rPr>
                <w:rFonts w:ascii="Times New Roman" w:eastAsia="Times New Roman" w:hAnsi="Times New Roman" w:cs="Times New Roman"/>
                <w:b/>
                <w:bCs/>
                <w:noProof/>
                <w:szCs w:val="24"/>
                <w:lang w:val="en-GB" w:eastAsia="en-GB"/>
              </w:rPr>
            </w:pPr>
          </w:p>
        </w:tc>
        <w:tc>
          <w:tcPr>
            <w:tcW w:w="1440"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361A0BB0" w14:textId="77777777" w:rsidR="006A41D9" w:rsidRPr="001961AA" w:rsidRDefault="006A41D9" w:rsidP="00BD6DD1">
            <w:pPr>
              <w:spacing w:after="0"/>
              <w:jc w:val="center"/>
              <w:rPr>
                <w:rFonts w:ascii="Times New Roman" w:eastAsia="Times New Roman" w:hAnsi="Times New Roman" w:cs="Times New Roman"/>
                <w:b/>
                <w:noProof/>
                <w:sz w:val="20"/>
                <w:szCs w:val="20"/>
                <w:lang w:val="en-GB"/>
              </w:rPr>
            </w:pPr>
            <w:r w:rsidRPr="001961AA">
              <w:rPr>
                <w:rFonts w:ascii="Times New Roman" w:hAnsi="Times New Roman"/>
                <w:b/>
                <w:noProof/>
                <w:sz w:val="20"/>
                <w:lang w:val="en-GB"/>
              </w:rPr>
              <w:t>Unit of measure</w:t>
            </w:r>
          </w:p>
        </w:tc>
        <w:tc>
          <w:tcPr>
            <w:tcW w:w="1080" w:type="dxa"/>
            <w:tcBorders>
              <w:top w:val="single" w:sz="4" w:space="0" w:color="auto"/>
              <w:left w:val="nil"/>
              <w:bottom w:val="single" w:sz="4" w:space="0" w:color="auto"/>
              <w:right w:val="single" w:sz="4" w:space="0" w:color="auto"/>
            </w:tcBorders>
            <w:shd w:val="clear" w:color="auto" w:fill="BDD7EE"/>
            <w:vAlign w:val="center"/>
            <w:hideMark/>
          </w:tcPr>
          <w:p w14:paraId="203F2466" w14:textId="77777777" w:rsidR="006A41D9" w:rsidRPr="001961AA" w:rsidRDefault="006A41D9" w:rsidP="00BD6DD1">
            <w:pPr>
              <w:spacing w:after="0"/>
              <w:jc w:val="center"/>
              <w:rPr>
                <w:rFonts w:ascii="Times New Roman" w:eastAsia="Times New Roman" w:hAnsi="Times New Roman" w:cs="Times New Roman"/>
                <w:b/>
                <w:noProof/>
                <w:sz w:val="20"/>
                <w:szCs w:val="20"/>
                <w:lang w:val="en-GB"/>
              </w:rPr>
            </w:pPr>
            <w:r w:rsidRPr="001961AA">
              <w:rPr>
                <w:rFonts w:ascii="Times New Roman" w:hAnsi="Times New Roman"/>
                <w:b/>
                <w:noProof/>
                <w:sz w:val="20"/>
                <w:lang w:val="en-GB"/>
              </w:rPr>
              <w:t xml:space="preserve">Baseline </w:t>
            </w:r>
          </w:p>
        </w:tc>
        <w:tc>
          <w:tcPr>
            <w:tcW w:w="840" w:type="dxa"/>
            <w:tcBorders>
              <w:top w:val="single" w:sz="4" w:space="0" w:color="auto"/>
              <w:left w:val="nil"/>
              <w:bottom w:val="single" w:sz="4" w:space="0" w:color="auto"/>
              <w:right w:val="single" w:sz="4" w:space="0" w:color="auto"/>
            </w:tcBorders>
            <w:shd w:val="clear" w:color="auto" w:fill="BDD7EE"/>
            <w:vAlign w:val="center"/>
            <w:hideMark/>
          </w:tcPr>
          <w:p w14:paraId="31641F25" w14:textId="77777777" w:rsidR="006A41D9" w:rsidRPr="001961AA" w:rsidRDefault="006A41D9" w:rsidP="00BD6DD1">
            <w:pPr>
              <w:spacing w:after="0"/>
              <w:jc w:val="center"/>
              <w:rPr>
                <w:rFonts w:ascii="Times New Roman" w:eastAsia="Times New Roman" w:hAnsi="Times New Roman" w:cs="Times New Roman"/>
                <w:b/>
                <w:noProof/>
                <w:sz w:val="20"/>
                <w:szCs w:val="20"/>
                <w:lang w:val="en-GB"/>
              </w:rPr>
            </w:pPr>
            <w:r w:rsidRPr="001961AA">
              <w:rPr>
                <w:rFonts w:ascii="Times New Roman" w:hAnsi="Times New Roman"/>
                <w:b/>
                <w:noProof/>
                <w:sz w:val="20"/>
                <w:lang w:val="en-GB"/>
              </w:rPr>
              <w:t xml:space="preserve">Goal </w:t>
            </w:r>
          </w:p>
        </w:tc>
        <w:tc>
          <w:tcPr>
            <w:tcW w:w="960" w:type="dxa"/>
            <w:tcBorders>
              <w:top w:val="single" w:sz="4" w:space="0" w:color="auto"/>
              <w:left w:val="nil"/>
              <w:bottom w:val="single" w:sz="4" w:space="0" w:color="auto"/>
              <w:right w:val="single" w:sz="4" w:space="0" w:color="auto"/>
            </w:tcBorders>
            <w:shd w:val="clear" w:color="auto" w:fill="BDD7EE"/>
            <w:vAlign w:val="center"/>
            <w:hideMark/>
          </w:tcPr>
          <w:p w14:paraId="690B89DB" w14:textId="77777777" w:rsidR="006A41D9" w:rsidRPr="001961AA" w:rsidRDefault="006A41D9" w:rsidP="00BD6DD1">
            <w:pPr>
              <w:spacing w:after="0"/>
              <w:jc w:val="center"/>
              <w:rPr>
                <w:rFonts w:ascii="Times New Roman" w:eastAsia="Times New Roman" w:hAnsi="Times New Roman" w:cs="Times New Roman"/>
                <w:b/>
                <w:noProof/>
                <w:sz w:val="20"/>
                <w:szCs w:val="20"/>
                <w:lang w:val="en-GB"/>
              </w:rPr>
            </w:pPr>
            <w:r w:rsidRPr="001961AA">
              <w:rPr>
                <w:rFonts w:ascii="Times New Roman" w:hAnsi="Times New Roman"/>
                <w:b/>
                <w:noProof/>
                <w:sz w:val="20"/>
                <w:lang w:val="en-GB"/>
              </w:rPr>
              <w:t>Quarter</w:t>
            </w:r>
          </w:p>
        </w:tc>
        <w:tc>
          <w:tcPr>
            <w:tcW w:w="720" w:type="dxa"/>
            <w:tcBorders>
              <w:top w:val="single" w:sz="4" w:space="0" w:color="auto"/>
              <w:left w:val="nil"/>
              <w:bottom w:val="single" w:sz="4" w:space="0" w:color="auto"/>
              <w:right w:val="single" w:sz="4" w:space="0" w:color="auto"/>
            </w:tcBorders>
            <w:shd w:val="clear" w:color="auto" w:fill="BDD7EE"/>
            <w:vAlign w:val="center"/>
            <w:hideMark/>
          </w:tcPr>
          <w:p w14:paraId="7AB49855" w14:textId="77777777" w:rsidR="006A41D9" w:rsidRPr="001961AA" w:rsidRDefault="006A41D9" w:rsidP="00BD6DD1">
            <w:pPr>
              <w:spacing w:after="0"/>
              <w:jc w:val="center"/>
              <w:rPr>
                <w:rFonts w:ascii="Times New Roman" w:eastAsia="Times New Roman" w:hAnsi="Times New Roman" w:cs="Times New Roman"/>
                <w:b/>
                <w:noProof/>
                <w:sz w:val="20"/>
                <w:szCs w:val="20"/>
                <w:lang w:val="en-GB"/>
              </w:rPr>
            </w:pPr>
            <w:r w:rsidRPr="001961AA">
              <w:rPr>
                <w:rFonts w:ascii="Times New Roman" w:hAnsi="Times New Roman"/>
                <w:b/>
                <w:noProof/>
                <w:sz w:val="20"/>
                <w:lang w:val="en-GB"/>
              </w:rPr>
              <w:t>Year</w:t>
            </w:r>
          </w:p>
        </w:tc>
        <w:tc>
          <w:tcPr>
            <w:tcW w:w="3182" w:type="dxa"/>
            <w:vMerge/>
            <w:tcBorders>
              <w:right w:val="single" w:sz="4" w:space="0" w:color="auto"/>
            </w:tcBorders>
            <w:vAlign w:val="center"/>
            <w:hideMark/>
          </w:tcPr>
          <w:p w14:paraId="7D44E5CB" w14:textId="77777777" w:rsidR="006A41D9" w:rsidRPr="001961AA" w:rsidRDefault="006A41D9" w:rsidP="00BD6DD1">
            <w:pPr>
              <w:spacing w:after="0"/>
              <w:rPr>
                <w:rFonts w:ascii="Times New Roman" w:eastAsia="Times New Roman" w:hAnsi="Times New Roman" w:cs="Times New Roman"/>
                <w:b/>
                <w:bCs/>
                <w:noProof/>
                <w:lang w:val="en-GB" w:eastAsia="en-GB"/>
              </w:rPr>
            </w:pPr>
          </w:p>
        </w:tc>
      </w:tr>
      <w:tr w:rsidR="00BF38A0" w:rsidRPr="001961AA" w14:paraId="24D86FF1" w14:textId="77777777" w:rsidTr="00BF38A0">
        <w:trPr>
          <w:trHeight w:val="309"/>
        </w:trPr>
        <w:tc>
          <w:tcPr>
            <w:tcW w:w="6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D7AF99C"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51</w:t>
            </w:r>
          </w:p>
        </w:tc>
        <w:tc>
          <w:tcPr>
            <w:tcW w:w="1446" w:type="dxa"/>
            <w:tcBorders>
              <w:top w:val="single" w:sz="4" w:space="0" w:color="auto"/>
              <w:left w:val="nil"/>
              <w:bottom w:val="single" w:sz="4" w:space="0" w:color="auto"/>
              <w:right w:val="single" w:sz="4" w:space="0" w:color="auto"/>
            </w:tcBorders>
            <w:shd w:val="clear" w:color="auto" w:fill="C6EFCE"/>
            <w:noWrap/>
            <w:vAlign w:val="center"/>
          </w:tcPr>
          <w:p w14:paraId="71C6CD68"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Digitalisation IPSS (I-2.04) (sub-measure 2)</w:t>
            </w:r>
          </w:p>
        </w:tc>
        <w:tc>
          <w:tcPr>
            <w:tcW w:w="1080" w:type="dxa"/>
            <w:tcBorders>
              <w:top w:val="single" w:sz="4" w:space="0" w:color="auto"/>
              <w:left w:val="nil"/>
              <w:bottom w:val="single" w:sz="4" w:space="0" w:color="auto"/>
              <w:right w:val="single" w:sz="4" w:space="0" w:color="auto"/>
            </w:tcBorders>
            <w:shd w:val="clear" w:color="auto" w:fill="C6EFCE"/>
            <w:noWrap/>
            <w:vAlign w:val="center"/>
          </w:tcPr>
          <w:p w14:paraId="72C2F2CF" w14:textId="4BBC11BA"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T</w:t>
            </w:r>
          </w:p>
        </w:tc>
        <w:tc>
          <w:tcPr>
            <w:tcW w:w="1560" w:type="dxa"/>
            <w:tcBorders>
              <w:top w:val="single" w:sz="4" w:space="0" w:color="auto"/>
              <w:left w:val="nil"/>
              <w:bottom w:val="single" w:sz="4" w:space="0" w:color="auto"/>
              <w:right w:val="single" w:sz="4" w:space="0" w:color="auto"/>
            </w:tcBorders>
            <w:shd w:val="clear" w:color="auto" w:fill="C6EFCE"/>
            <w:noWrap/>
            <w:vAlign w:val="center"/>
          </w:tcPr>
          <w:p w14:paraId="3BE9DBEC"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All Public Institute for Social Security (IPSS) communications are digital and</w:t>
            </w:r>
          </w:p>
          <w:p w14:paraId="15A6B5CB"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data is centralized / consolidated</w:t>
            </w:r>
          </w:p>
        </w:tc>
        <w:tc>
          <w:tcPr>
            <w:tcW w:w="1920" w:type="dxa"/>
            <w:tcBorders>
              <w:top w:val="single" w:sz="4" w:space="0" w:color="auto"/>
              <w:left w:val="nil"/>
              <w:bottom w:val="single" w:sz="4" w:space="0" w:color="auto"/>
              <w:right w:val="single" w:sz="4" w:space="0" w:color="auto"/>
            </w:tcBorders>
            <w:shd w:val="clear" w:color="auto" w:fill="C6EFCE"/>
            <w:noWrap/>
            <w:vAlign w:val="center"/>
          </w:tcPr>
          <w:p w14:paraId="3798E40B" w14:textId="77777777"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1440" w:type="dxa"/>
            <w:tcBorders>
              <w:top w:val="single" w:sz="4" w:space="0" w:color="auto"/>
              <w:left w:val="nil"/>
              <w:bottom w:val="single" w:sz="4" w:space="0" w:color="auto"/>
              <w:right w:val="single" w:sz="4" w:space="0" w:color="auto"/>
            </w:tcBorders>
            <w:shd w:val="clear" w:color="auto" w:fill="C6EFCE"/>
            <w:noWrap/>
            <w:vAlign w:val="center"/>
          </w:tcPr>
          <w:p w14:paraId="7F7155C8"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w:t>
            </w:r>
          </w:p>
        </w:tc>
        <w:tc>
          <w:tcPr>
            <w:tcW w:w="1080" w:type="dxa"/>
            <w:tcBorders>
              <w:top w:val="single" w:sz="4" w:space="0" w:color="auto"/>
              <w:left w:val="nil"/>
              <w:bottom w:val="single" w:sz="4" w:space="0" w:color="auto"/>
              <w:right w:val="single" w:sz="4" w:space="0" w:color="auto"/>
            </w:tcBorders>
            <w:shd w:val="clear" w:color="auto" w:fill="C6EFCE"/>
            <w:noWrap/>
            <w:vAlign w:val="center"/>
          </w:tcPr>
          <w:p w14:paraId="39F4C70D"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0</w:t>
            </w:r>
          </w:p>
        </w:tc>
        <w:tc>
          <w:tcPr>
            <w:tcW w:w="840" w:type="dxa"/>
            <w:tcBorders>
              <w:top w:val="single" w:sz="4" w:space="0" w:color="auto"/>
              <w:left w:val="nil"/>
              <w:bottom w:val="single" w:sz="4" w:space="0" w:color="auto"/>
              <w:right w:val="single" w:sz="4" w:space="0" w:color="auto"/>
            </w:tcBorders>
            <w:shd w:val="clear" w:color="auto" w:fill="C6EFCE"/>
            <w:noWrap/>
            <w:vAlign w:val="center"/>
          </w:tcPr>
          <w:p w14:paraId="7E851F0D"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100</w:t>
            </w:r>
          </w:p>
        </w:tc>
        <w:tc>
          <w:tcPr>
            <w:tcW w:w="960" w:type="dxa"/>
            <w:tcBorders>
              <w:top w:val="single" w:sz="4" w:space="0" w:color="auto"/>
              <w:left w:val="nil"/>
              <w:bottom w:val="single" w:sz="4" w:space="0" w:color="auto"/>
              <w:right w:val="single" w:sz="4" w:space="0" w:color="auto"/>
            </w:tcBorders>
            <w:shd w:val="clear" w:color="auto" w:fill="C6EFCE"/>
            <w:noWrap/>
            <w:vAlign w:val="center"/>
          </w:tcPr>
          <w:p w14:paraId="5405340D"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Q2</w:t>
            </w:r>
          </w:p>
        </w:tc>
        <w:tc>
          <w:tcPr>
            <w:tcW w:w="720" w:type="dxa"/>
            <w:tcBorders>
              <w:top w:val="single" w:sz="4" w:space="0" w:color="auto"/>
              <w:left w:val="nil"/>
              <w:bottom w:val="single" w:sz="4" w:space="0" w:color="auto"/>
              <w:right w:val="single" w:sz="4" w:space="0" w:color="auto"/>
            </w:tcBorders>
            <w:shd w:val="clear" w:color="auto" w:fill="C6EFCE"/>
            <w:noWrap/>
            <w:vAlign w:val="center"/>
          </w:tcPr>
          <w:p w14:paraId="66AABA27"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2024</w:t>
            </w:r>
          </w:p>
        </w:tc>
        <w:tc>
          <w:tcPr>
            <w:tcW w:w="3182" w:type="dxa"/>
            <w:tcBorders>
              <w:top w:val="single" w:sz="4" w:space="0" w:color="auto"/>
              <w:left w:val="nil"/>
              <w:bottom w:val="single" w:sz="4" w:space="0" w:color="auto"/>
              <w:right w:val="single" w:sz="4" w:space="0" w:color="auto"/>
            </w:tcBorders>
            <w:shd w:val="clear" w:color="auto" w:fill="C6EFCE"/>
            <w:noWrap/>
            <w:vAlign w:val="center"/>
          </w:tcPr>
          <w:p w14:paraId="3EB4456E"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100% of communication between Public Institute for Social Security (IPSS) and the employers in terms of the billing/payment are digitalised. The National Social Security Office (RSZ/ONSS) billing system is integrated in the Pan-European Public Procurement On-Line (PEPPOL) network.</w:t>
            </w:r>
          </w:p>
        </w:tc>
      </w:tr>
      <w:tr w:rsidR="00BF38A0" w:rsidRPr="001961AA" w14:paraId="35F632E2" w14:textId="77777777" w:rsidTr="00BF38A0">
        <w:trPr>
          <w:trHeight w:val="309"/>
        </w:trPr>
        <w:tc>
          <w:tcPr>
            <w:tcW w:w="6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E4B485E"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52</w:t>
            </w:r>
          </w:p>
        </w:tc>
        <w:tc>
          <w:tcPr>
            <w:tcW w:w="144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80C9E58" w14:textId="7A264E53"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Digitalisation IPSS (I-2.04)(sub-measure 1)</w:t>
            </w:r>
          </w:p>
        </w:tc>
        <w:tc>
          <w:tcPr>
            <w:tcW w:w="108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7235A14" w14:textId="4D832816"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M</w:t>
            </w:r>
          </w:p>
        </w:tc>
        <w:tc>
          <w:tcPr>
            <w:tcW w:w="156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2438F60"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Digital solution available - web interface (IPSS)</w:t>
            </w:r>
          </w:p>
        </w:tc>
        <w:tc>
          <w:tcPr>
            <w:tcW w:w="192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4E0351D" w14:textId="13F30F7B"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Final version of the IPSS web interface is operational</w:t>
            </w:r>
          </w:p>
        </w:tc>
        <w:tc>
          <w:tcPr>
            <w:tcW w:w="144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86247D8" w14:textId="77777777" w:rsidR="006A41D9" w:rsidRPr="001961AA" w:rsidRDefault="006A41D9" w:rsidP="00BD6DD1">
            <w:pPr>
              <w:spacing w:after="0"/>
              <w:jc w:val="center"/>
              <w:rPr>
                <w:rFonts w:ascii="Times New Roman" w:eastAsia="Times New Roman" w:hAnsi="Times New Roman" w:cs="Times New Roman"/>
                <w:noProof/>
                <w:color w:val="006100"/>
                <w:lang w:val="en-GB" w:eastAsia="en-GB"/>
              </w:rPr>
            </w:pPr>
          </w:p>
        </w:tc>
        <w:tc>
          <w:tcPr>
            <w:tcW w:w="108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D6AE6AF" w14:textId="77777777" w:rsidR="006A41D9" w:rsidRPr="001961AA" w:rsidRDefault="006A41D9" w:rsidP="00BD6DD1">
            <w:pPr>
              <w:spacing w:after="0"/>
              <w:jc w:val="center"/>
              <w:rPr>
                <w:rFonts w:ascii="Times New Roman" w:eastAsia="Times New Roman" w:hAnsi="Times New Roman" w:cs="Times New Roman"/>
                <w:noProof/>
                <w:color w:val="006100"/>
                <w:lang w:val="en-GB" w:eastAsia="en-GB"/>
              </w:rPr>
            </w:pPr>
          </w:p>
        </w:tc>
        <w:tc>
          <w:tcPr>
            <w:tcW w:w="84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920B0C5" w14:textId="77777777" w:rsidR="006A41D9" w:rsidRPr="001961AA" w:rsidRDefault="006A41D9" w:rsidP="00BD6DD1">
            <w:pPr>
              <w:spacing w:after="0"/>
              <w:jc w:val="center"/>
              <w:rPr>
                <w:rFonts w:ascii="Times New Roman" w:eastAsia="Times New Roman" w:hAnsi="Times New Roman" w:cs="Times New Roman"/>
                <w:noProof/>
                <w:color w:val="006100"/>
                <w:lang w:val="en-GB" w:eastAsia="en-GB"/>
              </w:rPr>
            </w:pPr>
          </w:p>
        </w:tc>
        <w:tc>
          <w:tcPr>
            <w:tcW w:w="96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62A76AB"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Q1</w:t>
            </w:r>
          </w:p>
        </w:tc>
        <w:tc>
          <w:tcPr>
            <w:tcW w:w="72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61756B0"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2026</w:t>
            </w:r>
          </w:p>
        </w:tc>
        <w:tc>
          <w:tcPr>
            <w:tcW w:w="3182" w:type="dxa"/>
            <w:tcBorders>
              <w:top w:val="single" w:sz="4" w:space="0" w:color="auto"/>
              <w:left w:val="nil"/>
              <w:bottom w:val="single" w:sz="4" w:space="0" w:color="auto"/>
              <w:right w:val="single" w:sz="4" w:space="0" w:color="auto"/>
            </w:tcBorders>
            <w:shd w:val="clear" w:color="auto" w:fill="C6EFCE"/>
            <w:noWrap/>
            <w:vAlign w:val="center"/>
          </w:tcPr>
          <w:p w14:paraId="08656C3E"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The final user rights management interfaces for the Public Institute for Social Security (IPSS) communications are available. Partners, businesses and citizens have new, efficient interfaces for managing their declarations and communications with social security. Communication channels have been automated and modernized. The management tools for all the new applications developed to manage the user rights and access, to register new employers and to declare new or updated relations between the social security and an employer/employees are in place and allow easy maintenance and facilitated future evolutions. Stakeholders have access to their data which is searchable and open. The new platform is fully operational, modern, maintainable and scalable. The infrastructure is in place to support all the new applications to register new employers and to declare new or updated relations between the social security and an employer/employee.</w:t>
            </w:r>
          </w:p>
        </w:tc>
      </w:tr>
      <w:tr w:rsidR="00BF38A0" w:rsidRPr="001961AA" w14:paraId="08427E43" w14:textId="77777777" w:rsidTr="00BF38A0">
        <w:trPr>
          <w:trHeight w:val="309"/>
        </w:trPr>
        <w:tc>
          <w:tcPr>
            <w:tcW w:w="6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10ACFF5"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53</w:t>
            </w:r>
          </w:p>
        </w:tc>
        <w:tc>
          <w:tcPr>
            <w:tcW w:w="1446" w:type="dxa"/>
            <w:tcBorders>
              <w:top w:val="single" w:sz="4" w:space="0" w:color="auto"/>
              <w:left w:val="nil"/>
              <w:bottom w:val="single" w:sz="4" w:space="0" w:color="auto"/>
              <w:right w:val="single" w:sz="4" w:space="0" w:color="auto"/>
            </w:tcBorders>
            <w:shd w:val="clear" w:color="auto" w:fill="C6EFCE"/>
            <w:noWrap/>
            <w:vAlign w:val="center"/>
          </w:tcPr>
          <w:p w14:paraId="56D8CB42"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Digitalisation IPSS (I-2.04)</w:t>
            </w:r>
          </w:p>
          <w:p w14:paraId="09FFBCA6" w14:textId="210DD889"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(sub-measure 3)</w:t>
            </w:r>
          </w:p>
        </w:tc>
        <w:tc>
          <w:tcPr>
            <w:tcW w:w="1080" w:type="dxa"/>
            <w:tcBorders>
              <w:top w:val="single" w:sz="4" w:space="0" w:color="auto"/>
              <w:left w:val="nil"/>
              <w:bottom w:val="single" w:sz="4" w:space="0" w:color="auto"/>
              <w:right w:val="single" w:sz="4" w:space="0" w:color="auto"/>
            </w:tcBorders>
            <w:shd w:val="clear" w:color="auto" w:fill="C6EFCE"/>
            <w:noWrap/>
            <w:vAlign w:val="center"/>
          </w:tcPr>
          <w:p w14:paraId="32F4D2E5" w14:textId="66597829"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M</w:t>
            </w:r>
          </w:p>
        </w:tc>
        <w:tc>
          <w:tcPr>
            <w:tcW w:w="1560" w:type="dxa"/>
            <w:tcBorders>
              <w:top w:val="single" w:sz="4" w:space="0" w:color="auto"/>
              <w:left w:val="nil"/>
              <w:bottom w:val="single" w:sz="4" w:space="0" w:color="auto"/>
              <w:right w:val="single" w:sz="4" w:space="0" w:color="auto"/>
            </w:tcBorders>
            <w:shd w:val="clear" w:color="auto" w:fill="C6EFCE"/>
            <w:noWrap/>
            <w:vAlign w:val="center"/>
          </w:tcPr>
          <w:p w14:paraId="754B6392"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Digital solution available - Interactive platform (IPSS)</w:t>
            </w:r>
          </w:p>
        </w:tc>
        <w:tc>
          <w:tcPr>
            <w:tcW w:w="1920" w:type="dxa"/>
            <w:tcBorders>
              <w:top w:val="single" w:sz="4" w:space="0" w:color="auto"/>
              <w:left w:val="nil"/>
              <w:bottom w:val="single" w:sz="4" w:space="0" w:color="auto"/>
              <w:right w:val="single" w:sz="4" w:space="0" w:color="auto"/>
            </w:tcBorders>
            <w:shd w:val="clear" w:color="auto" w:fill="C6EFCE"/>
            <w:noWrap/>
            <w:vAlign w:val="center"/>
          </w:tcPr>
          <w:p w14:paraId="6837C3B5"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Interactive platform for self-employed is fully operational.</w:t>
            </w:r>
          </w:p>
        </w:tc>
        <w:tc>
          <w:tcPr>
            <w:tcW w:w="1440" w:type="dxa"/>
            <w:tcBorders>
              <w:top w:val="single" w:sz="4" w:space="0" w:color="auto"/>
              <w:left w:val="nil"/>
              <w:bottom w:val="single" w:sz="4" w:space="0" w:color="auto"/>
              <w:right w:val="single" w:sz="4" w:space="0" w:color="auto"/>
            </w:tcBorders>
            <w:shd w:val="clear" w:color="auto" w:fill="C6EFCE"/>
            <w:noWrap/>
            <w:vAlign w:val="center"/>
          </w:tcPr>
          <w:p w14:paraId="3E5BF7B5" w14:textId="77777777" w:rsidR="006A41D9" w:rsidRPr="001961AA" w:rsidRDefault="006A41D9" w:rsidP="00BD6DD1">
            <w:pPr>
              <w:spacing w:after="0"/>
              <w:jc w:val="center"/>
              <w:rPr>
                <w:rFonts w:ascii="Times New Roman" w:eastAsia="Times New Roman" w:hAnsi="Times New Roman" w:cs="Times New Roman"/>
                <w:noProof/>
                <w:color w:val="006100"/>
                <w:lang w:val="en-GB" w:eastAsia="en-GB"/>
              </w:rPr>
            </w:pPr>
          </w:p>
        </w:tc>
        <w:tc>
          <w:tcPr>
            <w:tcW w:w="1080" w:type="dxa"/>
            <w:tcBorders>
              <w:top w:val="single" w:sz="4" w:space="0" w:color="auto"/>
              <w:left w:val="nil"/>
              <w:bottom w:val="single" w:sz="4" w:space="0" w:color="auto"/>
              <w:right w:val="single" w:sz="4" w:space="0" w:color="auto"/>
            </w:tcBorders>
            <w:shd w:val="clear" w:color="auto" w:fill="C6EFCE"/>
            <w:noWrap/>
            <w:vAlign w:val="center"/>
          </w:tcPr>
          <w:p w14:paraId="693AA561" w14:textId="77777777" w:rsidR="006A41D9" w:rsidRPr="001961AA" w:rsidRDefault="006A41D9" w:rsidP="00BD6DD1">
            <w:pPr>
              <w:spacing w:after="0"/>
              <w:jc w:val="center"/>
              <w:rPr>
                <w:rFonts w:ascii="Times New Roman" w:eastAsia="Times New Roman" w:hAnsi="Times New Roman" w:cs="Times New Roman"/>
                <w:noProof/>
                <w:color w:val="006100"/>
                <w:lang w:val="en-GB" w:eastAsia="en-GB"/>
              </w:rPr>
            </w:pPr>
          </w:p>
        </w:tc>
        <w:tc>
          <w:tcPr>
            <w:tcW w:w="840" w:type="dxa"/>
            <w:tcBorders>
              <w:top w:val="single" w:sz="4" w:space="0" w:color="auto"/>
              <w:left w:val="nil"/>
              <w:bottom w:val="single" w:sz="4" w:space="0" w:color="auto"/>
              <w:right w:val="single" w:sz="4" w:space="0" w:color="auto"/>
            </w:tcBorders>
            <w:shd w:val="clear" w:color="auto" w:fill="C6EFCE"/>
            <w:noWrap/>
            <w:vAlign w:val="center"/>
          </w:tcPr>
          <w:p w14:paraId="09E77726" w14:textId="77777777" w:rsidR="006A41D9" w:rsidRPr="001961AA" w:rsidRDefault="006A41D9" w:rsidP="00BD6DD1">
            <w:pPr>
              <w:spacing w:after="0"/>
              <w:jc w:val="center"/>
              <w:rPr>
                <w:rFonts w:ascii="Times New Roman" w:eastAsia="Times New Roman" w:hAnsi="Times New Roman" w:cs="Times New Roman"/>
                <w:noProof/>
                <w:color w:val="006100"/>
                <w:lang w:val="en-GB" w:eastAsia="en-GB"/>
              </w:rPr>
            </w:pPr>
          </w:p>
        </w:tc>
        <w:tc>
          <w:tcPr>
            <w:tcW w:w="960" w:type="dxa"/>
            <w:tcBorders>
              <w:top w:val="single" w:sz="4" w:space="0" w:color="auto"/>
              <w:left w:val="nil"/>
              <w:bottom w:val="single" w:sz="4" w:space="0" w:color="auto"/>
              <w:right w:val="single" w:sz="4" w:space="0" w:color="auto"/>
            </w:tcBorders>
            <w:shd w:val="clear" w:color="auto" w:fill="C6EFCE"/>
            <w:noWrap/>
            <w:vAlign w:val="center"/>
          </w:tcPr>
          <w:p w14:paraId="0FD2986B"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Q2</w:t>
            </w:r>
          </w:p>
        </w:tc>
        <w:tc>
          <w:tcPr>
            <w:tcW w:w="720" w:type="dxa"/>
            <w:tcBorders>
              <w:top w:val="single" w:sz="4" w:space="0" w:color="auto"/>
              <w:left w:val="nil"/>
              <w:bottom w:val="single" w:sz="4" w:space="0" w:color="auto"/>
              <w:right w:val="single" w:sz="4" w:space="0" w:color="auto"/>
            </w:tcBorders>
            <w:shd w:val="clear" w:color="auto" w:fill="C6EFCE"/>
            <w:noWrap/>
            <w:vAlign w:val="center"/>
          </w:tcPr>
          <w:p w14:paraId="1D2DE969"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2026</w:t>
            </w:r>
          </w:p>
        </w:tc>
        <w:tc>
          <w:tcPr>
            <w:tcW w:w="3182" w:type="dxa"/>
            <w:tcBorders>
              <w:top w:val="single" w:sz="4" w:space="0" w:color="auto"/>
              <w:left w:val="nil"/>
              <w:bottom w:val="single" w:sz="4" w:space="0" w:color="auto"/>
              <w:right w:val="single" w:sz="4" w:space="0" w:color="auto"/>
            </w:tcBorders>
            <w:shd w:val="clear" w:color="auto" w:fill="C6EFCE"/>
            <w:noWrap/>
            <w:vAlign w:val="center"/>
          </w:tcPr>
          <w:p w14:paraId="05601EE4"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A Public Institute for Social Security (IPSS) interactive platform for self-employed is fully operational and provide for the following:</w:t>
            </w:r>
          </w:p>
          <w:p w14:paraId="538DB7B7" w14:textId="77777777" w:rsidR="006A41D9" w:rsidRPr="001961AA" w:rsidRDefault="006A41D9" w:rsidP="009E6286">
            <w:pPr>
              <w:pStyle w:val="ListParagraph"/>
              <w:numPr>
                <w:ilvl w:val="0"/>
                <w:numId w:val="30"/>
              </w:num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 xml:space="preserve">interactive electronic forms and automation of processes, such as the bridging right and the exemptions to which self-employed are entitled. </w:t>
            </w:r>
          </w:p>
          <w:p w14:paraId="7ECDCBBB" w14:textId="77777777" w:rsidR="006A41D9" w:rsidRPr="001961AA" w:rsidRDefault="006A41D9" w:rsidP="009E6286">
            <w:pPr>
              <w:pStyle w:val="ListParagraph"/>
              <w:numPr>
                <w:ilvl w:val="0"/>
                <w:numId w:val="30"/>
              </w:num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All information relating to social security are recorded in the self-employed person’s “individual” file, which may be consulted immediately at any time by the parties involved.</w:t>
            </w:r>
          </w:p>
          <w:p w14:paraId="380DC67C" w14:textId="77777777" w:rsidR="006A41D9" w:rsidRPr="001961AA" w:rsidRDefault="006A41D9" w:rsidP="009E6286">
            <w:pPr>
              <w:pStyle w:val="ListParagraph"/>
              <w:numPr>
                <w:ilvl w:val="0"/>
                <w:numId w:val="30"/>
              </w:num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The platform makes it possible to automate processes, speed up the communication of decisions and automatically grant derived rights.</w:t>
            </w:r>
          </w:p>
          <w:p w14:paraId="03845F23" w14:textId="77777777" w:rsidR="006A41D9" w:rsidRPr="001961AA" w:rsidRDefault="006A41D9" w:rsidP="009E6286">
            <w:pPr>
              <w:pStyle w:val="ListParagraph"/>
              <w:numPr>
                <w:ilvl w:val="0"/>
                <w:numId w:val="30"/>
              </w:num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The platform is connected to other institutions, including the National Social Security Office (NSSO) and the National Institute for Health and Disability Insurance (NIHDI) or platforms and allows exchanges with other countries in the social security sector.</w:t>
            </w:r>
          </w:p>
        </w:tc>
      </w:tr>
      <w:tr w:rsidR="00BF38A0" w:rsidRPr="001961AA" w14:paraId="62B4AABD" w14:textId="77777777" w:rsidTr="00BF38A0">
        <w:trPr>
          <w:trHeight w:val="309"/>
        </w:trPr>
        <w:tc>
          <w:tcPr>
            <w:tcW w:w="6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9F27AD2"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54</w:t>
            </w:r>
          </w:p>
        </w:tc>
        <w:tc>
          <w:tcPr>
            <w:tcW w:w="1446" w:type="dxa"/>
            <w:tcBorders>
              <w:top w:val="single" w:sz="4" w:space="0" w:color="auto"/>
              <w:left w:val="nil"/>
              <w:bottom w:val="single" w:sz="4" w:space="0" w:color="auto"/>
              <w:right w:val="single" w:sz="4" w:space="0" w:color="auto"/>
            </w:tcBorders>
            <w:shd w:val="clear" w:color="auto" w:fill="C6EFCE"/>
            <w:noWrap/>
            <w:vAlign w:val="center"/>
          </w:tcPr>
          <w:p w14:paraId="665ECA1D" w14:textId="2705C755"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Digitalisation SPF (I-2.05) (sub-measure: 2, 3, 4, 5, 6, 8, 9, 11 and 12)</w:t>
            </w:r>
          </w:p>
        </w:tc>
        <w:tc>
          <w:tcPr>
            <w:tcW w:w="1080" w:type="dxa"/>
            <w:tcBorders>
              <w:top w:val="single" w:sz="4" w:space="0" w:color="auto"/>
              <w:left w:val="nil"/>
              <w:bottom w:val="single" w:sz="4" w:space="0" w:color="auto"/>
              <w:right w:val="single" w:sz="4" w:space="0" w:color="auto"/>
            </w:tcBorders>
            <w:shd w:val="clear" w:color="auto" w:fill="C6EFCE"/>
            <w:noWrap/>
            <w:vAlign w:val="center"/>
          </w:tcPr>
          <w:p w14:paraId="5D7CB63E" w14:textId="4D1B2584"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M</w:t>
            </w:r>
          </w:p>
        </w:tc>
        <w:tc>
          <w:tcPr>
            <w:tcW w:w="1560" w:type="dxa"/>
            <w:tcBorders>
              <w:top w:val="single" w:sz="4" w:space="0" w:color="auto"/>
              <w:left w:val="nil"/>
              <w:bottom w:val="single" w:sz="4" w:space="0" w:color="auto"/>
              <w:right w:val="single" w:sz="4" w:space="0" w:color="auto"/>
            </w:tcBorders>
            <w:shd w:val="clear" w:color="auto" w:fill="C6EFCE"/>
            <w:noWrap/>
            <w:vAlign w:val="center"/>
          </w:tcPr>
          <w:p w14:paraId="14683E18"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 xml:space="preserve">Requirements are defined </w:t>
            </w:r>
          </w:p>
        </w:tc>
        <w:tc>
          <w:tcPr>
            <w:tcW w:w="1920" w:type="dxa"/>
            <w:tcBorders>
              <w:top w:val="single" w:sz="4" w:space="0" w:color="auto"/>
              <w:left w:val="nil"/>
              <w:bottom w:val="single" w:sz="4" w:space="0" w:color="auto"/>
              <w:right w:val="single" w:sz="4" w:space="0" w:color="auto"/>
            </w:tcBorders>
            <w:shd w:val="clear" w:color="auto" w:fill="C6EFCE"/>
            <w:noWrap/>
            <w:vAlign w:val="center"/>
          </w:tcPr>
          <w:p w14:paraId="7E22E2D3" w14:textId="79AA6843" w:rsidR="006A41D9" w:rsidRPr="001961AA" w:rsidRDefault="00D729E3"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Requirements for the different sub-measures are defined and approved</w:t>
            </w:r>
          </w:p>
        </w:tc>
        <w:tc>
          <w:tcPr>
            <w:tcW w:w="1440" w:type="dxa"/>
            <w:tcBorders>
              <w:top w:val="single" w:sz="4" w:space="0" w:color="auto"/>
              <w:left w:val="nil"/>
              <w:bottom w:val="single" w:sz="4" w:space="0" w:color="auto"/>
              <w:right w:val="single" w:sz="4" w:space="0" w:color="auto"/>
            </w:tcBorders>
            <w:shd w:val="clear" w:color="auto" w:fill="C6EFCE"/>
            <w:noWrap/>
            <w:vAlign w:val="center"/>
          </w:tcPr>
          <w:p w14:paraId="1B64BD21" w14:textId="77777777" w:rsidR="006A41D9" w:rsidRPr="001961AA" w:rsidRDefault="006A41D9" w:rsidP="00BD6DD1">
            <w:pPr>
              <w:spacing w:after="0"/>
              <w:jc w:val="center"/>
              <w:rPr>
                <w:rFonts w:ascii="Times New Roman" w:eastAsia="Times New Roman" w:hAnsi="Times New Roman" w:cs="Times New Roman"/>
                <w:noProof/>
                <w:color w:val="006100"/>
                <w:lang w:val="en-GB" w:eastAsia="en-GB"/>
              </w:rPr>
            </w:pPr>
          </w:p>
        </w:tc>
        <w:tc>
          <w:tcPr>
            <w:tcW w:w="1080" w:type="dxa"/>
            <w:tcBorders>
              <w:top w:val="single" w:sz="4" w:space="0" w:color="auto"/>
              <w:left w:val="nil"/>
              <w:bottom w:val="single" w:sz="4" w:space="0" w:color="auto"/>
              <w:right w:val="single" w:sz="4" w:space="0" w:color="auto"/>
            </w:tcBorders>
            <w:shd w:val="clear" w:color="auto" w:fill="C6EFCE"/>
            <w:noWrap/>
            <w:vAlign w:val="center"/>
          </w:tcPr>
          <w:p w14:paraId="02B853DD" w14:textId="77777777" w:rsidR="006A41D9" w:rsidRPr="001961AA" w:rsidRDefault="006A41D9" w:rsidP="00BD6DD1">
            <w:pPr>
              <w:spacing w:after="0"/>
              <w:jc w:val="center"/>
              <w:rPr>
                <w:rFonts w:ascii="Times New Roman" w:eastAsia="Times New Roman" w:hAnsi="Times New Roman" w:cs="Times New Roman"/>
                <w:noProof/>
                <w:color w:val="006100"/>
                <w:lang w:val="en-GB" w:eastAsia="en-GB"/>
              </w:rPr>
            </w:pPr>
          </w:p>
        </w:tc>
        <w:tc>
          <w:tcPr>
            <w:tcW w:w="840" w:type="dxa"/>
            <w:tcBorders>
              <w:top w:val="single" w:sz="4" w:space="0" w:color="auto"/>
              <w:left w:val="nil"/>
              <w:bottom w:val="single" w:sz="4" w:space="0" w:color="auto"/>
              <w:right w:val="single" w:sz="4" w:space="0" w:color="auto"/>
            </w:tcBorders>
            <w:shd w:val="clear" w:color="auto" w:fill="C6EFCE"/>
            <w:noWrap/>
            <w:vAlign w:val="center"/>
          </w:tcPr>
          <w:p w14:paraId="7475F397" w14:textId="77777777" w:rsidR="006A41D9" w:rsidRPr="001961AA" w:rsidRDefault="006A41D9" w:rsidP="00BD6DD1">
            <w:pPr>
              <w:spacing w:after="0"/>
              <w:jc w:val="center"/>
              <w:rPr>
                <w:rFonts w:ascii="Times New Roman" w:eastAsia="Times New Roman" w:hAnsi="Times New Roman" w:cs="Times New Roman"/>
                <w:noProof/>
                <w:color w:val="006100"/>
                <w:lang w:val="en-GB" w:eastAsia="en-GB"/>
              </w:rPr>
            </w:pPr>
          </w:p>
        </w:tc>
        <w:tc>
          <w:tcPr>
            <w:tcW w:w="960" w:type="dxa"/>
            <w:tcBorders>
              <w:top w:val="single" w:sz="4" w:space="0" w:color="auto"/>
              <w:left w:val="nil"/>
              <w:bottom w:val="single" w:sz="4" w:space="0" w:color="auto"/>
              <w:right w:val="single" w:sz="4" w:space="0" w:color="auto"/>
            </w:tcBorders>
            <w:shd w:val="clear" w:color="auto" w:fill="C6EFCE"/>
            <w:noWrap/>
            <w:vAlign w:val="center"/>
          </w:tcPr>
          <w:p w14:paraId="6C0ECB6F" w14:textId="77777777" w:rsidR="006A41D9" w:rsidRPr="001961AA" w:rsidRDefault="006A41D9" w:rsidP="00BD6DD1">
            <w:pP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Q2</w:t>
            </w:r>
          </w:p>
        </w:tc>
        <w:tc>
          <w:tcPr>
            <w:tcW w:w="720" w:type="dxa"/>
            <w:tcBorders>
              <w:top w:val="single" w:sz="4" w:space="0" w:color="auto"/>
              <w:left w:val="nil"/>
              <w:bottom w:val="single" w:sz="4" w:space="0" w:color="auto"/>
              <w:right w:val="single" w:sz="4" w:space="0" w:color="auto"/>
            </w:tcBorders>
            <w:shd w:val="clear" w:color="auto" w:fill="C6EFCE"/>
            <w:noWrap/>
            <w:vAlign w:val="center"/>
          </w:tcPr>
          <w:p w14:paraId="0E9F6188"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2022</w:t>
            </w:r>
          </w:p>
        </w:tc>
        <w:tc>
          <w:tcPr>
            <w:tcW w:w="3182" w:type="dxa"/>
            <w:tcBorders>
              <w:top w:val="single" w:sz="4" w:space="0" w:color="auto"/>
              <w:left w:val="nil"/>
              <w:bottom w:val="single" w:sz="4" w:space="0" w:color="auto"/>
              <w:right w:val="single" w:sz="4" w:space="0" w:color="auto"/>
            </w:tcBorders>
            <w:shd w:val="clear" w:color="auto" w:fill="C6EFCE"/>
            <w:noWrap/>
            <w:vAlign w:val="center"/>
          </w:tcPr>
          <w:p w14:paraId="136D49CB" w14:textId="196ED312"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The requirements for sub-measures 2, 3, 4, 5, 6, 8, 9, 11 and 12 are defined by the competent administrations and approved by the competent Ministry.</w:t>
            </w:r>
          </w:p>
        </w:tc>
      </w:tr>
      <w:tr w:rsidR="00BF38A0" w:rsidRPr="001961AA" w14:paraId="6640DA12" w14:textId="77777777" w:rsidTr="00BF38A0">
        <w:trPr>
          <w:trHeight w:val="309"/>
        </w:trPr>
        <w:tc>
          <w:tcPr>
            <w:tcW w:w="6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8070521"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55</w:t>
            </w:r>
          </w:p>
        </w:tc>
        <w:tc>
          <w:tcPr>
            <w:tcW w:w="1446" w:type="dxa"/>
            <w:tcBorders>
              <w:top w:val="single" w:sz="4" w:space="0" w:color="auto"/>
              <w:left w:val="nil"/>
              <w:bottom w:val="single" w:sz="4" w:space="0" w:color="auto"/>
              <w:right w:val="single" w:sz="4" w:space="0" w:color="auto"/>
            </w:tcBorders>
            <w:shd w:val="clear" w:color="auto" w:fill="C6EFCE"/>
            <w:noWrap/>
            <w:vAlign w:val="center"/>
          </w:tcPr>
          <w:p w14:paraId="505C8F1D" w14:textId="3B6AAB81"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Digitalisation SPF (I-2.05) (sub-measure: 2, 3, 4, 5, 6, 8, 9, 11 and 12)</w:t>
            </w:r>
          </w:p>
        </w:tc>
        <w:tc>
          <w:tcPr>
            <w:tcW w:w="1080" w:type="dxa"/>
            <w:tcBorders>
              <w:top w:val="single" w:sz="4" w:space="0" w:color="auto"/>
              <w:left w:val="nil"/>
              <w:bottom w:val="single" w:sz="4" w:space="0" w:color="auto"/>
              <w:right w:val="single" w:sz="4" w:space="0" w:color="auto"/>
            </w:tcBorders>
            <w:shd w:val="clear" w:color="auto" w:fill="C6EFCE"/>
            <w:noWrap/>
            <w:vAlign w:val="center"/>
          </w:tcPr>
          <w:p w14:paraId="09EB3A5C" w14:textId="7E1ECD6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M</w:t>
            </w:r>
          </w:p>
        </w:tc>
        <w:tc>
          <w:tcPr>
            <w:tcW w:w="1560" w:type="dxa"/>
            <w:tcBorders>
              <w:top w:val="single" w:sz="4" w:space="0" w:color="auto"/>
              <w:left w:val="nil"/>
              <w:bottom w:val="single" w:sz="4" w:space="0" w:color="auto"/>
              <w:right w:val="single" w:sz="4" w:space="0" w:color="auto"/>
            </w:tcBorders>
            <w:shd w:val="clear" w:color="auto" w:fill="C6EFCE"/>
            <w:noWrap/>
            <w:vAlign w:val="center"/>
          </w:tcPr>
          <w:p w14:paraId="202A8156"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Projects are completed and the output is operational</w:t>
            </w:r>
          </w:p>
        </w:tc>
        <w:tc>
          <w:tcPr>
            <w:tcW w:w="1920" w:type="dxa"/>
            <w:tcBorders>
              <w:top w:val="single" w:sz="4" w:space="0" w:color="auto"/>
              <w:left w:val="nil"/>
              <w:bottom w:val="single" w:sz="4" w:space="0" w:color="auto"/>
              <w:right w:val="single" w:sz="4" w:space="0" w:color="auto"/>
            </w:tcBorders>
            <w:shd w:val="clear" w:color="auto" w:fill="C6EFCE"/>
            <w:noWrap/>
            <w:vAlign w:val="center"/>
          </w:tcPr>
          <w:p w14:paraId="19B096A3" w14:textId="3EF7B231"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Projects are completed and operational</w:t>
            </w:r>
          </w:p>
        </w:tc>
        <w:tc>
          <w:tcPr>
            <w:tcW w:w="1440" w:type="dxa"/>
            <w:tcBorders>
              <w:top w:val="single" w:sz="4" w:space="0" w:color="auto"/>
              <w:left w:val="nil"/>
              <w:bottom w:val="single" w:sz="4" w:space="0" w:color="auto"/>
              <w:right w:val="single" w:sz="4" w:space="0" w:color="auto"/>
            </w:tcBorders>
            <w:shd w:val="clear" w:color="auto" w:fill="C6EFCE"/>
            <w:noWrap/>
            <w:vAlign w:val="center"/>
          </w:tcPr>
          <w:p w14:paraId="268FAF40" w14:textId="77777777" w:rsidR="006A41D9" w:rsidRPr="001961AA" w:rsidRDefault="006A41D9" w:rsidP="00BD6DD1">
            <w:pPr>
              <w:spacing w:after="0"/>
              <w:jc w:val="center"/>
              <w:rPr>
                <w:rFonts w:ascii="Times New Roman" w:eastAsia="Times New Roman" w:hAnsi="Times New Roman" w:cs="Times New Roman"/>
                <w:noProof/>
                <w:color w:val="006100"/>
                <w:lang w:val="en-GB" w:eastAsia="en-GB"/>
              </w:rPr>
            </w:pPr>
          </w:p>
        </w:tc>
        <w:tc>
          <w:tcPr>
            <w:tcW w:w="1080" w:type="dxa"/>
            <w:tcBorders>
              <w:top w:val="single" w:sz="4" w:space="0" w:color="auto"/>
              <w:left w:val="nil"/>
              <w:bottom w:val="single" w:sz="4" w:space="0" w:color="auto"/>
              <w:right w:val="single" w:sz="4" w:space="0" w:color="auto"/>
            </w:tcBorders>
            <w:shd w:val="clear" w:color="auto" w:fill="C6EFCE"/>
            <w:noWrap/>
            <w:vAlign w:val="center"/>
          </w:tcPr>
          <w:p w14:paraId="71430164" w14:textId="77777777" w:rsidR="006A41D9" w:rsidRPr="001961AA" w:rsidRDefault="006A41D9" w:rsidP="00BD6DD1">
            <w:pPr>
              <w:spacing w:after="0"/>
              <w:jc w:val="center"/>
              <w:rPr>
                <w:rFonts w:ascii="Times New Roman" w:eastAsia="Times New Roman" w:hAnsi="Times New Roman" w:cs="Times New Roman"/>
                <w:noProof/>
                <w:color w:val="006100"/>
                <w:lang w:val="en-GB" w:eastAsia="en-GB"/>
              </w:rPr>
            </w:pPr>
          </w:p>
        </w:tc>
        <w:tc>
          <w:tcPr>
            <w:tcW w:w="840" w:type="dxa"/>
            <w:tcBorders>
              <w:top w:val="single" w:sz="4" w:space="0" w:color="auto"/>
              <w:left w:val="nil"/>
              <w:bottom w:val="single" w:sz="4" w:space="0" w:color="auto"/>
              <w:right w:val="single" w:sz="4" w:space="0" w:color="auto"/>
            </w:tcBorders>
            <w:shd w:val="clear" w:color="auto" w:fill="C6EFCE"/>
            <w:noWrap/>
            <w:vAlign w:val="center"/>
          </w:tcPr>
          <w:p w14:paraId="32993CAF" w14:textId="77777777" w:rsidR="006A41D9" w:rsidRPr="001961AA" w:rsidRDefault="006A41D9" w:rsidP="00BD6DD1">
            <w:pPr>
              <w:spacing w:after="0"/>
              <w:jc w:val="center"/>
              <w:rPr>
                <w:rFonts w:ascii="Times New Roman" w:eastAsia="Times New Roman" w:hAnsi="Times New Roman" w:cs="Times New Roman"/>
                <w:noProof/>
                <w:color w:val="006100"/>
                <w:lang w:val="en-GB" w:eastAsia="en-GB"/>
              </w:rPr>
            </w:pPr>
          </w:p>
        </w:tc>
        <w:tc>
          <w:tcPr>
            <w:tcW w:w="960" w:type="dxa"/>
            <w:tcBorders>
              <w:top w:val="single" w:sz="4" w:space="0" w:color="auto"/>
              <w:left w:val="nil"/>
              <w:bottom w:val="single" w:sz="4" w:space="0" w:color="auto"/>
              <w:right w:val="single" w:sz="4" w:space="0" w:color="auto"/>
            </w:tcBorders>
            <w:shd w:val="clear" w:color="auto" w:fill="C6EFCE"/>
            <w:noWrap/>
            <w:vAlign w:val="center"/>
          </w:tcPr>
          <w:p w14:paraId="3BB9DA05"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Q2</w:t>
            </w:r>
          </w:p>
        </w:tc>
        <w:tc>
          <w:tcPr>
            <w:tcW w:w="720" w:type="dxa"/>
            <w:tcBorders>
              <w:top w:val="single" w:sz="4" w:space="0" w:color="auto"/>
              <w:left w:val="nil"/>
              <w:bottom w:val="single" w:sz="4" w:space="0" w:color="auto"/>
              <w:right w:val="single" w:sz="4" w:space="0" w:color="auto"/>
            </w:tcBorders>
            <w:shd w:val="clear" w:color="auto" w:fill="C6EFCE"/>
            <w:noWrap/>
            <w:vAlign w:val="center"/>
          </w:tcPr>
          <w:p w14:paraId="63EDC07D"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2026</w:t>
            </w:r>
          </w:p>
        </w:tc>
        <w:tc>
          <w:tcPr>
            <w:tcW w:w="3182" w:type="dxa"/>
            <w:tcBorders>
              <w:top w:val="single" w:sz="4" w:space="0" w:color="auto"/>
              <w:left w:val="nil"/>
              <w:bottom w:val="single" w:sz="4" w:space="0" w:color="auto"/>
              <w:right w:val="single" w:sz="4" w:space="0" w:color="auto"/>
            </w:tcBorders>
            <w:shd w:val="clear" w:color="auto" w:fill="C6EFCE"/>
            <w:noWrap/>
            <w:vAlign w:val="center"/>
          </w:tcPr>
          <w:p w14:paraId="32FE70F9" w14:textId="0DD3F22F"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Projects corresponding to sub-measures 2, 3, 4, 5, 6, 8, 9, 11 and 12 are completed and operational. EUR 74 800 000 have been paid out.</w:t>
            </w:r>
          </w:p>
        </w:tc>
      </w:tr>
      <w:tr w:rsidR="00BF38A0" w:rsidRPr="001961AA" w14:paraId="42EAEEA9" w14:textId="77777777" w:rsidTr="00BF38A0">
        <w:trPr>
          <w:trHeight w:val="309"/>
        </w:trPr>
        <w:tc>
          <w:tcPr>
            <w:tcW w:w="6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0FAC7AB"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56</w:t>
            </w:r>
          </w:p>
        </w:tc>
        <w:tc>
          <w:tcPr>
            <w:tcW w:w="1446" w:type="dxa"/>
            <w:tcBorders>
              <w:top w:val="single" w:sz="4" w:space="0" w:color="auto"/>
              <w:left w:val="nil"/>
              <w:bottom w:val="single" w:sz="4" w:space="0" w:color="auto"/>
              <w:right w:val="single" w:sz="4" w:space="0" w:color="auto"/>
            </w:tcBorders>
            <w:shd w:val="clear" w:color="auto" w:fill="C6EFCE"/>
            <w:noWrap/>
            <w:vAlign w:val="center"/>
          </w:tcPr>
          <w:p w14:paraId="0FCAD0E1"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Digitalisation SPF (I-2.05)</w:t>
            </w:r>
          </w:p>
          <w:p w14:paraId="72BBEE79"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(Sub-measure 1: Digital transformation of Justice)</w:t>
            </w:r>
          </w:p>
        </w:tc>
        <w:tc>
          <w:tcPr>
            <w:tcW w:w="1080" w:type="dxa"/>
            <w:tcBorders>
              <w:top w:val="single" w:sz="4" w:space="0" w:color="auto"/>
              <w:left w:val="nil"/>
              <w:bottom w:val="single" w:sz="4" w:space="0" w:color="auto"/>
              <w:right w:val="single" w:sz="4" w:space="0" w:color="auto"/>
            </w:tcBorders>
            <w:shd w:val="clear" w:color="auto" w:fill="C6EFCE"/>
            <w:noWrap/>
            <w:vAlign w:val="center"/>
          </w:tcPr>
          <w:p w14:paraId="2EB894A4" w14:textId="0C5AF85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M</w:t>
            </w:r>
          </w:p>
        </w:tc>
        <w:tc>
          <w:tcPr>
            <w:tcW w:w="1560" w:type="dxa"/>
            <w:tcBorders>
              <w:top w:val="single" w:sz="4" w:space="0" w:color="auto"/>
              <w:left w:val="nil"/>
              <w:bottom w:val="single" w:sz="4" w:space="0" w:color="auto"/>
              <w:right w:val="single" w:sz="4" w:space="0" w:color="auto"/>
            </w:tcBorders>
            <w:shd w:val="clear" w:color="auto" w:fill="C6EFCE"/>
            <w:noWrap/>
            <w:vAlign w:val="center"/>
          </w:tcPr>
          <w:p w14:paraId="7A2B14A4"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Project management in place for the digital transformation of justice following the adoption of a decree</w:t>
            </w:r>
          </w:p>
        </w:tc>
        <w:tc>
          <w:tcPr>
            <w:tcW w:w="1920" w:type="dxa"/>
            <w:tcBorders>
              <w:top w:val="single" w:sz="4" w:space="0" w:color="auto"/>
              <w:left w:val="nil"/>
              <w:bottom w:val="single" w:sz="4" w:space="0" w:color="auto"/>
              <w:right w:val="single" w:sz="4" w:space="0" w:color="auto"/>
            </w:tcBorders>
            <w:shd w:val="clear" w:color="auto" w:fill="C6EFCE"/>
            <w:noWrap/>
            <w:vAlign w:val="center"/>
          </w:tcPr>
          <w:p w14:paraId="61C3D934"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Adoption of the ministerial Decree of a program management office, which set up for the digital transformation of justice</w:t>
            </w:r>
          </w:p>
        </w:tc>
        <w:tc>
          <w:tcPr>
            <w:tcW w:w="1440" w:type="dxa"/>
            <w:tcBorders>
              <w:top w:val="single" w:sz="4" w:space="0" w:color="auto"/>
              <w:left w:val="nil"/>
              <w:bottom w:val="single" w:sz="4" w:space="0" w:color="auto"/>
              <w:right w:val="single" w:sz="4" w:space="0" w:color="auto"/>
            </w:tcBorders>
            <w:shd w:val="clear" w:color="auto" w:fill="C6EFCE"/>
            <w:noWrap/>
            <w:vAlign w:val="center"/>
          </w:tcPr>
          <w:p w14:paraId="31708306" w14:textId="77777777" w:rsidR="006A41D9" w:rsidRPr="001961AA" w:rsidRDefault="006A41D9" w:rsidP="00BD6DD1">
            <w:pPr>
              <w:spacing w:after="0"/>
              <w:jc w:val="center"/>
              <w:rPr>
                <w:rFonts w:ascii="Times New Roman" w:eastAsia="Times New Roman" w:hAnsi="Times New Roman" w:cs="Times New Roman"/>
                <w:noProof/>
                <w:color w:val="006100"/>
                <w:lang w:val="en-GB" w:eastAsia="en-GB"/>
              </w:rPr>
            </w:pPr>
          </w:p>
        </w:tc>
        <w:tc>
          <w:tcPr>
            <w:tcW w:w="1080" w:type="dxa"/>
            <w:tcBorders>
              <w:top w:val="single" w:sz="4" w:space="0" w:color="auto"/>
              <w:left w:val="nil"/>
              <w:bottom w:val="single" w:sz="4" w:space="0" w:color="auto"/>
              <w:right w:val="single" w:sz="4" w:space="0" w:color="auto"/>
            </w:tcBorders>
            <w:shd w:val="clear" w:color="auto" w:fill="C6EFCE"/>
            <w:noWrap/>
            <w:vAlign w:val="center"/>
          </w:tcPr>
          <w:p w14:paraId="445F3C92" w14:textId="77777777" w:rsidR="006A41D9" w:rsidRPr="001961AA" w:rsidRDefault="006A41D9" w:rsidP="00BD6DD1">
            <w:pPr>
              <w:spacing w:after="0"/>
              <w:jc w:val="center"/>
              <w:rPr>
                <w:rFonts w:ascii="Times New Roman" w:eastAsia="Times New Roman" w:hAnsi="Times New Roman" w:cs="Times New Roman"/>
                <w:noProof/>
                <w:color w:val="006100"/>
                <w:lang w:val="en-GB" w:eastAsia="en-GB"/>
              </w:rPr>
            </w:pPr>
          </w:p>
        </w:tc>
        <w:tc>
          <w:tcPr>
            <w:tcW w:w="840" w:type="dxa"/>
            <w:tcBorders>
              <w:top w:val="single" w:sz="4" w:space="0" w:color="auto"/>
              <w:left w:val="nil"/>
              <w:bottom w:val="single" w:sz="4" w:space="0" w:color="auto"/>
              <w:right w:val="single" w:sz="4" w:space="0" w:color="auto"/>
            </w:tcBorders>
            <w:shd w:val="clear" w:color="auto" w:fill="C6EFCE"/>
            <w:noWrap/>
            <w:vAlign w:val="center"/>
          </w:tcPr>
          <w:p w14:paraId="14A37A25" w14:textId="77777777" w:rsidR="006A41D9" w:rsidRPr="001961AA" w:rsidRDefault="006A41D9" w:rsidP="00BD6DD1">
            <w:pPr>
              <w:spacing w:after="0"/>
              <w:jc w:val="center"/>
              <w:rPr>
                <w:rFonts w:ascii="Times New Roman" w:eastAsia="Times New Roman" w:hAnsi="Times New Roman" w:cs="Times New Roman"/>
                <w:noProof/>
                <w:color w:val="006100"/>
                <w:lang w:val="en-GB" w:eastAsia="en-GB"/>
              </w:rPr>
            </w:pPr>
          </w:p>
        </w:tc>
        <w:tc>
          <w:tcPr>
            <w:tcW w:w="960" w:type="dxa"/>
            <w:tcBorders>
              <w:top w:val="single" w:sz="4" w:space="0" w:color="auto"/>
              <w:left w:val="nil"/>
              <w:bottom w:val="single" w:sz="4" w:space="0" w:color="auto"/>
              <w:right w:val="single" w:sz="4" w:space="0" w:color="auto"/>
            </w:tcBorders>
            <w:shd w:val="clear" w:color="auto" w:fill="C6EFCE"/>
            <w:noWrap/>
            <w:vAlign w:val="center"/>
          </w:tcPr>
          <w:p w14:paraId="5E918D65"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Q4</w:t>
            </w:r>
          </w:p>
        </w:tc>
        <w:tc>
          <w:tcPr>
            <w:tcW w:w="720" w:type="dxa"/>
            <w:tcBorders>
              <w:top w:val="single" w:sz="4" w:space="0" w:color="auto"/>
              <w:left w:val="nil"/>
              <w:bottom w:val="single" w:sz="4" w:space="0" w:color="auto"/>
              <w:right w:val="single" w:sz="4" w:space="0" w:color="auto"/>
            </w:tcBorders>
            <w:shd w:val="clear" w:color="auto" w:fill="C6EFCE"/>
            <w:noWrap/>
            <w:vAlign w:val="center"/>
          </w:tcPr>
          <w:p w14:paraId="10EA3F20"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2021</w:t>
            </w:r>
          </w:p>
        </w:tc>
        <w:tc>
          <w:tcPr>
            <w:tcW w:w="3182" w:type="dxa"/>
            <w:tcBorders>
              <w:top w:val="single" w:sz="4" w:space="0" w:color="auto"/>
              <w:left w:val="nil"/>
              <w:bottom w:val="single" w:sz="4" w:space="0" w:color="auto"/>
              <w:right w:val="single" w:sz="4" w:space="0" w:color="auto"/>
            </w:tcBorders>
            <w:shd w:val="clear" w:color="auto" w:fill="C6EFCE"/>
            <w:noWrap/>
            <w:vAlign w:val="center"/>
          </w:tcPr>
          <w:p w14:paraId="05846387"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Adoption of a Ministerial Decree by the Minister of Justice to set up a Program Management Office with a clear governance structure to digitalise SPF Justice. This includes a clear definition of tasks and competences, and clear arrangements for the different parties that shall participate in the digital transformation.</w:t>
            </w:r>
          </w:p>
        </w:tc>
      </w:tr>
      <w:tr w:rsidR="00BF38A0" w:rsidRPr="001961AA" w14:paraId="3869A00A" w14:textId="77777777" w:rsidTr="00BF38A0">
        <w:trPr>
          <w:trHeight w:val="309"/>
        </w:trPr>
        <w:tc>
          <w:tcPr>
            <w:tcW w:w="6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9D2A136"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57</w:t>
            </w:r>
          </w:p>
        </w:tc>
        <w:tc>
          <w:tcPr>
            <w:tcW w:w="1446" w:type="dxa"/>
            <w:tcBorders>
              <w:top w:val="single" w:sz="4" w:space="0" w:color="auto"/>
              <w:left w:val="nil"/>
              <w:bottom w:val="single" w:sz="4" w:space="0" w:color="auto"/>
              <w:right w:val="single" w:sz="4" w:space="0" w:color="auto"/>
            </w:tcBorders>
            <w:shd w:val="clear" w:color="auto" w:fill="C6EFCE"/>
            <w:noWrap/>
            <w:vAlign w:val="center"/>
          </w:tcPr>
          <w:p w14:paraId="307F69F6"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Digitalisation SPF (I-2.05)</w:t>
            </w:r>
          </w:p>
          <w:p w14:paraId="2310D7F0"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(Sub-measure 1: Digital transformation of Justice)</w:t>
            </w:r>
          </w:p>
        </w:tc>
        <w:tc>
          <w:tcPr>
            <w:tcW w:w="1080" w:type="dxa"/>
            <w:tcBorders>
              <w:top w:val="single" w:sz="4" w:space="0" w:color="auto"/>
              <w:left w:val="nil"/>
              <w:bottom w:val="single" w:sz="4" w:space="0" w:color="auto"/>
              <w:right w:val="single" w:sz="4" w:space="0" w:color="auto"/>
            </w:tcBorders>
            <w:shd w:val="clear" w:color="auto" w:fill="C6EFCE"/>
            <w:noWrap/>
            <w:vAlign w:val="center"/>
          </w:tcPr>
          <w:p w14:paraId="5838D64C" w14:textId="6E0382B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M</w:t>
            </w:r>
          </w:p>
        </w:tc>
        <w:tc>
          <w:tcPr>
            <w:tcW w:w="1560" w:type="dxa"/>
            <w:tcBorders>
              <w:top w:val="single" w:sz="4" w:space="0" w:color="auto"/>
              <w:left w:val="nil"/>
              <w:bottom w:val="single" w:sz="4" w:space="0" w:color="auto"/>
              <w:right w:val="single" w:sz="4" w:space="0" w:color="auto"/>
            </w:tcBorders>
            <w:shd w:val="clear" w:color="auto" w:fill="C6EFCE"/>
            <w:noWrap/>
            <w:vAlign w:val="center"/>
          </w:tcPr>
          <w:p w14:paraId="1781FFB9" w14:textId="4BA40F6A"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Publication of the Just-on-Web online portal</w:t>
            </w:r>
          </w:p>
        </w:tc>
        <w:tc>
          <w:tcPr>
            <w:tcW w:w="1920" w:type="dxa"/>
            <w:tcBorders>
              <w:top w:val="single" w:sz="4" w:space="0" w:color="auto"/>
              <w:left w:val="nil"/>
              <w:bottom w:val="single" w:sz="4" w:space="0" w:color="auto"/>
              <w:right w:val="single" w:sz="4" w:space="0" w:color="auto"/>
            </w:tcBorders>
            <w:shd w:val="clear" w:color="auto" w:fill="C6EFCE"/>
            <w:noWrap/>
            <w:vAlign w:val="center"/>
          </w:tcPr>
          <w:p w14:paraId="713C1513" w14:textId="6FF01FFC"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The Just-on-Web basic portal is put on line.</w:t>
            </w:r>
          </w:p>
        </w:tc>
        <w:tc>
          <w:tcPr>
            <w:tcW w:w="1440" w:type="dxa"/>
            <w:tcBorders>
              <w:top w:val="single" w:sz="4" w:space="0" w:color="auto"/>
              <w:left w:val="nil"/>
              <w:bottom w:val="single" w:sz="4" w:space="0" w:color="auto"/>
              <w:right w:val="single" w:sz="4" w:space="0" w:color="auto"/>
            </w:tcBorders>
            <w:shd w:val="clear" w:color="auto" w:fill="C6EFCE"/>
            <w:noWrap/>
            <w:vAlign w:val="center"/>
          </w:tcPr>
          <w:p w14:paraId="290174F0" w14:textId="77777777" w:rsidR="006A41D9" w:rsidRPr="001961AA" w:rsidRDefault="006A41D9" w:rsidP="00BD6DD1">
            <w:pPr>
              <w:spacing w:after="0"/>
              <w:jc w:val="center"/>
              <w:rPr>
                <w:rFonts w:ascii="Times New Roman" w:eastAsia="Times New Roman" w:hAnsi="Times New Roman" w:cs="Times New Roman"/>
                <w:noProof/>
                <w:color w:val="006100"/>
                <w:lang w:val="en-GB" w:eastAsia="en-GB"/>
              </w:rPr>
            </w:pPr>
          </w:p>
        </w:tc>
        <w:tc>
          <w:tcPr>
            <w:tcW w:w="1080" w:type="dxa"/>
            <w:tcBorders>
              <w:top w:val="single" w:sz="4" w:space="0" w:color="auto"/>
              <w:left w:val="nil"/>
              <w:bottom w:val="single" w:sz="4" w:space="0" w:color="auto"/>
              <w:right w:val="single" w:sz="4" w:space="0" w:color="auto"/>
            </w:tcBorders>
            <w:shd w:val="clear" w:color="auto" w:fill="C6EFCE"/>
            <w:noWrap/>
            <w:vAlign w:val="center"/>
          </w:tcPr>
          <w:p w14:paraId="37EFD88E" w14:textId="77777777" w:rsidR="006A41D9" w:rsidRPr="001961AA" w:rsidRDefault="006A41D9" w:rsidP="00BD6DD1">
            <w:pPr>
              <w:spacing w:after="0"/>
              <w:jc w:val="center"/>
              <w:rPr>
                <w:rFonts w:ascii="Times New Roman" w:eastAsia="Times New Roman" w:hAnsi="Times New Roman" w:cs="Times New Roman"/>
                <w:noProof/>
                <w:color w:val="006100"/>
                <w:lang w:val="en-GB" w:eastAsia="en-GB"/>
              </w:rPr>
            </w:pPr>
          </w:p>
        </w:tc>
        <w:tc>
          <w:tcPr>
            <w:tcW w:w="840" w:type="dxa"/>
            <w:tcBorders>
              <w:top w:val="single" w:sz="4" w:space="0" w:color="auto"/>
              <w:left w:val="nil"/>
              <w:bottom w:val="single" w:sz="4" w:space="0" w:color="auto"/>
              <w:right w:val="single" w:sz="4" w:space="0" w:color="auto"/>
            </w:tcBorders>
            <w:shd w:val="clear" w:color="auto" w:fill="C6EFCE"/>
            <w:noWrap/>
            <w:vAlign w:val="center"/>
          </w:tcPr>
          <w:p w14:paraId="0753905D" w14:textId="77777777" w:rsidR="006A41D9" w:rsidRPr="001961AA" w:rsidRDefault="006A41D9" w:rsidP="00BD6DD1">
            <w:pPr>
              <w:spacing w:after="0"/>
              <w:jc w:val="center"/>
              <w:rPr>
                <w:rFonts w:ascii="Times New Roman" w:eastAsia="Times New Roman" w:hAnsi="Times New Roman" w:cs="Times New Roman"/>
                <w:noProof/>
                <w:color w:val="006100"/>
                <w:lang w:val="en-GB" w:eastAsia="en-GB"/>
              </w:rPr>
            </w:pPr>
          </w:p>
        </w:tc>
        <w:tc>
          <w:tcPr>
            <w:tcW w:w="960" w:type="dxa"/>
            <w:tcBorders>
              <w:top w:val="single" w:sz="4" w:space="0" w:color="auto"/>
              <w:left w:val="nil"/>
              <w:bottom w:val="single" w:sz="4" w:space="0" w:color="auto"/>
              <w:right w:val="single" w:sz="4" w:space="0" w:color="auto"/>
            </w:tcBorders>
            <w:shd w:val="clear" w:color="auto" w:fill="C6EFCE"/>
            <w:noWrap/>
            <w:vAlign w:val="center"/>
          </w:tcPr>
          <w:p w14:paraId="2BD5EBEB"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Q4</w:t>
            </w:r>
          </w:p>
        </w:tc>
        <w:tc>
          <w:tcPr>
            <w:tcW w:w="720" w:type="dxa"/>
            <w:tcBorders>
              <w:top w:val="single" w:sz="4" w:space="0" w:color="auto"/>
              <w:left w:val="nil"/>
              <w:bottom w:val="single" w:sz="4" w:space="0" w:color="auto"/>
              <w:right w:val="single" w:sz="4" w:space="0" w:color="auto"/>
            </w:tcBorders>
            <w:shd w:val="clear" w:color="auto" w:fill="C6EFCE"/>
            <w:noWrap/>
            <w:vAlign w:val="center"/>
          </w:tcPr>
          <w:p w14:paraId="48C86FAF"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2022</w:t>
            </w:r>
          </w:p>
        </w:tc>
        <w:tc>
          <w:tcPr>
            <w:tcW w:w="3182" w:type="dxa"/>
            <w:tcBorders>
              <w:top w:val="single" w:sz="4" w:space="0" w:color="auto"/>
              <w:left w:val="nil"/>
              <w:bottom w:val="single" w:sz="4" w:space="0" w:color="auto"/>
              <w:right w:val="single" w:sz="4" w:space="0" w:color="auto"/>
            </w:tcBorders>
            <w:shd w:val="clear" w:color="auto" w:fill="C6EFCE"/>
            <w:noWrap/>
            <w:vAlign w:val="center"/>
          </w:tcPr>
          <w:p w14:paraId="4C717A32" w14:textId="391D56A5"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The Just-on-Web basic portal is put on line. Just-on-Web shall be the “One Stop” web portal, where individuals, businesses, lawyers and public authorities may access justice services and information. At an initial stage, the Just-on-Web base portal shall provide a limited number of services such as filing procedural documents in a case, consulting criminal cases with regard to sexual offences, consultation and payment of traffic fines, consultation of personal official acts (such as marriage, adoption), starting a case on the protection of persons.</w:t>
            </w:r>
          </w:p>
        </w:tc>
      </w:tr>
      <w:tr w:rsidR="00BF38A0" w:rsidRPr="001961AA" w14:paraId="4204F73D" w14:textId="77777777" w:rsidTr="00BF38A0">
        <w:trPr>
          <w:trHeight w:val="309"/>
        </w:trPr>
        <w:tc>
          <w:tcPr>
            <w:tcW w:w="6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72D6B3C"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58</w:t>
            </w:r>
          </w:p>
        </w:tc>
        <w:tc>
          <w:tcPr>
            <w:tcW w:w="1446" w:type="dxa"/>
            <w:tcBorders>
              <w:top w:val="single" w:sz="4" w:space="0" w:color="auto"/>
              <w:left w:val="nil"/>
              <w:bottom w:val="single" w:sz="4" w:space="0" w:color="auto"/>
              <w:right w:val="single" w:sz="4" w:space="0" w:color="auto"/>
            </w:tcBorders>
            <w:shd w:val="clear" w:color="auto" w:fill="C6EFCE"/>
            <w:noWrap/>
            <w:vAlign w:val="center"/>
          </w:tcPr>
          <w:p w14:paraId="3477C134"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Digitalisation SPF (I-2.05)</w:t>
            </w:r>
          </w:p>
          <w:p w14:paraId="713BAAA6"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(Sub-measure 1: Digital transformation of Justice)</w:t>
            </w:r>
          </w:p>
        </w:tc>
        <w:tc>
          <w:tcPr>
            <w:tcW w:w="1080" w:type="dxa"/>
            <w:tcBorders>
              <w:top w:val="single" w:sz="4" w:space="0" w:color="auto"/>
              <w:left w:val="nil"/>
              <w:bottom w:val="single" w:sz="4" w:space="0" w:color="auto"/>
              <w:right w:val="single" w:sz="4" w:space="0" w:color="auto"/>
            </w:tcBorders>
            <w:shd w:val="clear" w:color="auto" w:fill="C6EFCE"/>
            <w:noWrap/>
            <w:vAlign w:val="center"/>
          </w:tcPr>
          <w:p w14:paraId="190E9C71" w14:textId="3BC53D5A"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M</w:t>
            </w:r>
          </w:p>
        </w:tc>
        <w:tc>
          <w:tcPr>
            <w:tcW w:w="1560" w:type="dxa"/>
            <w:tcBorders>
              <w:top w:val="single" w:sz="4" w:space="0" w:color="auto"/>
              <w:left w:val="nil"/>
              <w:bottom w:val="single" w:sz="4" w:space="0" w:color="auto"/>
              <w:right w:val="single" w:sz="4" w:space="0" w:color="auto"/>
            </w:tcBorders>
            <w:shd w:val="clear" w:color="auto" w:fill="C6EFCE"/>
            <w:noWrap/>
            <w:vAlign w:val="center"/>
          </w:tcPr>
          <w:p w14:paraId="60945186"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Internal centralization of court decisions</w:t>
            </w:r>
          </w:p>
        </w:tc>
        <w:tc>
          <w:tcPr>
            <w:tcW w:w="1920" w:type="dxa"/>
            <w:tcBorders>
              <w:top w:val="single" w:sz="4" w:space="0" w:color="auto"/>
              <w:left w:val="nil"/>
              <w:bottom w:val="single" w:sz="4" w:space="0" w:color="auto"/>
              <w:right w:val="single" w:sz="4" w:space="0" w:color="auto"/>
            </w:tcBorders>
            <w:shd w:val="clear" w:color="auto" w:fill="C6EFCE"/>
            <w:noWrap/>
            <w:vAlign w:val="center"/>
          </w:tcPr>
          <w:p w14:paraId="35085D8B" w14:textId="3263E2C8"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Judicial verdicts are available for consultation through the Just-on-Web portal.</w:t>
            </w:r>
          </w:p>
        </w:tc>
        <w:tc>
          <w:tcPr>
            <w:tcW w:w="1440" w:type="dxa"/>
            <w:tcBorders>
              <w:top w:val="single" w:sz="4" w:space="0" w:color="auto"/>
              <w:left w:val="nil"/>
              <w:bottom w:val="single" w:sz="4" w:space="0" w:color="auto"/>
              <w:right w:val="single" w:sz="4" w:space="0" w:color="auto"/>
            </w:tcBorders>
            <w:shd w:val="clear" w:color="auto" w:fill="C6EFCE"/>
            <w:noWrap/>
            <w:vAlign w:val="center"/>
          </w:tcPr>
          <w:p w14:paraId="1CF96B80" w14:textId="77777777" w:rsidR="006A41D9" w:rsidRPr="001961AA" w:rsidRDefault="006A41D9" w:rsidP="00BD6DD1">
            <w:pPr>
              <w:spacing w:after="0"/>
              <w:jc w:val="center"/>
              <w:rPr>
                <w:rFonts w:ascii="Times New Roman" w:eastAsia="Times New Roman" w:hAnsi="Times New Roman" w:cs="Times New Roman"/>
                <w:noProof/>
                <w:color w:val="006100"/>
                <w:lang w:val="en-GB" w:eastAsia="en-GB"/>
              </w:rPr>
            </w:pPr>
          </w:p>
        </w:tc>
        <w:tc>
          <w:tcPr>
            <w:tcW w:w="1080" w:type="dxa"/>
            <w:tcBorders>
              <w:top w:val="single" w:sz="4" w:space="0" w:color="auto"/>
              <w:left w:val="nil"/>
              <w:bottom w:val="single" w:sz="4" w:space="0" w:color="auto"/>
              <w:right w:val="single" w:sz="4" w:space="0" w:color="auto"/>
            </w:tcBorders>
            <w:shd w:val="clear" w:color="auto" w:fill="C6EFCE"/>
            <w:noWrap/>
            <w:vAlign w:val="center"/>
          </w:tcPr>
          <w:p w14:paraId="279DC459" w14:textId="77777777" w:rsidR="006A41D9" w:rsidRPr="001961AA" w:rsidRDefault="006A41D9" w:rsidP="00BD6DD1">
            <w:pPr>
              <w:spacing w:after="0"/>
              <w:jc w:val="center"/>
              <w:rPr>
                <w:rFonts w:ascii="Times New Roman" w:eastAsia="Times New Roman" w:hAnsi="Times New Roman" w:cs="Times New Roman"/>
                <w:noProof/>
                <w:color w:val="006100"/>
                <w:lang w:val="en-GB" w:eastAsia="en-GB"/>
              </w:rPr>
            </w:pPr>
          </w:p>
        </w:tc>
        <w:tc>
          <w:tcPr>
            <w:tcW w:w="840" w:type="dxa"/>
            <w:tcBorders>
              <w:top w:val="single" w:sz="4" w:space="0" w:color="auto"/>
              <w:left w:val="nil"/>
              <w:bottom w:val="single" w:sz="4" w:space="0" w:color="auto"/>
              <w:right w:val="single" w:sz="4" w:space="0" w:color="auto"/>
            </w:tcBorders>
            <w:shd w:val="clear" w:color="auto" w:fill="C6EFCE"/>
            <w:noWrap/>
            <w:vAlign w:val="center"/>
          </w:tcPr>
          <w:p w14:paraId="6A8262AC" w14:textId="77777777" w:rsidR="006A41D9" w:rsidRPr="001961AA" w:rsidRDefault="006A41D9" w:rsidP="00BD6DD1">
            <w:pPr>
              <w:spacing w:after="0"/>
              <w:jc w:val="center"/>
              <w:rPr>
                <w:rFonts w:ascii="Times New Roman" w:eastAsia="Times New Roman" w:hAnsi="Times New Roman" w:cs="Times New Roman"/>
                <w:noProof/>
                <w:color w:val="006100"/>
                <w:lang w:val="en-GB" w:eastAsia="en-GB"/>
              </w:rPr>
            </w:pPr>
          </w:p>
        </w:tc>
        <w:tc>
          <w:tcPr>
            <w:tcW w:w="960" w:type="dxa"/>
            <w:tcBorders>
              <w:top w:val="single" w:sz="4" w:space="0" w:color="auto"/>
              <w:left w:val="nil"/>
              <w:bottom w:val="single" w:sz="4" w:space="0" w:color="auto"/>
              <w:right w:val="single" w:sz="4" w:space="0" w:color="auto"/>
            </w:tcBorders>
            <w:shd w:val="clear" w:color="auto" w:fill="C6EFCE"/>
            <w:noWrap/>
            <w:vAlign w:val="center"/>
          </w:tcPr>
          <w:p w14:paraId="2710403F"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Q4</w:t>
            </w:r>
          </w:p>
        </w:tc>
        <w:tc>
          <w:tcPr>
            <w:tcW w:w="720" w:type="dxa"/>
            <w:tcBorders>
              <w:top w:val="single" w:sz="4" w:space="0" w:color="auto"/>
              <w:left w:val="nil"/>
              <w:bottom w:val="single" w:sz="4" w:space="0" w:color="auto"/>
              <w:right w:val="single" w:sz="4" w:space="0" w:color="auto"/>
            </w:tcBorders>
            <w:shd w:val="clear" w:color="auto" w:fill="C6EFCE"/>
            <w:noWrap/>
            <w:vAlign w:val="center"/>
          </w:tcPr>
          <w:p w14:paraId="357D699C"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2023</w:t>
            </w:r>
          </w:p>
        </w:tc>
        <w:tc>
          <w:tcPr>
            <w:tcW w:w="3182" w:type="dxa"/>
            <w:tcBorders>
              <w:top w:val="single" w:sz="4" w:space="0" w:color="auto"/>
              <w:left w:val="nil"/>
              <w:bottom w:val="single" w:sz="4" w:space="0" w:color="auto"/>
              <w:right w:val="single" w:sz="4" w:space="0" w:color="auto"/>
            </w:tcBorders>
            <w:shd w:val="clear" w:color="auto" w:fill="C6EFCE"/>
            <w:noWrap/>
            <w:vAlign w:val="center"/>
          </w:tcPr>
          <w:p w14:paraId="27494C68" w14:textId="41995061"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The relevant new judicial verdicts of the courts of first instance (including the justices of the peace and the police courts) and the courts of appeal shall be centralized internally. A fully automated pseudonymisation algorithm shall convert this centralized data source into a publishable version compliant with privacy regulations. 50% of the total amount of judicial verdicts delivered as of the entry into force of the law creating the central register are available for consultation through the Just-on-Web portal.</w:t>
            </w:r>
          </w:p>
        </w:tc>
      </w:tr>
      <w:tr w:rsidR="00BF38A0" w:rsidRPr="001961AA" w14:paraId="5A62E0EF" w14:textId="77777777" w:rsidTr="00BF38A0">
        <w:trPr>
          <w:trHeight w:val="309"/>
        </w:trPr>
        <w:tc>
          <w:tcPr>
            <w:tcW w:w="6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38DC79C"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59</w:t>
            </w:r>
          </w:p>
        </w:tc>
        <w:tc>
          <w:tcPr>
            <w:tcW w:w="1446" w:type="dxa"/>
            <w:tcBorders>
              <w:top w:val="single" w:sz="4" w:space="0" w:color="auto"/>
              <w:left w:val="nil"/>
              <w:bottom w:val="single" w:sz="4" w:space="0" w:color="auto"/>
              <w:right w:val="single" w:sz="4" w:space="0" w:color="auto"/>
            </w:tcBorders>
            <w:shd w:val="clear" w:color="auto" w:fill="C6EFCE"/>
            <w:noWrap/>
            <w:vAlign w:val="center"/>
          </w:tcPr>
          <w:p w14:paraId="012F8D75"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Digitalisation SPF (I-2.05)</w:t>
            </w:r>
          </w:p>
          <w:p w14:paraId="1852768E"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 xml:space="preserve">(Sub-measure 1: Digital transformation of Justice) </w:t>
            </w:r>
          </w:p>
        </w:tc>
        <w:tc>
          <w:tcPr>
            <w:tcW w:w="1080" w:type="dxa"/>
            <w:tcBorders>
              <w:top w:val="single" w:sz="4" w:space="0" w:color="auto"/>
              <w:left w:val="nil"/>
              <w:bottom w:val="single" w:sz="4" w:space="0" w:color="auto"/>
              <w:right w:val="single" w:sz="4" w:space="0" w:color="auto"/>
            </w:tcBorders>
            <w:shd w:val="clear" w:color="auto" w:fill="C6EFCE"/>
            <w:noWrap/>
            <w:vAlign w:val="center"/>
          </w:tcPr>
          <w:p w14:paraId="2E9AF024" w14:textId="705DCAFF"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M</w:t>
            </w:r>
          </w:p>
        </w:tc>
        <w:tc>
          <w:tcPr>
            <w:tcW w:w="1560" w:type="dxa"/>
            <w:tcBorders>
              <w:top w:val="single" w:sz="4" w:space="0" w:color="auto"/>
              <w:left w:val="nil"/>
              <w:bottom w:val="single" w:sz="4" w:space="0" w:color="auto"/>
              <w:right w:val="single" w:sz="4" w:space="0" w:color="auto"/>
            </w:tcBorders>
            <w:shd w:val="clear" w:color="auto" w:fill="C6EFCE"/>
            <w:noWrap/>
            <w:vAlign w:val="center"/>
          </w:tcPr>
          <w:p w14:paraId="08FB7028"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Database for the collection of real-time data</w:t>
            </w:r>
          </w:p>
        </w:tc>
        <w:tc>
          <w:tcPr>
            <w:tcW w:w="1920" w:type="dxa"/>
            <w:tcBorders>
              <w:top w:val="single" w:sz="4" w:space="0" w:color="auto"/>
              <w:left w:val="nil"/>
              <w:bottom w:val="single" w:sz="4" w:space="0" w:color="auto"/>
              <w:right w:val="single" w:sz="4" w:space="0" w:color="auto"/>
            </w:tcBorders>
            <w:shd w:val="clear" w:color="auto" w:fill="C6EFCE"/>
            <w:noWrap/>
            <w:vAlign w:val="center"/>
          </w:tcPr>
          <w:p w14:paraId="310A6CE9" w14:textId="16FEB2E5"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A database for the collection of real-time data on the progress of legal proceedings is operational</w:t>
            </w:r>
          </w:p>
        </w:tc>
        <w:tc>
          <w:tcPr>
            <w:tcW w:w="1440" w:type="dxa"/>
            <w:tcBorders>
              <w:top w:val="single" w:sz="4" w:space="0" w:color="auto"/>
              <w:left w:val="nil"/>
              <w:bottom w:val="single" w:sz="4" w:space="0" w:color="auto"/>
              <w:right w:val="single" w:sz="4" w:space="0" w:color="auto"/>
            </w:tcBorders>
            <w:shd w:val="clear" w:color="auto" w:fill="C6EFCE"/>
            <w:noWrap/>
            <w:vAlign w:val="center"/>
          </w:tcPr>
          <w:p w14:paraId="7800F594" w14:textId="77777777" w:rsidR="006A41D9" w:rsidRPr="001961AA" w:rsidRDefault="006A41D9" w:rsidP="00BD6DD1">
            <w:pPr>
              <w:spacing w:after="0"/>
              <w:jc w:val="center"/>
              <w:rPr>
                <w:rFonts w:ascii="Times New Roman" w:eastAsia="Times New Roman" w:hAnsi="Times New Roman" w:cs="Times New Roman"/>
                <w:noProof/>
                <w:color w:val="006100"/>
                <w:lang w:val="en-GB" w:eastAsia="en-GB"/>
              </w:rPr>
            </w:pPr>
          </w:p>
        </w:tc>
        <w:tc>
          <w:tcPr>
            <w:tcW w:w="1080" w:type="dxa"/>
            <w:tcBorders>
              <w:top w:val="single" w:sz="4" w:space="0" w:color="auto"/>
              <w:left w:val="nil"/>
              <w:bottom w:val="single" w:sz="4" w:space="0" w:color="auto"/>
              <w:right w:val="single" w:sz="4" w:space="0" w:color="auto"/>
            </w:tcBorders>
            <w:shd w:val="clear" w:color="auto" w:fill="C6EFCE"/>
            <w:noWrap/>
            <w:vAlign w:val="center"/>
          </w:tcPr>
          <w:p w14:paraId="57DA2989" w14:textId="77777777" w:rsidR="006A41D9" w:rsidRPr="001961AA" w:rsidRDefault="006A41D9" w:rsidP="00BD6DD1">
            <w:pPr>
              <w:spacing w:after="0"/>
              <w:jc w:val="center"/>
              <w:rPr>
                <w:rFonts w:ascii="Times New Roman" w:eastAsia="Times New Roman" w:hAnsi="Times New Roman" w:cs="Times New Roman"/>
                <w:noProof/>
                <w:color w:val="006100"/>
                <w:lang w:val="en-GB" w:eastAsia="en-GB"/>
              </w:rPr>
            </w:pPr>
          </w:p>
        </w:tc>
        <w:tc>
          <w:tcPr>
            <w:tcW w:w="840" w:type="dxa"/>
            <w:tcBorders>
              <w:top w:val="single" w:sz="4" w:space="0" w:color="auto"/>
              <w:left w:val="nil"/>
              <w:bottom w:val="single" w:sz="4" w:space="0" w:color="auto"/>
              <w:right w:val="single" w:sz="4" w:space="0" w:color="auto"/>
            </w:tcBorders>
            <w:shd w:val="clear" w:color="auto" w:fill="C6EFCE"/>
            <w:noWrap/>
            <w:vAlign w:val="center"/>
          </w:tcPr>
          <w:p w14:paraId="67784B41" w14:textId="77777777" w:rsidR="006A41D9" w:rsidRPr="001961AA" w:rsidRDefault="006A41D9" w:rsidP="00BD6DD1">
            <w:pPr>
              <w:spacing w:after="0"/>
              <w:jc w:val="center"/>
              <w:rPr>
                <w:rFonts w:ascii="Times New Roman" w:eastAsia="Times New Roman" w:hAnsi="Times New Roman" w:cs="Times New Roman"/>
                <w:noProof/>
                <w:color w:val="006100"/>
                <w:lang w:val="en-GB" w:eastAsia="en-GB"/>
              </w:rPr>
            </w:pPr>
          </w:p>
        </w:tc>
        <w:tc>
          <w:tcPr>
            <w:tcW w:w="960" w:type="dxa"/>
            <w:tcBorders>
              <w:top w:val="single" w:sz="4" w:space="0" w:color="auto"/>
              <w:left w:val="nil"/>
              <w:bottom w:val="single" w:sz="4" w:space="0" w:color="auto"/>
              <w:right w:val="single" w:sz="4" w:space="0" w:color="auto"/>
            </w:tcBorders>
            <w:shd w:val="clear" w:color="auto" w:fill="C6EFCE"/>
            <w:noWrap/>
            <w:vAlign w:val="center"/>
          </w:tcPr>
          <w:p w14:paraId="0CEBD854"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Q4</w:t>
            </w:r>
          </w:p>
        </w:tc>
        <w:tc>
          <w:tcPr>
            <w:tcW w:w="720" w:type="dxa"/>
            <w:tcBorders>
              <w:top w:val="single" w:sz="4" w:space="0" w:color="auto"/>
              <w:left w:val="nil"/>
              <w:bottom w:val="single" w:sz="4" w:space="0" w:color="auto"/>
              <w:right w:val="single" w:sz="4" w:space="0" w:color="auto"/>
            </w:tcBorders>
            <w:shd w:val="clear" w:color="auto" w:fill="C6EFCE"/>
            <w:noWrap/>
            <w:vAlign w:val="center"/>
          </w:tcPr>
          <w:p w14:paraId="4ED6CE94"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2024</w:t>
            </w:r>
          </w:p>
        </w:tc>
        <w:tc>
          <w:tcPr>
            <w:tcW w:w="3182" w:type="dxa"/>
            <w:tcBorders>
              <w:top w:val="single" w:sz="4" w:space="0" w:color="auto"/>
              <w:left w:val="nil"/>
              <w:bottom w:val="single" w:sz="4" w:space="0" w:color="auto"/>
              <w:right w:val="single" w:sz="4" w:space="0" w:color="auto"/>
            </w:tcBorders>
            <w:shd w:val="clear" w:color="auto" w:fill="C6EFCE"/>
            <w:noWrap/>
            <w:vAlign w:val="center"/>
          </w:tcPr>
          <w:p w14:paraId="21BFE939"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A database for the collection of real time data on the conduct of court proceedings is operational. The published data shall cover the number of new cases, the number of cases closed, pending cases and the average lead time, for both civil, business and criminal cases.</w:t>
            </w:r>
          </w:p>
        </w:tc>
      </w:tr>
      <w:tr w:rsidR="00BF38A0" w:rsidRPr="001961AA" w14:paraId="271495FD" w14:textId="77777777" w:rsidTr="00BF38A0">
        <w:trPr>
          <w:trHeight w:val="309"/>
        </w:trPr>
        <w:tc>
          <w:tcPr>
            <w:tcW w:w="6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E5C17A1"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60</w:t>
            </w:r>
          </w:p>
        </w:tc>
        <w:tc>
          <w:tcPr>
            <w:tcW w:w="1446" w:type="dxa"/>
            <w:tcBorders>
              <w:top w:val="single" w:sz="4" w:space="0" w:color="auto"/>
              <w:left w:val="nil"/>
              <w:bottom w:val="single" w:sz="4" w:space="0" w:color="auto"/>
              <w:right w:val="single" w:sz="4" w:space="0" w:color="auto"/>
            </w:tcBorders>
            <w:shd w:val="clear" w:color="auto" w:fill="C6EFCE"/>
            <w:noWrap/>
            <w:vAlign w:val="center"/>
          </w:tcPr>
          <w:p w14:paraId="4E03370E"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Digitalisation SPF (I-2.05)</w:t>
            </w:r>
          </w:p>
          <w:p w14:paraId="6C63FD6F"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 xml:space="preserve">(Sub-measure 1: Digital transformation of Justice) </w:t>
            </w:r>
          </w:p>
        </w:tc>
        <w:tc>
          <w:tcPr>
            <w:tcW w:w="1080" w:type="dxa"/>
            <w:tcBorders>
              <w:top w:val="single" w:sz="4" w:space="0" w:color="auto"/>
              <w:left w:val="nil"/>
              <w:bottom w:val="single" w:sz="4" w:space="0" w:color="auto"/>
              <w:right w:val="single" w:sz="4" w:space="0" w:color="auto"/>
            </w:tcBorders>
            <w:shd w:val="clear" w:color="auto" w:fill="C6EFCE"/>
            <w:noWrap/>
            <w:vAlign w:val="center"/>
          </w:tcPr>
          <w:p w14:paraId="52FE7400" w14:textId="0A9D2210"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M</w:t>
            </w:r>
          </w:p>
        </w:tc>
        <w:tc>
          <w:tcPr>
            <w:tcW w:w="1560" w:type="dxa"/>
            <w:tcBorders>
              <w:top w:val="single" w:sz="4" w:space="0" w:color="auto"/>
              <w:left w:val="nil"/>
              <w:bottom w:val="single" w:sz="4" w:space="0" w:color="auto"/>
              <w:right w:val="single" w:sz="4" w:space="0" w:color="auto"/>
            </w:tcBorders>
            <w:shd w:val="clear" w:color="auto" w:fill="C6EFCE"/>
            <w:noWrap/>
            <w:vAlign w:val="center"/>
          </w:tcPr>
          <w:p w14:paraId="06B4F467"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New Case Management System for seven entities</w:t>
            </w:r>
          </w:p>
        </w:tc>
        <w:tc>
          <w:tcPr>
            <w:tcW w:w="1920" w:type="dxa"/>
            <w:tcBorders>
              <w:top w:val="single" w:sz="4" w:space="0" w:color="auto"/>
              <w:left w:val="nil"/>
              <w:bottom w:val="single" w:sz="4" w:space="0" w:color="auto"/>
              <w:right w:val="single" w:sz="4" w:space="0" w:color="auto"/>
            </w:tcBorders>
            <w:shd w:val="clear" w:color="auto" w:fill="C6EFCE"/>
            <w:noWrap/>
            <w:vAlign w:val="center"/>
          </w:tcPr>
          <w:p w14:paraId="6710C312"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A new case management system shall be developed and deployed for seven entities</w:t>
            </w:r>
          </w:p>
        </w:tc>
        <w:tc>
          <w:tcPr>
            <w:tcW w:w="1440" w:type="dxa"/>
            <w:tcBorders>
              <w:top w:val="single" w:sz="4" w:space="0" w:color="auto"/>
              <w:left w:val="nil"/>
              <w:bottom w:val="single" w:sz="4" w:space="0" w:color="auto"/>
              <w:right w:val="single" w:sz="4" w:space="0" w:color="auto"/>
            </w:tcBorders>
            <w:shd w:val="clear" w:color="auto" w:fill="C6EFCE"/>
            <w:noWrap/>
            <w:vAlign w:val="center"/>
          </w:tcPr>
          <w:p w14:paraId="09187776" w14:textId="77777777" w:rsidR="006A41D9" w:rsidRPr="001961AA" w:rsidRDefault="006A41D9" w:rsidP="00BD6DD1">
            <w:pPr>
              <w:spacing w:after="0"/>
              <w:jc w:val="center"/>
              <w:rPr>
                <w:rFonts w:ascii="Times New Roman" w:eastAsia="Times New Roman" w:hAnsi="Times New Roman" w:cs="Times New Roman"/>
                <w:noProof/>
                <w:color w:val="006100"/>
                <w:lang w:val="en-GB" w:eastAsia="en-GB"/>
              </w:rPr>
            </w:pPr>
          </w:p>
        </w:tc>
        <w:tc>
          <w:tcPr>
            <w:tcW w:w="1080" w:type="dxa"/>
            <w:tcBorders>
              <w:top w:val="single" w:sz="4" w:space="0" w:color="auto"/>
              <w:left w:val="nil"/>
              <w:bottom w:val="single" w:sz="4" w:space="0" w:color="auto"/>
              <w:right w:val="single" w:sz="4" w:space="0" w:color="auto"/>
            </w:tcBorders>
            <w:shd w:val="clear" w:color="auto" w:fill="C6EFCE"/>
            <w:noWrap/>
            <w:vAlign w:val="center"/>
          </w:tcPr>
          <w:p w14:paraId="0AABAF41" w14:textId="77777777" w:rsidR="006A41D9" w:rsidRPr="001961AA" w:rsidRDefault="006A41D9" w:rsidP="00BD6DD1">
            <w:pPr>
              <w:spacing w:after="0"/>
              <w:jc w:val="center"/>
              <w:rPr>
                <w:rFonts w:ascii="Times New Roman" w:eastAsia="Times New Roman" w:hAnsi="Times New Roman" w:cs="Times New Roman"/>
                <w:noProof/>
                <w:color w:val="006100"/>
                <w:lang w:val="en-GB" w:eastAsia="en-GB"/>
              </w:rPr>
            </w:pPr>
          </w:p>
        </w:tc>
        <w:tc>
          <w:tcPr>
            <w:tcW w:w="840" w:type="dxa"/>
            <w:tcBorders>
              <w:top w:val="single" w:sz="4" w:space="0" w:color="auto"/>
              <w:left w:val="nil"/>
              <w:bottom w:val="single" w:sz="4" w:space="0" w:color="auto"/>
              <w:right w:val="single" w:sz="4" w:space="0" w:color="auto"/>
            </w:tcBorders>
            <w:shd w:val="clear" w:color="auto" w:fill="C6EFCE"/>
            <w:noWrap/>
            <w:vAlign w:val="center"/>
          </w:tcPr>
          <w:p w14:paraId="776F0BBB" w14:textId="77777777" w:rsidR="006A41D9" w:rsidRPr="001961AA" w:rsidRDefault="006A41D9" w:rsidP="00BD6DD1">
            <w:pPr>
              <w:spacing w:after="0"/>
              <w:jc w:val="center"/>
              <w:rPr>
                <w:rFonts w:ascii="Times New Roman" w:eastAsia="Times New Roman" w:hAnsi="Times New Roman" w:cs="Times New Roman"/>
                <w:noProof/>
                <w:color w:val="006100"/>
                <w:lang w:val="en-GB" w:eastAsia="en-GB"/>
              </w:rPr>
            </w:pPr>
          </w:p>
        </w:tc>
        <w:tc>
          <w:tcPr>
            <w:tcW w:w="960" w:type="dxa"/>
            <w:tcBorders>
              <w:top w:val="single" w:sz="4" w:space="0" w:color="auto"/>
              <w:left w:val="nil"/>
              <w:bottom w:val="single" w:sz="4" w:space="0" w:color="auto"/>
              <w:right w:val="single" w:sz="4" w:space="0" w:color="auto"/>
            </w:tcBorders>
            <w:shd w:val="clear" w:color="auto" w:fill="C6EFCE"/>
            <w:noWrap/>
            <w:vAlign w:val="center"/>
          </w:tcPr>
          <w:p w14:paraId="7A21EAD5"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Q4</w:t>
            </w:r>
          </w:p>
        </w:tc>
        <w:tc>
          <w:tcPr>
            <w:tcW w:w="720" w:type="dxa"/>
            <w:tcBorders>
              <w:top w:val="single" w:sz="4" w:space="0" w:color="auto"/>
              <w:left w:val="nil"/>
              <w:bottom w:val="single" w:sz="4" w:space="0" w:color="auto"/>
              <w:right w:val="single" w:sz="4" w:space="0" w:color="auto"/>
            </w:tcBorders>
            <w:shd w:val="clear" w:color="auto" w:fill="C6EFCE"/>
            <w:noWrap/>
            <w:vAlign w:val="center"/>
          </w:tcPr>
          <w:p w14:paraId="023AEEC9"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2025</w:t>
            </w:r>
          </w:p>
        </w:tc>
        <w:tc>
          <w:tcPr>
            <w:tcW w:w="3182" w:type="dxa"/>
            <w:tcBorders>
              <w:top w:val="single" w:sz="4" w:space="0" w:color="auto"/>
              <w:left w:val="nil"/>
              <w:bottom w:val="single" w:sz="4" w:space="0" w:color="auto"/>
              <w:right w:val="single" w:sz="4" w:space="0" w:color="auto"/>
            </w:tcBorders>
            <w:shd w:val="clear" w:color="auto" w:fill="C6EFCE"/>
            <w:noWrap/>
            <w:vAlign w:val="center"/>
          </w:tcPr>
          <w:p w14:paraId="29E73CCF"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A new case management system shall be developed and deployed</w:t>
            </w:r>
            <w:r w:rsidRPr="001961AA">
              <w:rPr>
                <w:rFonts w:ascii="Times New Roman" w:hAnsi="Times New Roman"/>
                <w:noProof/>
                <w:lang w:val="en-GB"/>
              </w:rPr>
              <w:t xml:space="preserve"> </w:t>
            </w:r>
            <w:r w:rsidRPr="001961AA">
              <w:rPr>
                <w:rFonts w:ascii="Times New Roman" w:hAnsi="Times New Roman"/>
                <w:noProof/>
                <w:color w:val="006100"/>
                <w:lang w:val="en-GB"/>
              </w:rPr>
              <w:t>for seven entities that use an outdated file management system, to make the judicial system more efficient by focusing on far-reaching digitization, which shall allow to process files faster and in larger quantities than today. The choice of entities shall be made in consultation with the College of Courts and Tribunals, the College of the Public Ministry, the College of the Court of Cassation and the ICT Steering Committee, but priority shall in principle be given to entities that are not included in the Mammouth at Central Hosting (MaCH) Phase 2 contract.</w:t>
            </w:r>
          </w:p>
        </w:tc>
      </w:tr>
      <w:tr w:rsidR="00BF38A0" w:rsidRPr="001961AA" w14:paraId="4458EB82" w14:textId="77777777" w:rsidTr="00BF38A0">
        <w:trPr>
          <w:trHeight w:val="309"/>
        </w:trPr>
        <w:tc>
          <w:tcPr>
            <w:tcW w:w="6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BCACBA6"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61</w:t>
            </w:r>
          </w:p>
        </w:tc>
        <w:tc>
          <w:tcPr>
            <w:tcW w:w="1446" w:type="dxa"/>
            <w:tcBorders>
              <w:top w:val="single" w:sz="4" w:space="0" w:color="auto"/>
              <w:left w:val="nil"/>
              <w:bottom w:val="single" w:sz="4" w:space="0" w:color="auto"/>
              <w:right w:val="single" w:sz="4" w:space="0" w:color="auto"/>
            </w:tcBorders>
            <w:shd w:val="clear" w:color="auto" w:fill="C6EFCE"/>
            <w:noWrap/>
            <w:vAlign w:val="center"/>
          </w:tcPr>
          <w:p w14:paraId="0DF376C0"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Digitalisation SPF (I-2.05)</w:t>
            </w:r>
          </w:p>
          <w:p w14:paraId="501F5640"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(Sub-measure 10: Single Digital Gateway)</w:t>
            </w:r>
          </w:p>
        </w:tc>
        <w:tc>
          <w:tcPr>
            <w:tcW w:w="1080" w:type="dxa"/>
            <w:tcBorders>
              <w:top w:val="single" w:sz="4" w:space="0" w:color="auto"/>
              <w:left w:val="nil"/>
              <w:bottom w:val="single" w:sz="4" w:space="0" w:color="auto"/>
              <w:right w:val="single" w:sz="4" w:space="0" w:color="auto"/>
            </w:tcBorders>
            <w:shd w:val="clear" w:color="auto" w:fill="C6EFCE"/>
            <w:noWrap/>
            <w:vAlign w:val="center"/>
          </w:tcPr>
          <w:p w14:paraId="5D3CBF6C" w14:textId="3E395EC2"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M</w:t>
            </w:r>
          </w:p>
        </w:tc>
        <w:tc>
          <w:tcPr>
            <w:tcW w:w="1560" w:type="dxa"/>
            <w:tcBorders>
              <w:top w:val="single" w:sz="4" w:space="0" w:color="auto"/>
              <w:left w:val="nil"/>
              <w:bottom w:val="single" w:sz="4" w:space="0" w:color="auto"/>
              <w:right w:val="single" w:sz="4" w:space="0" w:color="auto"/>
            </w:tcBorders>
            <w:shd w:val="clear" w:color="auto" w:fill="C6EFCE"/>
            <w:noWrap/>
            <w:vAlign w:val="center"/>
          </w:tcPr>
          <w:p w14:paraId="7E887AD5"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The front-end interface is developed</w:t>
            </w:r>
          </w:p>
        </w:tc>
        <w:tc>
          <w:tcPr>
            <w:tcW w:w="1920" w:type="dxa"/>
            <w:tcBorders>
              <w:top w:val="single" w:sz="4" w:space="0" w:color="auto"/>
              <w:left w:val="nil"/>
              <w:bottom w:val="single" w:sz="4" w:space="0" w:color="auto"/>
              <w:right w:val="single" w:sz="4" w:space="0" w:color="auto"/>
            </w:tcBorders>
            <w:shd w:val="clear" w:color="auto" w:fill="C6EFCE"/>
            <w:noWrap/>
            <w:vAlign w:val="center"/>
          </w:tcPr>
          <w:p w14:paraId="54DD2D19"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A Fully Only Once-compliant front end has been developed, tested and validated for 10 domains of activities.</w:t>
            </w:r>
          </w:p>
        </w:tc>
        <w:tc>
          <w:tcPr>
            <w:tcW w:w="1440" w:type="dxa"/>
            <w:tcBorders>
              <w:top w:val="single" w:sz="4" w:space="0" w:color="auto"/>
              <w:left w:val="nil"/>
              <w:bottom w:val="single" w:sz="4" w:space="0" w:color="auto"/>
              <w:right w:val="single" w:sz="4" w:space="0" w:color="auto"/>
            </w:tcBorders>
            <w:shd w:val="clear" w:color="auto" w:fill="C6EFCE"/>
            <w:noWrap/>
            <w:vAlign w:val="center"/>
          </w:tcPr>
          <w:p w14:paraId="4417EB54" w14:textId="77777777" w:rsidR="006A41D9" w:rsidRPr="001961AA" w:rsidRDefault="006A41D9" w:rsidP="00BD6DD1">
            <w:pPr>
              <w:spacing w:after="0"/>
              <w:jc w:val="center"/>
              <w:rPr>
                <w:rFonts w:ascii="Times New Roman" w:eastAsia="Times New Roman" w:hAnsi="Times New Roman" w:cs="Times New Roman"/>
                <w:noProof/>
                <w:color w:val="006100"/>
                <w:lang w:val="en-GB" w:eastAsia="en-GB"/>
              </w:rPr>
            </w:pPr>
          </w:p>
        </w:tc>
        <w:tc>
          <w:tcPr>
            <w:tcW w:w="1080" w:type="dxa"/>
            <w:tcBorders>
              <w:top w:val="single" w:sz="4" w:space="0" w:color="auto"/>
              <w:left w:val="nil"/>
              <w:bottom w:val="single" w:sz="4" w:space="0" w:color="auto"/>
              <w:right w:val="single" w:sz="4" w:space="0" w:color="auto"/>
            </w:tcBorders>
            <w:shd w:val="clear" w:color="auto" w:fill="C6EFCE"/>
            <w:noWrap/>
            <w:vAlign w:val="center"/>
          </w:tcPr>
          <w:p w14:paraId="64ABC7C9" w14:textId="77777777" w:rsidR="006A41D9" w:rsidRPr="001961AA" w:rsidRDefault="006A41D9" w:rsidP="00BD6DD1">
            <w:pPr>
              <w:spacing w:after="0"/>
              <w:jc w:val="center"/>
              <w:rPr>
                <w:rFonts w:ascii="Times New Roman" w:eastAsia="Times New Roman" w:hAnsi="Times New Roman" w:cs="Times New Roman"/>
                <w:noProof/>
                <w:color w:val="006100"/>
                <w:lang w:val="en-GB" w:eastAsia="en-GB"/>
              </w:rPr>
            </w:pPr>
          </w:p>
        </w:tc>
        <w:tc>
          <w:tcPr>
            <w:tcW w:w="840" w:type="dxa"/>
            <w:tcBorders>
              <w:top w:val="single" w:sz="4" w:space="0" w:color="auto"/>
              <w:left w:val="nil"/>
              <w:bottom w:val="single" w:sz="4" w:space="0" w:color="auto"/>
              <w:right w:val="single" w:sz="4" w:space="0" w:color="auto"/>
            </w:tcBorders>
            <w:shd w:val="clear" w:color="auto" w:fill="C6EFCE"/>
            <w:noWrap/>
            <w:vAlign w:val="center"/>
          </w:tcPr>
          <w:p w14:paraId="2D1C54CB" w14:textId="77777777" w:rsidR="006A41D9" w:rsidRPr="001961AA" w:rsidRDefault="006A41D9" w:rsidP="00BD6DD1">
            <w:pPr>
              <w:spacing w:after="0"/>
              <w:jc w:val="center"/>
              <w:rPr>
                <w:rFonts w:ascii="Times New Roman" w:eastAsia="Times New Roman" w:hAnsi="Times New Roman" w:cs="Times New Roman"/>
                <w:noProof/>
                <w:color w:val="006100"/>
                <w:lang w:val="en-GB" w:eastAsia="en-GB"/>
              </w:rPr>
            </w:pPr>
          </w:p>
        </w:tc>
        <w:tc>
          <w:tcPr>
            <w:tcW w:w="960" w:type="dxa"/>
            <w:tcBorders>
              <w:top w:val="single" w:sz="4" w:space="0" w:color="auto"/>
              <w:left w:val="nil"/>
              <w:bottom w:val="single" w:sz="4" w:space="0" w:color="auto"/>
              <w:right w:val="single" w:sz="4" w:space="0" w:color="auto"/>
            </w:tcBorders>
            <w:shd w:val="clear" w:color="auto" w:fill="C6EFCE"/>
            <w:noWrap/>
            <w:vAlign w:val="center"/>
          </w:tcPr>
          <w:p w14:paraId="32EDC35E"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Q4</w:t>
            </w:r>
          </w:p>
        </w:tc>
        <w:tc>
          <w:tcPr>
            <w:tcW w:w="720" w:type="dxa"/>
            <w:tcBorders>
              <w:top w:val="single" w:sz="4" w:space="0" w:color="auto"/>
              <w:left w:val="nil"/>
              <w:bottom w:val="single" w:sz="4" w:space="0" w:color="auto"/>
              <w:right w:val="single" w:sz="4" w:space="0" w:color="auto"/>
            </w:tcBorders>
            <w:shd w:val="clear" w:color="auto" w:fill="C6EFCE"/>
            <w:noWrap/>
            <w:vAlign w:val="center"/>
          </w:tcPr>
          <w:p w14:paraId="666CBBE5" w14:textId="4421A90C"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2025</w:t>
            </w:r>
            <w:r w:rsidRPr="001961AA">
              <w:rPr>
                <w:rStyle w:val="FootnoteReference"/>
                <w:rFonts w:ascii="Times New Roman" w:eastAsia="Times New Roman" w:hAnsi="Times New Roman" w:cs="Times New Roman"/>
                <w:noProof/>
                <w:color w:val="006100"/>
                <w:lang w:val="en-GB" w:eastAsia="en-GB"/>
              </w:rPr>
              <w:footnoteReference w:id="6"/>
            </w:r>
          </w:p>
        </w:tc>
        <w:tc>
          <w:tcPr>
            <w:tcW w:w="3182" w:type="dxa"/>
            <w:tcBorders>
              <w:top w:val="single" w:sz="4" w:space="0" w:color="auto"/>
              <w:left w:val="nil"/>
              <w:bottom w:val="single" w:sz="4" w:space="0" w:color="auto"/>
              <w:right w:val="single" w:sz="4" w:space="0" w:color="auto"/>
            </w:tcBorders>
            <w:shd w:val="clear" w:color="auto" w:fill="C6EFCE"/>
            <w:noWrap/>
            <w:vAlign w:val="center"/>
          </w:tcPr>
          <w:p w14:paraId="74713CB8" w14:textId="7CB0CBF8" w:rsidR="006A41D9" w:rsidRPr="001961AA" w:rsidRDefault="006A41D9" w:rsidP="000F62C7">
            <w:pPr>
              <w:spacing w:after="12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A Fully Only Once-compliant front end has been developed, tested and validated for 10 domains (i.e., civil register, population register, social security (employees), social security (employers), motor vehicle register, professional qualifications, legal entities, starting a business, modifying a business, closing a business). The system shall ensure compliance with eIDAS (Electronic Identification, Authentication and Trust Services) regulation and shall be fully user centric by fully applying the "no wrong door" principle.</w:t>
            </w:r>
          </w:p>
          <w:p w14:paraId="482B689B"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The “no wrong door” principle in this context means that the end user (citizen or entrepreneur) shall be able to get in touch with the assistance services no matter his/her entrance point, whether it shall be “your Europe”, or “Belgium.be”, a regional portal site, a local entrance point or any public service, no matter the device he/she uses (such as mobile phone, tablet, laptop) and no matter the subject of his/her question. The administrative logic behind the entrance point, at the back office level, shall make sure that the question of the end user shall arrive at the right desk without the end user having to wonder which administration is responsible for which topic.</w:t>
            </w:r>
          </w:p>
        </w:tc>
      </w:tr>
      <w:tr w:rsidR="00BF38A0" w:rsidRPr="001961AA" w14:paraId="3850DC9E" w14:textId="77777777" w:rsidTr="00BF38A0">
        <w:trPr>
          <w:trHeight w:val="309"/>
        </w:trPr>
        <w:tc>
          <w:tcPr>
            <w:tcW w:w="6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24FB4F8"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62</w:t>
            </w:r>
          </w:p>
        </w:tc>
        <w:tc>
          <w:tcPr>
            <w:tcW w:w="1446" w:type="dxa"/>
            <w:tcBorders>
              <w:top w:val="single" w:sz="4" w:space="0" w:color="auto"/>
              <w:left w:val="nil"/>
              <w:bottom w:val="single" w:sz="4" w:space="0" w:color="auto"/>
              <w:right w:val="single" w:sz="4" w:space="0" w:color="auto"/>
            </w:tcBorders>
            <w:shd w:val="clear" w:color="auto" w:fill="C6EFCE"/>
            <w:noWrap/>
            <w:vAlign w:val="center"/>
          </w:tcPr>
          <w:p w14:paraId="66DE404B"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eHealth Services and Health Data (I-2.06)</w:t>
            </w:r>
          </w:p>
        </w:tc>
        <w:tc>
          <w:tcPr>
            <w:tcW w:w="1080" w:type="dxa"/>
            <w:tcBorders>
              <w:top w:val="single" w:sz="4" w:space="0" w:color="auto"/>
              <w:left w:val="nil"/>
              <w:bottom w:val="single" w:sz="4" w:space="0" w:color="auto"/>
              <w:right w:val="single" w:sz="4" w:space="0" w:color="auto"/>
            </w:tcBorders>
            <w:shd w:val="clear" w:color="auto" w:fill="C6EFCE"/>
            <w:noWrap/>
            <w:vAlign w:val="center"/>
          </w:tcPr>
          <w:p w14:paraId="775571E8" w14:textId="5E2DAB32"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M</w:t>
            </w:r>
          </w:p>
        </w:tc>
        <w:tc>
          <w:tcPr>
            <w:tcW w:w="1560" w:type="dxa"/>
            <w:tcBorders>
              <w:top w:val="single" w:sz="4" w:space="0" w:color="auto"/>
              <w:left w:val="nil"/>
              <w:bottom w:val="single" w:sz="4" w:space="0" w:color="auto"/>
              <w:right w:val="single" w:sz="4" w:space="0" w:color="auto"/>
            </w:tcBorders>
            <w:shd w:val="clear" w:color="auto" w:fill="C6EFCE"/>
            <w:noWrap/>
            <w:vAlign w:val="center"/>
          </w:tcPr>
          <w:p w14:paraId="23FFCA5E"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Entry into force of the law setting up the Health Data Authority</w:t>
            </w:r>
          </w:p>
        </w:tc>
        <w:tc>
          <w:tcPr>
            <w:tcW w:w="1920" w:type="dxa"/>
            <w:tcBorders>
              <w:top w:val="single" w:sz="4" w:space="0" w:color="auto"/>
              <w:left w:val="nil"/>
              <w:bottom w:val="single" w:sz="4" w:space="0" w:color="auto"/>
              <w:right w:val="single" w:sz="4" w:space="0" w:color="auto"/>
            </w:tcBorders>
            <w:shd w:val="clear" w:color="auto" w:fill="C6EFCE"/>
            <w:noWrap/>
            <w:vAlign w:val="center"/>
          </w:tcPr>
          <w:p w14:paraId="27034002"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Provision in the law indicating the entry into force of the law</w:t>
            </w:r>
          </w:p>
        </w:tc>
        <w:tc>
          <w:tcPr>
            <w:tcW w:w="1440" w:type="dxa"/>
            <w:tcBorders>
              <w:top w:val="single" w:sz="4" w:space="0" w:color="auto"/>
              <w:left w:val="nil"/>
              <w:bottom w:val="single" w:sz="4" w:space="0" w:color="auto"/>
              <w:right w:val="single" w:sz="4" w:space="0" w:color="auto"/>
            </w:tcBorders>
            <w:shd w:val="clear" w:color="auto" w:fill="C6EFCE"/>
            <w:noWrap/>
            <w:vAlign w:val="center"/>
          </w:tcPr>
          <w:p w14:paraId="42BB479F" w14:textId="77777777" w:rsidR="006A41D9" w:rsidRPr="001961AA" w:rsidRDefault="006A41D9" w:rsidP="00BD6DD1">
            <w:pPr>
              <w:spacing w:after="0"/>
              <w:jc w:val="center"/>
              <w:rPr>
                <w:rFonts w:ascii="Times New Roman" w:eastAsia="Times New Roman" w:hAnsi="Times New Roman" w:cs="Times New Roman"/>
                <w:noProof/>
                <w:color w:val="006100"/>
                <w:lang w:val="en-GB" w:eastAsia="en-GB"/>
              </w:rPr>
            </w:pPr>
          </w:p>
        </w:tc>
        <w:tc>
          <w:tcPr>
            <w:tcW w:w="1080" w:type="dxa"/>
            <w:tcBorders>
              <w:top w:val="single" w:sz="4" w:space="0" w:color="auto"/>
              <w:left w:val="nil"/>
              <w:bottom w:val="single" w:sz="4" w:space="0" w:color="auto"/>
              <w:right w:val="single" w:sz="4" w:space="0" w:color="auto"/>
            </w:tcBorders>
            <w:shd w:val="clear" w:color="auto" w:fill="C6EFCE"/>
            <w:noWrap/>
            <w:vAlign w:val="center"/>
          </w:tcPr>
          <w:p w14:paraId="25B76FC3" w14:textId="77777777" w:rsidR="006A41D9" w:rsidRPr="001961AA" w:rsidRDefault="006A41D9" w:rsidP="00BD6DD1">
            <w:pPr>
              <w:spacing w:after="0"/>
              <w:jc w:val="center"/>
              <w:rPr>
                <w:rFonts w:ascii="Times New Roman" w:eastAsia="Times New Roman" w:hAnsi="Times New Roman" w:cs="Times New Roman"/>
                <w:noProof/>
                <w:color w:val="006100"/>
                <w:lang w:val="en-GB" w:eastAsia="en-GB"/>
              </w:rPr>
            </w:pPr>
          </w:p>
        </w:tc>
        <w:tc>
          <w:tcPr>
            <w:tcW w:w="840" w:type="dxa"/>
            <w:tcBorders>
              <w:top w:val="single" w:sz="4" w:space="0" w:color="auto"/>
              <w:left w:val="nil"/>
              <w:bottom w:val="single" w:sz="4" w:space="0" w:color="auto"/>
              <w:right w:val="single" w:sz="4" w:space="0" w:color="auto"/>
            </w:tcBorders>
            <w:shd w:val="clear" w:color="auto" w:fill="C6EFCE"/>
            <w:noWrap/>
            <w:vAlign w:val="center"/>
          </w:tcPr>
          <w:p w14:paraId="09474CE2" w14:textId="77777777" w:rsidR="006A41D9" w:rsidRPr="001961AA" w:rsidRDefault="006A41D9" w:rsidP="00BD6DD1">
            <w:pPr>
              <w:spacing w:after="0"/>
              <w:jc w:val="center"/>
              <w:rPr>
                <w:rFonts w:ascii="Times New Roman" w:eastAsia="Times New Roman" w:hAnsi="Times New Roman" w:cs="Times New Roman"/>
                <w:noProof/>
                <w:color w:val="006100"/>
                <w:lang w:val="en-GB" w:eastAsia="en-GB"/>
              </w:rPr>
            </w:pPr>
          </w:p>
        </w:tc>
        <w:tc>
          <w:tcPr>
            <w:tcW w:w="960" w:type="dxa"/>
            <w:tcBorders>
              <w:top w:val="single" w:sz="4" w:space="0" w:color="auto"/>
              <w:left w:val="nil"/>
              <w:bottom w:val="single" w:sz="4" w:space="0" w:color="auto"/>
              <w:right w:val="single" w:sz="4" w:space="0" w:color="auto"/>
            </w:tcBorders>
            <w:shd w:val="clear" w:color="auto" w:fill="C6EFCE"/>
            <w:noWrap/>
            <w:vAlign w:val="center"/>
          </w:tcPr>
          <w:p w14:paraId="0F5D20B1"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Q1</w:t>
            </w:r>
          </w:p>
        </w:tc>
        <w:tc>
          <w:tcPr>
            <w:tcW w:w="720" w:type="dxa"/>
            <w:tcBorders>
              <w:top w:val="single" w:sz="4" w:space="0" w:color="auto"/>
              <w:left w:val="nil"/>
              <w:bottom w:val="single" w:sz="4" w:space="0" w:color="auto"/>
              <w:right w:val="single" w:sz="4" w:space="0" w:color="auto"/>
            </w:tcBorders>
            <w:shd w:val="clear" w:color="auto" w:fill="C6EFCE"/>
            <w:noWrap/>
            <w:vAlign w:val="center"/>
          </w:tcPr>
          <w:p w14:paraId="02BBEEB0"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2022</w:t>
            </w:r>
          </w:p>
        </w:tc>
        <w:tc>
          <w:tcPr>
            <w:tcW w:w="3182" w:type="dxa"/>
            <w:tcBorders>
              <w:top w:val="single" w:sz="4" w:space="0" w:color="auto"/>
              <w:left w:val="nil"/>
              <w:bottom w:val="single" w:sz="4" w:space="0" w:color="auto"/>
              <w:right w:val="single" w:sz="4" w:space="0" w:color="auto"/>
            </w:tcBorders>
            <w:shd w:val="clear" w:color="auto" w:fill="C6EFCE"/>
            <w:noWrap/>
            <w:vAlign w:val="center"/>
          </w:tcPr>
          <w:p w14:paraId="7EC074E1" w14:textId="332ED0E1"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 xml:space="preserve">Entry into force of the law setting up the Health Data Authority, defining in particular the role and the responsibilities of the Authority. </w:t>
            </w:r>
          </w:p>
        </w:tc>
      </w:tr>
      <w:tr w:rsidR="00BF38A0" w:rsidRPr="001961AA" w14:paraId="1AC0FE97" w14:textId="77777777" w:rsidTr="00BF38A0">
        <w:trPr>
          <w:trHeight w:val="309"/>
        </w:trPr>
        <w:tc>
          <w:tcPr>
            <w:tcW w:w="6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12C7424"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63</w:t>
            </w:r>
          </w:p>
        </w:tc>
        <w:tc>
          <w:tcPr>
            <w:tcW w:w="1446" w:type="dxa"/>
            <w:tcBorders>
              <w:top w:val="single" w:sz="4" w:space="0" w:color="auto"/>
              <w:left w:val="nil"/>
              <w:bottom w:val="single" w:sz="4" w:space="0" w:color="auto"/>
              <w:right w:val="single" w:sz="4" w:space="0" w:color="auto"/>
            </w:tcBorders>
            <w:shd w:val="clear" w:color="auto" w:fill="C6EFCE"/>
            <w:noWrap/>
            <w:vAlign w:val="center"/>
          </w:tcPr>
          <w:p w14:paraId="71703B47"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eHealth Services and Health Data (I-2.06)</w:t>
            </w:r>
          </w:p>
        </w:tc>
        <w:tc>
          <w:tcPr>
            <w:tcW w:w="1080" w:type="dxa"/>
            <w:tcBorders>
              <w:top w:val="single" w:sz="4" w:space="0" w:color="auto"/>
              <w:left w:val="nil"/>
              <w:bottom w:val="single" w:sz="4" w:space="0" w:color="auto"/>
              <w:right w:val="single" w:sz="4" w:space="0" w:color="auto"/>
            </w:tcBorders>
            <w:shd w:val="clear" w:color="auto" w:fill="C6EFCE"/>
            <w:noWrap/>
            <w:vAlign w:val="center"/>
          </w:tcPr>
          <w:p w14:paraId="799F0774" w14:textId="0A1FE459"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M</w:t>
            </w:r>
          </w:p>
        </w:tc>
        <w:tc>
          <w:tcPr>
            <w:tcW w:w="1560" w:type="dxa"/>
            <w:tcBorders>
              <w:top w:val="single" w:sz="4" w:space="0" w:color="auto"/>
              <w:left w:val="nil"/>
              <w:bottom w:val="single" w:sz="4" w:space="0" w:color="auto"/>
              <w:right w:val="single" w:sz="4" w:space="0" w:color="auto"/>
            </w:tcBorders>
            <w:shd w:val="clear" w:color="auto" w:fill="C6EFCE"/>
            <w:noWrap/>
            <w:vAlign w:val="center"/>
          </w:tcPr>
          <w:p w14:paraId="64EDE64C" w14:textId="261024A7" w:rsidR="006A41D9" w:rsidRPr="001961AA" w:rsidRDefault="378B34E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Requirements for the subprojects</w:t>
            </w:r>
          </w:p>
        </w:tc>
        <w:tc>
          <w:tcPr>
            <w:tcW w:w="1920" w:type="dxa"/>
            <w:tcBorders>
              <w:top w:val="single" w:sz="4" w:space="0" w:color="auto"/>
              <w:left w:val="nil"/>
              <w:bottom w:val="single" w:sz="4" w:space="0" w:color="auto"/>
              <w:right w:val="single" w:sz="4" w:space="0" w:color="auto"/>
            </w:tcBorders>
            <w:shd w:val="clear" w:color="auto" w:fill="C6EFCE"/>
            <w:noWrap/>
            <w:vAlign w:val="center"/>
          </w:tcPr>
          <w:p w14:paraId="15A8E6E0" w14:textId="3BFC2398" w:rsidR="006A41D9" w:rsidRPr="001961AA" w:rsidRDefault="71F9D54F"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Definition of the requirements for the eHealth sub-projects</w:t>
            </w:r>
          </w:p>
        </w:tc>
        <w:tc>
          <w:tcPr>
            <w:tcW w:w="1440" w:type="dxa"/>
            <w:tcBorders>
              <w:top w:val="single" w:sz="4" w:space="0" w:color="auto"/>
              <w:left w:val="nil"/>
              <w:bottom w:val="single" w:sz="4" w:space="0" w:color="auto"/>
              <w:right w:val="single" w:sz="4" w:space="0" w:color="auto"/>
            </w:tcBorders>
            <w:shd w:val="clear" w:color="auto" w:fill="C6EFCE"/>
            <w:noWrap/>
            <w:vAlign w:val="center"/>
          </w:tcPr>
          <w:p w14:paraId="0BADDD1F" w14:textId="77777777" w:rsidR="006A41D9" w:rsidRPr="001961AA" w:rsidRDefault="006A41D9" w:rsidP="00BD6DD1">
            <w:pPr>
              <w:spacing w:after="0"/>
              <w:jc w:val="center"/>
              <w:rPr>
                <w:rFonts w:ascii="Times New Roman" w:eastAsia="Times New Roman" w:hAnsi="Times New Roman" w:cs="Times New Roman"/>
                <w:noProof/>
                <w:color w:val="006100"/>
                <w:lang w:val="en-GB" w:eastAsia="en-GB"/>
              </w:rPr>
            </w:pPr>
          </w:p>
        </w:tc>
        <w:tc>
          <w:tcPr>
            <w:tcW w:w="1080" w:type="dxa"/>
            <w:tcBorders>
              <w:top w:val="single" w:sz="4" w:space="0" w:color="auto"/>
              <w:left w:val="nil"/>
              <w:bottom w:val="single" w:sz="4" w:space="0" w:color="auto"/>
              <w:right w:val="single" w:sz="4" w:space="0" w:color="auto"/>
            </w:tcBorders>
            <w:shd w:val="clear" w:color="auto" w:fill="C6EFCE"/>
            <w:noWrap/>
            <w:vAlign w:val="center"/>
          </w:tcPr>
          <w:p w14:paraId="28089527" w14:textId="77777777" w:rsidR="006A41D9" w:rsidRPr="001961AA" w:rsidRDefault="006A41D9" w:rsidP="00BD6DD1">
            <w:pPr>
              <w:spacing w:after="0"/>
              <w:jc w:val="center"/>
              <w:rPr>
                <w:rFonts w:ascii="Times New Roman" w:eastAsia="Times New Roman" w:hAnsi="Times New Roman" w:cs="Times New Roman"/>
                <w:noProof/>
                <w:color w:val="006100"/>
                <w:lang w:val="en-GB" w:eastAsia="en-GB"/>
              </w:rPr>
            </w:pPr>
          </w:p>
        </w:tc>
        <w:tc>
          <w:tcPr>
            <w:tcW w:w="840" w:type="dxa"/>
            <w:tcBorders>
              <w:top w:val="single" w:sz="4" w:space="0" w:color="auto"/>
              <w:left w:val="nil"/>
              <w:bottom w:val="single" w:sz="4" w:space="0" w:color="auto"/>
              <w:right w:val="single" w:sz="4" w:space="0" w:color="auto"/>
            </w:tcBorders>
            <w:shd w:val="clear" w:color="auto" w:fill="C6EFCE"/>
            <w:noWrap/>
            <w:vAlign w:val="center"/>
          </w:tcPr>
          <w:p w14:paraId="6C4EB70E" w14:textId="77777777" w:rsidR="006A41D9" w:rsidRPr="001961AA" w:rsidRDefault="006A41D9" w:rsidP="00BD6DD1">
            <w:pPr>
              <w:spacing w:after="0"/>
              <w:jc w:val="center"/>
              <w:rPr>
                <w:rFonts w:ascii="Times New Roman" w:eastAsia="Times New Roman" w:hAnsi="Times New Roman" w:cs="Times New Roman"/>
                <w:noProof/>
                <w:color w:val="006100"/>
                <w:lang w:val="en-GB" w:eastAsia="en-GB"/>
              </w:rPr>
            </w:pPr>
          </w:p>
        </w:tc>
        <w:tc>
          <w:tcPr>
            <w:tcW w:w="960" w:type="dxa"/>
            <w:tcBorders>
              <w:top w:val="single" w:sz="4" w:space="0" w:color="auto"/>
              <w:left w:val="nil"/>
              <w:bottom w:val="single" w:sz="4" w:space="0" w:color="auto"/>
              <w:right w:val="single" w:sz="4" w:space="0" w:color="auto"/>
            </w:tcBorders>
            <w:shd w:val="clear" w:color="auto" w:fill="C6EFCE"/>
            <w:noWrap/>
            <w:vAlign w:val="center"/>
          </w:tcPr>
          <w:p w14:paraId="22D195A4"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Q2</w:t>
            </w:r>
          </w:p>
        </w:tc>
        <w:tc>
          <w:tcPr>
            <w:tcW w:w="720" w:type="dxa"/>
            <w:tcBorders>
              <w:top w:val="single" w:sz="4" w:space="0" w:color="auto"/>
              <w:left w:val="nil"/>
              <w:bottom w:val="single" w:sz="4" w:space="0" w:color="auto"/>
              <w:right w:val="single" w:sz="4" w:space="0" w:color="auto"/>
            </w:tcBorders>
            <w:shd w:val="clear" w:color="auto" w:fill="C6EFCE"/>
            <w:noWrap/>
            <w:vAlign w:val="center"/>
          </w:tcPr>
          <w:p w14:paraId="5D666A4D"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2022</w:t>
            </w:r>
          </w:p>
        </w:tc>
        <w:tc>
          <w:tcPr>
            <w:tcW w:w="3182" w:type="dxa"/>
            <w:tcBorders>
              <w:top w:val="single" w:sz="4" w:space="0" w:color="auto"/>
              <w:left w:val="nil"/>
              <w:bottom w:val="single" w:sz="4" w:space="0" w:color="auto"/>
              <w:right w:val="single" w:sz="4" w:space="0" w:color="auto"/>
            </w:tcBorders>
            <w:shd w:val="clear" w:color="auto" w:fill="C6EFCE"/>
            <w:noWrap/>
            <w:vAlign w:val="center"/>
          </w:tcPr>
          <w:p w14:paraId="3D08EEE1" w14:textId="52EE5BCE" w:rsidR="006A41D9" w:rsidRPr="001961AA" w:rsidRDefault="1144D5EA"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The requirements for the different eHealth subprojects are defined.</w:t>
            </w:r>
          </w:p>
        </w:tc>
      </w:tr>
      <w:tr w:rsidR="00BF38A0" w:rsidRPr="001961AA" w14:paraId="5626D644" w14:textId="77777777" w:rsidTr="00BF38A0">
        <w:trPr>
          <w:trHeight w:val="309"/>
        </w:trPr>
        <w:tc>
          <w:tcPr>
            <w:tcW w:w="6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8F399F4"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64</w:t>
            </w:r>
          </w:p>
        </w:tc>
        <w:tc>
          <w:tcPr>
            <w:tcW w:w="1446" w:type="dxa"/>
            <w:tcBorders>
              <w:top w:val="single" w:sz="4" w:space="0" w:color="auto"/>
              <w:left w:val="nil"/>
              <w:bottom w:val="single" w:sz="4" w:space="0" w:color="auto"/>
              <w:right w:val="single" w:sz="4" w:space="0" w:color="auto"/>
            </w:tcBorders>
            <w:shd w:val="clear" w:color="auto" w:fill="C6EFCE"/>
            <w:noWrap/>
            <w:vAlign w:val="center"/>
          </w:tcPr>
          <w:p w14:paraId="34662133"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eHealth Services et Health Data (I-2.06)</w:t>
            </w:r>
          </w:p>
        </w:tc>
        <w:tc>
          <w:tcPr>
            <w:tcW w:w="1080" w:type="dxa"/>
            <w:tcBorders>
              <w:top w:val="single" w:sz="4" w:space="0" w:color="auto"/>
              <w:left w:val="nil"/>
              <w:bottom w:val="single" w:sz="4" w:space="0" w:color="auto"/>
              <w:right w:val="single" w:sz="4" w:space="0" w:color="auto"/>
            </w:tcBorders>
            <w:shd w:val="clear" w:color="auto" w:fill="C6EFCE"/>
            <w:noWrap/>
            <w:vAlign w:val="center"/>
          </w:tcPr>
          <w:p w14:paraId="4D14693C" w14:textId="168DBF7B"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M</w:t>
            </w:r>
          </w:p>
        </w:tc>
        <w:tc>
          <w:tcPr>
            <w:tcW w:w="1560" w:type="dxa"/>
            <w:tcBorders>
              <w:top w:val="single" w:sz="4" w:space="0" w:color="auto"/>
              <w:left w:val="nil"/>
              <w:bottom w:val="single" w:sz="4" w:space="0" w:color="auto"/>
              <w:right w:val="single" w:sz="4" w:space="0" w:color="auto"/>
            </w:tcBorders>
            <w:shd w:val="clear" w:color="auto" w:fill="C6EFCE"/>
            <w:noWrap/>
            <w:vAlign w:val="center"/>
          </w:tcPr>
          <w:p w14:paraId="2315F61F"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Full roll-out of the project</w:t>
            </w:r>
          </w:p>
        </w:tc>
        <w:tc>
          <w:tcPr>
            <w:tcW w:w="1920" w:type="dxa"/>
            <w:tcBorders>
              <w:top w:val="single" w:sz="4" w:space="0" w:color="auto"/>
              <w:left w:val="nil"/>
              <w:bottom w:val="single" w:sz="4" w:space="0" w:color="auto"/>
              <w:right w:val="single" w:sz="4" w:space="0" w:color="auto"/>
            </w:tcBorders>
            <w:shd w:val="clear" w:color="auto" w:fill="C6EFCE"/>
            <w:noWrap/>
            <w:vAlign w:val="center"/>
          </w:tcPr>
          <w:p w14:paraId="1C8FB624"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Successful completion of the different eHealth sub-projects</w:t>
            </w:r>
          </w:p>
        </w:tc>
        <w:tc>
          <w:tcPr>
            <w:tcW w:w="1440" w:type="dxa"/>
            <w:tcBorders>
              <w:top w:val="single" w:sz="4" w:space="0" w:color="auto"/>
              <w:left w:val="nil"/>
              <w:bottom w:val="single" w:sz="4" w:space="0" w:color="auto"/>
              <w:right w:val="single" w:sz="4" w:space="0" w:color="auto"/>
            </w:tcBorders>
            <w:shd w:val="clear" w:color="auto" w:fill="C6EFCE"/>
            <w:noWrap/>
            <w:vAlign w:val="center"/>
          </w:tcPr>
          <w:p w14:paraId="504B435E" w14:textId="77777777" w:rsidR="006A41D9" w:rsidRPr="001961AA" w:rsidRDefault="006A41D9" w:rsidP="00BD6DD1">
            <w:pPr>
              <w:spacing w:after="0"/>
              <w:jc w:val="center"/>
              <w:rPr>
                <w:rFonts w:ascii="Times New Roman" w:eastAsia="Times New Roman" w:hAnsi="Times New Roman" w:cs="Times New Roman"/>
                <w:noProof/>
                <w:color w:val="006100"/>
                <w:lang w:val="en-GB" w:eastAsia="en-GB"/>
              </w:rPr>
            </w:pPr>
          </w:p>
        </w:tc>
        <w:tc>
          <w:tcPr>
            <w:tcW w:w="1080" w:type="dxa"/>
            <w:tcBorders>
              <w:top w:val="single" w:sz="4" w:space="0" w:color="auto"/>
              <w:left w:val="nil"/>
              <w:bottom w:val="single" w:sz="4" w:space="0" w:color="auto"/>
              <w:right w:val="single" w:sz="4" w:space="0" w:color="auto"/>
            </w:tcBorders>
            <w:shd w:val="clear" w:color="auto" w:fill="C6EFCE"/>
            <w:noWrap/>
            <w:vAlign w:val="center"/>
          </w:tcPr>
          <w:p w14:paraId="72644124" w14:textId="77777777" w:rsidR="006A41D9" w:rsidRPr="001961AA" w:rsidRDefault="006A41D9" w:rsidP="00BD6DD1">
            <w:pPr>
              <w:spacing w:after="0"/>
              <w:jc w:val="center"/>
              <w:rPr>
                <w:rFonts w:ascii="Times New Roman" w:eastAsia="Times New Roman" w:hAnsi="Times New Roman" w:cs="Times New Roman"/>
                <w:noProof/>
                <w:color w:val="006100"/>
                <w:lang w:val="en-GB" w:eastAsia="en-GB"/>
              </w:rPr>
            </w:pPr>
          </w:p>
        </w:tc>
        <w:tc>
          <w:tcPr>
            <w:tcW w:w="840" w:type="dxa"/>
            <w:tcBorders>
              <w:top w:val="single" w:sz="4" w:space="0" w:color="auto"/>
              <w:left w:val="nil"/>
              <w:bottom w:val="single" w:sz="4" w:space="0" w:color="auto"/>
              <w:right w:val="single" w:sz="4" w:space="0" w:color="auto"/>
            </w:tcBorders>
            <w:shd w:val="clear" w:color="auto" w:fill="C6EFCE"/>
            <w:noWrap/>
            <w:vAlign w:val="center"/>
          </w:tcPr>
          <w:p w14:paraId="0B23F3AC" w14:textId="77777777" w:rsidR="006A41D9" w:rsidRPr="001961AA" w:rsidRDefault="006A41D9" w:rsidP="00BD6DD1">
            <w:pPr>
              <w:spacing w:after="0"/>
              <w:jc w:val="center"/>
              <w:rPr>
                <w:rFonts w:ascii="Times New Roman" w:eastAsia="Times New Roman" w:hAnsi="Times New Roman" w:cs="Times New Roman"/>
                <w:noProof/>
                <w:color w:val="006100"/>
                <w:lang w:val="en-GB" w:eastAsia="en-GB"/>
              </w:rPr>
            </w:pPr>
          </w:p>
        </w:tc>
        <w:tc>
          <w:tcPr>
            <w:tcW w:w="960" w:type="dxa"/>
            <w:tcBorders>
              <w:top w:val="single" w:sz="4" w:space="0" w:color="auto"/>
              <w:left w:val="nil"/>
              <w:bottom w:val="single" w:sz="4" w:space="0" w:color="auto"/>
              <w:right w:val="single" w:sz="4" w:space="0" w:color="auto"/>
            </w:tcBorders>
            <w:shd w:val="clear" w:color="auto" w:fill="C6EFCE"/>
            <w:noWrap/>
            <w:vAlign w:val="center"/>
          </w:tcPr>
          <w:p w14:paraId="7D47CF0B"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Q4</w:t>
            </w:r>
          </w:p>
        </w:tc>
        <w:tc>
          <w:tcPr>
            <w:tcW w:w="720" w:type="dxa"/>
            <w:tcBorders>
              <w:top w:val="single" w:sz="4" w:space="0" w:color="auto"/>
              <w:left w:val="nil"/>
              <w:bottom w:val="single" w:sz="4" w:space="0" w:color="auto"/>
              <w:right w:val="single" w:sz="4" w:space="0" w:color="auto"/>
            </w:tcBorders>
            <w:shd w:val="clear" w:color="auto" w:fill="C6EFCE"/>
            <w:noWrap/>
            <w:vAlign w:val="center"/>
          </w:tcPr>
          <w:p w14:paraId="46DED6BA"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2025</w:t>
            </w:r>
          </w:p>
        </w:tc>
        <w:tc>
          <w:tcPr>
            <w:tcW w:w="3182" w:type="dxa"/>
            <w:tcBorders>
              <w:top w:val="single" w:sz="4" w:space="0" w:color="auto"/>
              <w:left w:val="nil"/>
              <w:bottom w:val="single" w:sz="4" w:space="0" w:color="auto"/>
              <w:right w:val="single" w:sz="4" w:space="0" w:color="auto"/>
            </w:tcBorders>
            <w:shd w:val="clear" w:color="auto" w:fill="C6EFCE"/>
            <w:noWrap/>
            <w:vAlign w:val="center"/>
          </w:tcPr>
          <w:p w14:paraId="6DE06F9D"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All sub-projects related to eHealth services and Health Data resulted in full operational and integrated services and capabilities.</w:t>
            </w:r>
          </w:p>
        </w:tc>
      </w:tr>
      <w:tr w:rsidR="00BF38A0" w:rsidRPr="001961AA" w14:paraId="654CEF42" w14:textId="77777777" w:rsidTr="00BF38A0">
        <w:trPr>
          <w:trHeight w:val="309"/>
        </w:trPr>
        <w:tc>
          <w:tcPr>
            <w:tcW w:w="6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AF6CED6"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65</w:t>
            </w:r>
          </w:p>
        </w:tc>
        <w:tc>
          <w:tcPr>
            <w:tcW w:w="1446" w:type="dxa"/>
            <w:tcBorders>
              <w:top w:val="single" w:sz="4" w:space="0" w:color="auto"/>
              <w:left w:val="nil"/>
              <w:bottom w:val="single" w:sz="4" w:space="0" w:color="auto"/>
              <w:right w:val="single" w:sz="4" w:space="0" w:color="auto"/>
            </w:tcBorders>
            <w:shd w:val="clear" w:color="auto" w:fill="C6EFCE"/>
            <w:noWrap/>
            <w:vAlign w:val="center"/>
          </w:tcPr>
          <w:p w14:paraId="5969C34E"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Digitalisation of ONE (I-2.07)</w:t>
            </w:r>
          </w:p>
        </w:tc>
        <w:tc>
          <w:tcPr>
            <w:tcW w:w="1080" w:type="dxa"/>
            <w:tcBorders>
              <w:top w:val="single" w:sz="4" w:space="0" w:color="auto"/>
              <w:left w:val="nil"/>
              <w:bottom w:val="single" w:sz="4" w:space="0" w:color="auto"/>
              <w:right w:val="single" w:sz="4" w:space="0" w:color="auto"/>
            </w:tcBorders>
            <w:shd w:val="clear" w:color="auto" w:fill="C6EFCE"/>
            <w:noWrap/>
            <w:vAlign w:val="center"/>
          </w:tcPr>
          <w:p w14:paraId="49765FD3" w14:textId="293C292E"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M</w:t>
            </w:r>
          </w:p>
        </w:tc>
        <w:tc>
          <w:tcPr>
            <w:tcW w:w="1560" w:type="dxa"/>
            <w:tcBorders>
              <w:top w:val="single" w:sz="4" w:space="0" w:color="auto"/>
              <w:left w:val="nil"/>
              <w:bottom w:val="single" w:sz="4" w:space="0" w:color="auto"/>
              <w:right w:val="single" w:sz="4" w:space="0" w:color="auto"/>
            </w:tcBorders>
            <w:shd w:val="clear" w:color="auto" w:fill="C6EFCE"/>
            <w:noWrap/>
            <w:vAlign w:val="center"/>
          </w:tcPr>
          <w:p w14:paraId="5D470F59"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Entry in operation of new digital platforms</w:t>
            </w:r>
          </w:p>
        </w:tc>
        <w:tc>
          <w:tcPr>
            <w:tcW w:w="1920" w:type="dxa"/>
            <w:tcBorders>
              <w:top w:val="single" w:sz="4" w:space="0" w:color="auto"/>
              <w:left w:val="nil"/>
              <w:bottom w:val="single" w:sz="4" w:space="0" w:color="auto"/>
              <w:right w:val="single" w:sz="4" w:space="0" w:color="auto"/>
            </w:tcBorders>
            <w:shd w:val="clear" w:color="auto" w:fill="C6EFCE"/>
            <w:noWrap/>
            <w:vAlign w:val="center"/>
          </w:tcPr>
          <w:p w14:paraId="0A24A02D" w14:textId="77777777" w:rsidR="006A41D9" w:rsidRPr="001961AA" w:rsidRDefault="006A41D9" w:rsidP="00BD6DD1">
            <w:pPr>
              <w:spacing w:after="0"/>
              <w:rPr>
                <w:rFonts w:ascii="Times New Roman" w:eastAsia="Times New Roman" w:hAnsi="Times New Roman" w:cs="Times New Roman"/>
                <w:strike/>
                <w:noProof/>
                <w:color w:val="006100"/>
                <w:lang w:val="en-GB"/>
              </w:rPr>
            </w:pPr>
            <w:r w:rsidRPr="001961AA">
              <w:rPr>
                <w:rFonts w:ascii="Times New Roman" w:hAnsi="Times New Roman"/>
                <w:noProof/>
                <w:color w:val="006100"/>
                <w:lang w:val="en-GB"/>
              </w:rPr>
              <w:t>Digital platforms have been created and are available to all users.</w:t>
            </w:r>
          </w:p>
        </w:tc>
        <w:tc>
          <w:tcPr>
            <w:tcW w:w="1440" w:type="dxa"/>
            <w:tcBorders>
              <w:top w:val="single" w:sz="4" w:space="0" w:color="auto"/>
              <w:left w:val="nil"/>
              <w:bottom w:val="single" w:sz="4" w:space="0" w:color="auto"/>
              <w:right w:val="single" w:sz="4" w:space="0" w:color="auto"/>
            </w:tcBorders>
            <w:shd w:val="clear" w:color="auto" w:fill="C6EFCE"/>
            <w:noWrap/>
            <w:vAlign w:val="center"/>
          </w:tcPr>
          <w:p w14:paraId="3A21A5D4" w14:textId="77777777" w:rsidR="006A41D9" w:rsidRPr="001961AA" w:rsidRDefault="006A41D9" w:rsidP="00BD6DD1">
            <w:pPr>
              <w:spacing w:after="0"/>
              <w:jc w:val="center"/>
              <w:rPr>
                <w:rFonts w:ascii="Times New Roman" w:eastAsia="Times New Roman" w:hAnsi="Times New Roman" w:cs="Times New Roman"/>
                <w:noProof/>
                <w:color w:val="006100"/>
                <w:lang w:val="en-GB" w:eastAsia="en-GB"/>
              </w:rPr>
            </w:pPr>
          </w:p>
        </w:tc>
        <w:tc>
          <w:tcPr>
            <w:tcW w:w="1080" w:type="dxa"/>
            <w:tcBorders>
              <w:top w:val="single" w:sz="4" w:space="0" w:color="auto"/>
              <w:left w:val="nil"/>
              <w:bottom w:val="single" w:sz="4" w:space="0" w:color="auto"/>
              <w:right w:val="single" w:sz="4" w:space="0" w:color="auto"/>
            </w:tcBorders>
            <w:shd w:val="clear" w:color="auto" w:fill="C6EFCE"/>
            <w:noWrap/>
            <w:vAlign w:val="center"/>
          </w:tcPr>
          <w:p w14:paraId="37E39ACC" w14:textId="77777777" w:rsidR="006A41D9" w:rsidRPr="001961AA" w:rsidRDefault="006A41D9" w:rsidP="00BD6DD1">
            <w:pPr>
              <w:spacing w:after="0"/>
              <w:jc w:val="center"/>
              <w:rPr>
                <w:rFonts w:ascii="Times New Roman" w:eastAsia="Times New Roman" w:hAnsi="Times New Roman" w:cs="Times New Roman"/>
                <w:noProof/>
                <w:color w:val="006100"/>
                <w:lang w:val="en-GB" w:eastAsia="en-GB"/>
              </w:rPr>
            </w:pPr>
          </w:p>
        </w:tc>
        <w:tc>
          <w:tcPr>
            <w:tcW w:w="840" w:type="dxa"/>
            <w:tcBorders>
              <w:top w:val="single" w:sz="4" w:space="0" w:color="auto"/>
              <w:left w:val="nil"/>
              <w:bottom w:val="single" w:sz="4" w:space="0" w:color="auto"/>
              <w:right w:val="single" w:sz="4" w:space="0" w:color="auto"/>
            </w:tcBorders>
            <w:shd w:val="clear" w:color="auto" w:fill="C6EFCE"/>
            <w:noWrap/>
            <w:vAlign w:val="center"/>
          </w:tcPr>
          <w:p w14:paraId="31B6435A" w14:textId="77777777" w:rsidR="006A41D9" w:rsidRPr="001961AA" w:rsidRDefault="006A41D9" w:rsidP="00BD6DD1">
            <w:pPr>
              <w:spacing w:after="0"/>
              <w:jc w:val="center"/>
              <w:rPr>
                <w:rFonts w:ascii="Times New Roman" w:eastAsia="Times New Roman" w:hAnsi="Times New Roman" w:cs="Times New Roman"/>
                <w:noProof/>
                <w:color w:val="006100"/>
                <w:lang w:val="en-GB" w:eastAsia="en-GB"/>
              </w:rPr>
            </w:pPr>
          </w:p>
        </w:tc>
        <w:tc>
          <w:tcPr>
            <w:tcW w:w="960" w:type="dxa"/>
            <w:tcBorders>
              <w:top w:val="single" w:sz="4" w:space="0" w:color="auto"/>
              <w:left w:val="nil"/>
              <w:bottom w:val="single" w:sz="4" w:space="0" w:color="auto"/>
              <w:right w:val="single" w:sz="4" w:space="0" w:color="auto"/>
            </w:tcBorders>
            <w:shd w:val="clear" w:color="auto" w:fill="C6EFCE"/>
            <w:noWrap/>
            <w:vAlign w:val="center"/>
          </w:tcPr>
          <w:p w14:paraId="384292DC"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Q4</w:t>
            </w:r>
          </w:p>
        </w:tc>
        <w:tc>
          <w:tcPr>
            <w:tcW w:w="720" w:type="dxa"/>
            <w:tcBorders>
              <w:top w:val="single" w:sz="4" w:space="0" w:color="auto"/>
              <w:left w:val="nil"/>
              <w:bottom w:val="single" w:sz="4" w:space="0" w:color="auto"/>
              <w:right w:val="single" w:sz="4" w:space="0" w:color="auto"/>
            </w:tcBorders>
            <w:shd w:val="clear" w:color="auto" w:fill="C6EFCE"/>
            <w:noWrap/>
            <w:vAlign w:val="center"/>
          </w:tcPr>
          <w:p w14:paraId="6D08E07B"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2025</w:t>
            </w:r>
          </w:p>
        </w:tc>
        <w:tc>
          <w:tcPr>
            <w:tcW w:w="3182" w:type="dxa"/>
            <w:tcBorders>
              <w:top w:val="single" w:sz="4" w:space="0" w:color="auto"/>
              <w:left w:val="nil"/>
              <w:bottom w:val="single" w:sz="4" w:space="0" w:color="auto"/>
              <w:right w:val="single" w:sz="4" w:space="0" w:color="auto"/>
            </w:tcBorders>
            <w:shd w:val="clear" w:color="auto" w:fill="C6EFCE"/>
            <w:noWrap/>
            <w:vAlign w:val="center"/>
          </w:tcPr>
          <w:p w14:paraId="0898B15E"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Digital platforms shall be created</w:t>
            </w:r>
            <w:r w:rsidRPr="001961AA">
              <w:rPr>
                <w:rFonts w:ascii="Times New Roman" w:hAnsi="Times New Roman"/>
                <w:noProof/>
                <w:lang w:val="en-GB"/>
              </w:rPr>
              <w:t xml:space="preserve"> </w:t>
            </w:r>
            <w:r w:rsidRPr="001961AA">
              <w:rPr>
                <w:rFonts w:ascii="Times New Roman" w:hAnsi="Times New Roman"/>
                <w:noProof/>
                <w:color w:val="006100"/>
                <w:lang w:val="en-GB"/>
              </w:rPr>
              <w:t>and are available to all users. This includes the following platforms:</w:t>
            </w:r>
          </w:p>
          <w:p w14:paraId="64D91F2A"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MY: Beneficiary Platform, which aims to provide beneficiaries, in a secure and private manner, with relevant and targeted information according to their (the beneficiary's) needs and situation (the principle of "segmentation").</w:t>
            </w:r>
          </w:p>
          <w:p w14:paraId="788D7B0D"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PRO: Professional Platform, which aims to provide childcare professionals with the tools to manage the various business processes, as well as the information that shall support their development, and the interactions with the ONE</w:t>
            </w:r>
          </w:p>
          <w:p w14:paraId="05F363EB" w14:textId="0C2EEA57" w:rsidR="006A41D9" w:rsidRPr="001961AA" w:rsidRDefault="006A41D9" w:rsidP="00BD6DD1">
            <w:pPr>
              <w:spacing w:after="0"/>
              <w:rPr>
                <w:rFonts w:ascii="Times New Roman" w:eastAsia="Times New Roman" w:hAnsi="Times New Roman" w:cs="Times New Roman"/>
                <w:strike/>
                <w:noProof/>
                <w:color w:val="006100"/>
                <w:lang w:val="en-GB"/>
              </w:rPr>
            </w:pPr>
            <w:r w:rsidRPr="001961AA">
              <w:rPr>
                <w:rFonts w:ascii="Times New Roman" w:hAnsi="Times New Roman"/>
                <w:noProof/>
                <w:color w:val="006100"/>
                <w:lang w:val="en-GB"/>
              </w:rPr>
              <w:t>OFFICE: Platform Agents, which is intended for ONE's agents and brings together all the applications for managing business processes, support services, decision aids, dashboards and relevant information. It is one of the components of the Digital Workplace.</w:t>
            </w:r>
          </w:p>
        </w:tc>
      </w:tr>
      <w:tr w:rsidR="00BF38A0" w:rsidRPr="001961AA" w14:paraId="24DE7289" w14:textId="77777777" w:rsidTr="00BF38A0">
        <w:trPr>
          <w:trHeight w:val="309"/>
        </w:trPr>
        <w:tc>
          <w:tcPr>
            <w:tcW w:w="6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3839C5B"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66</w:t>
            </w:r>
          </w:p>
        </w:tc>
        <w:tc>
          <w:tcPr>
            <w:tcW w:w="1446" w:type="dxa"/>
            <w:tcBorders>
              <w:top w:val="single" w:sz="4" w:space="0" w:color="auto"/>
              <w:left w:val="nil"/>
              <w:bottom w:val="single" w:sz="4" w:space="0" w:color="auto"/>
              <w:right w:val="single" w:sz="4" w:space="0" w:color="auto"/>
            </w:tcBorders>
            <w:shd w:val="clear" w:color="auto" w:fill="C6EFCE"/>
            <w:noWrap/>
            <w:vAlign w:val="center"/>
          </w:tcPr>
          <w:p w14:paraId="7B121FAE"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Digitalisation of the cultural and media sector (I-2.08)</w:t>
            </w:r>
          </w:p>
        </w:tc>
        <w:tc>
          <w:tcPr>
            <w:tcW w:w="1080" w:type="dxa"/>
            <w:tcBorders>
              <w:top w:val="single" w:sz="4" w:space="0" w:color="auto"/>
              <w:left w:val="nil"/>
              <w:bottom w:val="single" w:sz="4" w:space="0" w:color="auto"/>
              <w:right w:val="single" w:sz="4" w:space="0" w:color="auto"/>
            </w:tcBorders>
            <w:shd w:val="clear" w:color="auto" w:fill="C6EFCE"/>
            <w:noWrap/>
            <w:vAlign w:val="center"/>
          </w:tcPr>
          <w:p w14:paraId="01564123" w14:textId="7285311E"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T</w:t>
            </w:r>
          </w:p>
        </w:tc>
        <w:tc>
          <w:tcPr>
            <w:tcW w:w="1560" w:type="dxa"/>
            <w:tcBorders>
              <w:top w:val="single" w:sz="4" w:space="0" w:color="auto"/>
              <w:left w:val="nil"/>
              <w:bottom w:val="single" w:sz="4" w:space="0" w:color="auto"/>
              <w:right w:val="single" w:sz="4" w:space="0" w:color="auto"/>
            </w:tcBorders>
            <w:shd w:val="clear" w:color="auto" w:fill="C6EFCE"/>
            <w:noWrap/>
            <w:vAlign w:val="center"/>
          </w:tcPr>
          <w:p w14:paraId="650D96FB"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 xml:space="preserve">Completion of projects for digitized and enhanced audiovisual and audio works </w:t>
            </w:r>
          </w:p>
        </w:tc>
        <w:tc>
          <w:tcPr>
            <w:tcW w:w="1920" w:type="dxa"/>
            <w:tcBorders>
              <w:top w:val="single" w:sz="4" w:space="0" w:color="auto"/>
              <w:left w:val="nil"/>
              <w:bottom w:val="single" w:sz="4" w:space="0" w:color="auto"/>
              <w:right w:val="single" w:sz="4" w:space="0" w:color="auto"/>
            </w:tcBorders>
            <w:shd w:val="clear" w:color="auto" w:fill="C6EFCE"/>
            <w:noWrap/>
            <w:vAlign w:val="center"/>
          </w:tcPr>
          <w:p w14:paraId="55660F06" w14:textId="77777777"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1440" w:type="dxa"/>
            <w:tcBorders>
              <w:top w:val="single" w:sz="4" w:space="0" w:color="auto"/>
              <w:left w:val="nil"/>
              <w:bottom w:val="single" w:sz="4" w:space="0" w:color="auto"/>
              <w:right w:val="single" w:sz="4" w:space="0" w:color="auto"/>
            </w:tcBorders>
            <w:shd w:val="clear" w:color="auto" w:fill="C6EFCE"/>
            <w:noWrap/>
            <w:vAlign w:val="center"/>
          </w:tcPr>
          <w:p w14:paraId="475B3770"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Projects be completed</w:t>
            </w:r>
          </w:p>
        </w:tc>
        <w:tc>
          <w:tcPr>
            <w:tcW w:w="1080" w:type="dxa"/>
            <w:tcBorders>
              <w:top w:val="single" w:sz="4" w:space="0" w:color="auto"/>
              <w:left w:val="nil"/>
              <w:bottom w:val="single" w:sz="4" w:space="0" w:color="auto"/>
              <w:right w:val="single" w:sz="4" w:space="0" w:color="auto"/>
            </w:tcBorders>
            <w:shd w:val="clear" w:color="auto" w:fill="C6EFCE"/>
            <w:noWrap/>
            <w:vAlign w:val="center"/>
          </w:tcPr>
          <w:p w14:paraId="116AB0DC"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0</w:t>
            </w:r>
          </w:p>
        </w:tc>
        <w:tc>
          <w:tcPr>
            <w:tcW w:w="840" w:type="dxa"/>
            <w:tcBorders>
              <w:top w:val="single" w:sz="4" w:space="0" w:color="auto"/>
              <w:left w:val="nil"/>
              <w:bottom w:val="single" w:sz="4" w:space="0" w:color="auto"/>
              <w:right w:val="single" w:sz="4" w:space="0" w:color="auto"/>
            </w:tcBorders>
            <w:shd w:val="clear" w:color="auto" w:fill="C6EFCE"/>
            <w:noWrap/>
            <w:vAlign w:val="center"/>
          </w:tcPr>
          <w:p w14:paraId="450FB459" w14:textId="7EE0BDBB"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37</w:t>
            </w:r>
          </w:p>
        </w:tc>
        <w:tc>
          <w:tcPr>
            <w:tcW w:w="960" w:type="dxa"/>
            <w:tcBorders>
              <w:top w:val="single" w:sz="4" w:space="0" w:color="auto"/>
              <w:left w:val="nil"/>
              <w:bottom w:val="single" w:sz="4" w:space="0" w:color="auto"/>
              <w:right w:val="single" w:sz="4" w:space="0" w:color="auto"/>
            </w:tcBorders>
            <w:shd w:val="clear" w:color="auto" w:fill="C6EFCE"/>
            <w:noWrap/>
            <w:vAlign w:val="center"/>
          </w:tcPr>
          <w:p w14:paraId="06869EAA"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Q2</w:t>
            </w:r>
          </w:p>
        </w:tc>
        <w:tc>
          <w:tcPr>
            <w:tcW w:w="720" w:type="dxa"/>
            <w:tcBorders>
              <w:top w:val="single" w:sz="4" w:space="0" w:color="auto"/>
              <w:left w:val="nil"/>
              <w:bottom w:val="single" w:sz="4" w:space="0" w:color="auto"/>
              <w:right w:val="single" w:sz="4" w:space="0" w:color="auto"/>
            </w:tcBorders>
            <w:shd w:val="clear" w:color="auto" w:fill="C6EFCE"/>
            <w:noWrap/>
            <w:vAlign w:val="center"/>
          </w:tcPr>
          <w:p w14:paraId="75819B8C"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2026</w:t>
            </w:r>
          </w:p>
        </w:tc>
        <w:tc>
          <w:tcPr>
            <w:tcW w:w="3182" w:type="dxa"/>
            <w:tcBorders>
              <w:top w:val="single" w:sz="4" w:space="0" w:color="auto"/>
              <w:left w:val="nil"/>
              <w:bottom w:val="single" w:sz="4" w:space="0" w:color="auto"/>
              <w:right w:val="single" w:sz="4" w:space="0" w:color="auto"/>
            </w:tcBorders>
            <w:shd w:val="clear" w:color="auto" w:fill="C6EFCE"/>
            <w:noWrap/>
            <w:vAlign w:val="center"/>
          </w:tcPr>
          <w:p w14:paraId="0839481E" w14:textId="0EDB9CA2"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 xml:space="preserve">Full completion of 37 projects falling within the following categories: </w:t>
            </w:r>
          </w:p>
          <w:p w14:paraId="18905CED" w14:textId="77777777" w:rsidR="006A41D9" w:rsidRPr="001961AA" w:rsidRDefault="006A41D9" w:rsidP="00DF5893">
            <w:pPr>
              <w:pStyle w:val="ListParagraph"/>
              <w:numPr>
                <w:ilvl w:val="0"/>
                <w:numId w:val="28"/>
              </w:num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 xml:space="preserve"> digitized and enhanced audiovisual and audio works: 30 projects </w:t>
            </w:r>
          </w:p>
          <w:p w14:paraId="7549A226" w14:textId="1A14A355" w:rsidR="006A41D9" w:rsidRPr="001961AA" w:rsidRDefault="006A41D9" w:rsidP="00DF5893">
            <w:pPr>
              <w:pStyle w:val="ListParagraph"/>
              <w:numPr>
                <w:ilvl w:val="0"/>
                <w:numId w:val="28"/>
              </w:num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lang w:val="en-GB"/>
              </w:rPr>
              <w:t>native digital works created: 7 projects</w:t>
            </w:r>
          </w:p>
        </w:tc>
      </w:tr>
      <w:tr w:rsidR="00BF38A0" w:rsidRPr="001961AA" w14:paraId="3AFC4F1A" w14:textId="77777777" w:rsidTr="00BF38A0">
        <w:trPr>
          <w:trHeight w:val="309"/>
        </w:trPr>
        <w:tc>
          <w:tcPr>
            <w:tcW w:w="6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4DCA673"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67</w:t>
            </w:r>
          </w:p>
        </w:tc>
        <w:tc>
          <w:tcPr>
            <w:tcW w:w="1446" w:type="dxa"/>
            <w:tcBorders>
              <w:top w:val="single" w:sz="4" w:space="0" w:color="auto"/>
              <w:left w:val="nil"/>
              <w:bottom w:val="single" w:sz="4" w:space="0" w:color="auto"/>
              <w:right w:val="single" w:sz="4" w:space="0" w:color="auto"/>
            </w:tcBorders>
            <w:shd w:val="clear" w:color="auto" w:fill="C6EFCE"/>
            <w:noWrap/>
            <w:vAlign w:val="center"/>
          </w:tcPr>
          <w:p w14:paraId="1FEA317E"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Digitalisation of the cultural and media sector (I-2.08)</w:t>
            </w:r>
          </w:p>
        </w:tc>
        <w:tc>
          <w:tcPr>
            <w:tcW w:w="1080" w:type="dxa"/>
            <w:tcBorders>
              <w:top w:val="single" w:sz="4" w:space="0" w:color="auto"/>
              <w:left w:val="nil"/>
              <w:bottom w:val="single" w:sz="4" w:space="0" w:color="auto"/>
              <w:right w:val="single" w:sz="4" w:space="0" w:color="auto"/>
            </w:tcBorders>
            <w:shd w:val="clear" w:color="auto" w:fill="C6EFCE"/>
            <w:noWrap/>
            <w:vAlign w:val="center"/>
          </w:tcPr>
          <w:p w14:paraId="76796C96" w14:textId="235197EC"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T</w:t>
            </w:r>
          </w:p>
        </w:tc>
        <w:tc>
          <w:tcPr>
            <w:tcW w:w="1560" w:type="dxa"/>
            <w:tcBorders>
              <w:top w:val="single" w:sz="4" w:space="0" w:color="auto"/>
              <w:left w:val="nil"/>
              <w:bottom w:val="single" w:sz="4" w:space="0" w:color="auto"/>
              <w:right w:val="single" w:sz="4" w:space="0" w:color="auto"/>
            </w:tcBorders>
            <w:shd w:val="clear" w:color="auto" w:fill="C6EFCE"/>
            <w:noWrap/>
            <w:vAlign w:val="center"/>
          </w:tcPr>
          <w:p w14:paraId="2B47B114" w14:textId="24CABB5D"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Integration by pilot cultural and media operators of technological tools</w:t>
            </w:r>
          </w:p>
        </w:tc>
        <w:tc>
          <w:tcPr>
            <w:tcW w:w="1920" w:type="dxa"/>
            <w:tcBorders>
              <w:top w:val="single" w:sz="4" w:space="0" w:color="auto"/>
              <w:left w:val="nil"/>
              <w:bottom w:val="single" w:sz="4" w:space="0" w:color="auto"/>
              <w:right w:val="single" w:sz="4" w:space="0" w:color="auto"/>
            </w:tcBorders>
            <w:shd w:val="clear" w:color="auto" w:fill="C6EFCE"/>
            <w:noWrap/>
            <w:vAlign w:val="center"/>
          </w:tcPr>
          <w:p w14:paraId="78610608" w14:textId="77777777"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1440" w:type="dxa"/>
            <w:tcBorders>
              <w:top w:val="single" w:sz="4" w:space="0" w:color="auto"/>
              <w:left w:val="nil"/>
              <w:bottom w:val="single" w:sz="4" w:space="0" w:color="auto"/>
              <w:right w:val="single" w:sz="4" w:space="0" w:color="auto"/>
            </w:tcBorders>
            <w:shd w:val="clear" w:color="auto" w:fill="C6EFCE"/>
            <w:noWrap/>
            <w:vAlign w:val="center"/>
          </w:tcPr>
          <w:p w14:paraId="3D3162D5" w14:textId="10829D34"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Number of operators</w:t>
            </w:r>
          </w:p>
        </w:tc>
        <w:tc>
          <w:tcPr>
            <w:tcW w:w="1080" w:type="dxa"/>
            <w:tcBorders>
              <w:top w:val="single" w:sz="4" w:space="0" w:color="auto"/>
              <w:left w:val="nil"/>
              <w:bottom w:val="single" w:sz="4" w:space="0" w:color="auto"/>
              <w:right w:val="single" w:sz="4" w:space="0" w:color="auto"/>
            </w:tcBorders>
            <w:shd w:val="clear" w:color="auto" w:fill="C6EFCE"/>
            <w:noWrap/>
            <w:vAlign w:val="center"/>
          </w:tcPr>
          <w:p w14:paraId="2AA95E05"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0</w:t>
            </w:r>
          </w:p>
        </w:tc>
        <w:tc>
          <w:tcPr>
            <w:tcW w:w="840" w:type="dxa"/>
            <w:tcBorders>
              <w:top w:val="single" w:sz="4" w:space="0" w:color="auto"/>
              <w:left w:val="nil"/>
              <w:bottom w:val="single" w:sz="4" w:space="0" w:color="auto"/>
              <w:right w:val="single" w:sz="4" w:space="0" w:color="auto"/>
            </w:tcBorders>
            <w:shd w:val="clear" w:color="auto" w:fill="C6EFCE"/>
            <w:noWrap/>
            <w:vAlign w:val="center"/>
          </w:tcPr>
          <w:p w14:paraId="3E88BB16" w14:textId="7DD59320"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5</w:t>
            </w:r>
          </w:p>
        </w:tc>
        <w:tc>
          <w:tcPr>
            <w:tcW w:w="960" w:type="dxa"/>
            <w:tcBorders>
              <w:top w:val="single" w:sz="4" w:space="0" w:color="auto"/>
              <w:left w:val="nil"/>
              <w:bottom w:val="single" w:sz="4" w:space="0" w:color="auto"/>
              <w:right w:val="single" w:sz="4" w:space="0" w:color="auto"/>
            </w:tcBorders>
            <w:shd w:val="clear" w:color="auto" w:fill="C6EFCE"/>
            <w:noWrap/>
            <w:vAlign w:val="center"/>
          </w:tcPr>
          <w:p w14:paraId="1E7E0998" w14:textId="77777777" w:rsidR="006A41D9" w:rsidRPr="001961AA" w:rsidRDefault="006A41D9" w:rsidP="004E596D">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Q2</w:t>
            </w:r>
          </w:p>
        </w:tc>
        <w:tc>
          <w:tcPr>
            <w:tcW w:w="720" w:type="dxa"/>
            <w:tcBorders>
              <w:top w:val="single" w:sz="4" w:space="0" w:color="auto"/>
              <w:left w:val="nil"/>
              <w:bottom w:val="single" w:sz="4" w:space="0" w:color="auto"/>
              <w:right w:val="single" w:sz="4" w:space="0" w:color="auto"/>
            </w:tcBorders>
            <w:shd w:val="clear" w:color="auto" w:fill="C6EFCE"/>
            <w:noWrap/>
            <w:vAlign w:val="center"/>
          </w:tcPr>
          <w:p w14:paraId="6442D473"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2026</w:t>
            </w:r>
          </w:p>
        </w:tc>
        <w:tc>
          <w:tcPr>
            <w:tcW w:w="3182" w:type="dxa"/>
            <w:tcBorders>
              <w:top w:val="single" w:sz="4" w:space="0" w:color="auto"/>
              <w:left w:val="nil"/>
              <w:bottom w:val="single" w:sz="4" w:space="0" w:color="auto"/>
              <w:right w:val="single" w:sz="4" w:space="0" w:color="auto"/>
            </w:tcBorders>
            <w:shd w:val="clear" w:color="auto" w:fill="C6EFCE"/>
            <w:noWrap/>
            <w:vAlign w:val="center"/>
          </w:tcPr>
          <w:p w14:paraId="72DD1D83" w14:textId="057A3E85" w:rsidR="006A41D9" w:rsidRPr="001961AA" w:rsidRDefault="006A41D9" w:rsidP="000A0DFC">
            <w:pPr>
              <w:spacing w:after="12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Integration of developed technological tools with at least two pilot media operators (bringing together press, radio, television and digital activities) and at least three pilot cultural operators (including at least two different disciplines).</w:t>
            </w:r>
          </w:p>
          <w:p w14:paraId="1DC21DC2" w14:textId="11BA1A12"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The technological tools  shall be developed in "open source" and made available free of charge under a "creative commons" license.</w:t>
            </w:r>
          </w:p>
        </w:tc>
      </w:tr>
      <w:tr w:rsidR="00BF38A0" w:rsidRPr="001961AA" w14:paraId="0E209A9C" w14:textId="77777777" w:rsidTr="00BF38A0">
        <w:trPr>
          <w:trHeight w:val="309"/>
        </w:trPr>
        <w:tc>
          <w:tcPr>
            <w:tcW w:w="6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C73780D"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68</w:t>
            </w:r>
          </w:p>
        </w:tc>
        <w:tc>
          <w:tcPr>
            <w:tcW w:w="1446" w:type="dxa"/>
            <w:tcBorders>
              <w:top w:val="single" w:sz="4" w:space="0" w:color="auto"/>
              <w:left w:val="nil"/>
              <w:bottom w:val="single" w:sz="4" w:space="0" w:color="auto"/>
              <w:right w:val="single" w:sz="4" w:space="0" w:color="auto"/>
            </w:tcBorders>
            <w:shd w:val="clear" w:color="auto" w:fill="C6EFCE"/>
            <w:noWrap/>
            <w:vAlign w:val="center"/>
          </w:tcPr>
          <w:p w14:paraId="74D1823B" w14:textId="2B86CE93" w:rsidR="006A41D9" w:rsidRPr="001961AA" w:rsidRDefault="00874605"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Digitalisation of the Flemish Government (I-2.09)</w:t>
            </w:r>
          </w:p>
        </w:tc>
        <w:tc>
          <w:tcPr>
            <w:tcW w:w="1080" w:type="dxa"/>
            <w:tcBorders>
              <w:top w:val="single" w:sz="4" w:space="0" w:color="auto"/>
              <w:left w:val="nil"/>
              <w:bottom w:val="single" w:sz="4" w:space="0" w:color="auto"/>
              <w:right w:val="single" w:sz="4" w:space="0" w:color="auto"/>
            </w:tcBorders>
            <w:shd w:val="clear" w:color="auto" w:fill="C6EFCE"/>
            <w:noWrap/>
            <w:vAlign w:val="center"/>
          </w:tcPr>
          <w:p w14:paraId="247E06D9" w14:textId="70439076"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M</w:t>
            </w:r>
          </w:p>
        </w:tc>
        <w:tc>
          <w:tcPr>
            <w:tcW w:w="1560" w:type="dxa"/>
            <w:tcBorders>
              <w:top w:val="single" w:sz="4" w:space="0" w:color="auto"/>
              <w:left w:val="nil"/>
              <w:bottom w:val="single" w:sz="4" w:space="0" w:color="auto"/>
              <w:right w:val="single" w:sz="4" w:space="0" w:color="auto"/>
            </w:tcBorders>
            <w:shd w:val="clear" w:color="auto" w:fill="C6EFCE"/>
            <w:noWrap/>
            <w:vAlign w:val="center"/>
          </w:tcPr>
          <w:p w14:paraId="11D97E96" w14:textId="0882FDCB"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Contract award for 11 projects</w:t>
            </w:r>
          </w:p>
        </w:tc>
        <w:tc>
          <w:tcPr>
            <w:tcW w:w="1920" w:type="dxa"/>
            <w:tcBorders>
              <w:top w:val="single" w:sz="4" w:space="0" w:color="auto"/>
              <w:left w:val="nil"/>
              <w:bottom w:val="single" w:sz="4" w:space="0" w:color="auto"/>
              <w:right w:val="single" w:sz="4" w:space="0" w:color="auto"/>
            </w:tcBorders>
            <w:shd w:val="clear" w:color="auto" w:fill="C6EFCE"/>
            <w:noWrap/>
            <w:vAlign w:val="center"/>
          </w:tcPr>
          <w:p w14:paraId="5FDA0C78"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Notification of award for a number of projects</w:t>
            </w:r>
          </w:p>
        </w:tc>
        <w:tc>
          <w:tcPr>
            <w:tcW w:w="1440" w:type="dxa"/>
            <w:tcBorders>
              <w:top w:val="single" w:sz="4" w:space="0" w:color="auto"/>
              <w:left w:val="nil"/>
              <w:bottom w:val="single" w:sz="4" w:space="0" w:color="auto"/>
              <w:right w:val="single" w:sz="4" w:space="0" w:color="auto"/>
            </w:tcBorders>
            <w:shd w:val="clear" w:color="auto" w:fill="C6EFCE"/>
            <w:noWrap/>
            <w:vAlign w:val="center"/>
          </w:tcPr>
          <w:p w14:paraId="4B1D387A" w14:textId="77777777" w:rsidR="006A41D9" w:rsidRPr="001961AA" w:rsidRDefault="006A41D9" w:rsidP="00BD6DD1">
            <w:pPr>
              <w:spacing w:after="0"/>
              <w:jc w:val="center"/>
              <w:rPr>
                <w:rFonts w:ascii="Times New Roman" w:eastAsia="Times New Roman" w:hAnsi="Times New Roman" w:cs="Times New Roman"/>
                <w:noProof/>
                <w:color w:val="006100"/>
                <w:lang w:val="en-GB" w:eastAsia="en-GB"/>
              </w:rPr>
            </w:pPr>
          </w:p>
        </w:tc>
        <w:tc>
          <w:tcPr>
            <w:tcW w:w="1080" w:type="dxa"/>
            <w:tcBorders>
              <w:top w:val="single" w:sz="4" w:space="0" w:color="auto"/>
              <w:left w:val="nil"/>
              <w:bottom w:val="single" w:sz="4" w:space="0" w:color="auto"/>
              <w:right w:val="single" w:sz="4" w:space="0" w:color="auto"/>
            </w:tcBorders>
            <w:shd w:val="clear" w:color="auto" w:fill="C6EFCE"/>
            <w:noWrap/>
            <w:vAlign w:val="center"/>
          </w:tcPr>
          <w:p w14:paraId="3B0C74D7" w14:textId="77777777" w:rsidR="006A41D9" w:rsidRPr="001961AA" w:rsidRDefault="006A41D9" w:rsidP="00BD6DD1">
            <w:pPr>
              <w:spacing w:after="0"/>
              <w:jc w:val="center"/>
              <w:rPr>
                <w:rFonts w:ascii="Times New Roman" w:eastAsia="Times New Roman" w:hAnsi="Times New Roman" w:cs="Times New Roman"/>
                <w:noProof/>
                <w:color w:val="006100"/>
                <w:lang w:val="en-GB" w:eastAsia="en-GB"/>
              </w:rPr>
            </w:pPr>
          </w:p>
        </w:tc>
        <w:tc>
          <w:tcPr>
            <w:tcW w:w="840" w:type="dxa"/>
            <w:tcBorders>
              <w:top w:val="single" w:sz="4" w:space="0" w:color="auto"/>
              <w:left w:val="nil"/>
              <w:bottom w:val="single" w:sz="4" w:space="0" w:color="auto"/>
              <w:right w:val="single" w:sz="4" w:space="0" w:color="auto"/>
            </w:tcBorders>
            <w:shd w:val="clear" w:color="auto" w:fill="C6EFCE"/>
            <w:noWrap/>
            <w:vAlign w:val="center"/>
          </w:tcPr>
          <w:p w14:paraId="67EB31BF" w14:textId="77777777" w:rsidR="006A41D9" w:rsidRPr="001961AA" w:rsidRDefault="006A41D9" w:rsidP="00BD6DD1">
            <w:pPr>
              <w:spacing w:after="0"/>
              <w:jc w:val="center"/>
              <w:rPr>
                <w:rFonts w:ascii="Times New Roman" w:eastAsia="Times New Roman" w:hAnsi="Times New Roman" w:cs="Times New Roman"/>
                <w:noProof/>
                <w:color w:val="006100"/>
                <w:lang w:val="en-GB" w:eastAsia="en-GB"/>
              </w:rPr>
            </w:pPr>
          </w:p>
        </w:tc>
        <w:tc>
          <w:tcPr>
            <w:tcW w:w="960" w:type="dxa"/>
            <w:tcBorders>
              <w:top w:val="single" w:sz="4" w:space="0" w:color="auto"/>
              <w:left w:val="nil"/>
              <w:bottom w:val="single" w:sz="4" w:space="0" w:color="auto"/>
              <w:right w:val="single" w:sz="4" w:space="0" w:color="auto"/>
            </w:tcBorders>
            <w:shd w:val="clear" w:color="auto" w:fill="C6EFCE"/>
            <w:noWrap/>
            <w:vAlign w:val="center"/>
          </w:tcPr>
          <w:p w14:paraId="44E05DD4"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Q4</w:t>
            </w:r>
          </w:p>
        </w:tc>
        <w:tc>
          <w:tcPr>
            <w:tcW w:w="720" w:type="dxa"/>
            <w:tcBorders>
              <w:top w:val="single" w:sz="4" w:space="0" w:color="auto"/>
              <w:left w:val="nil"/>
              <w:bottom w:val="single" w:sz="4" w:space="0" w:color="auto"/>
              <w:right w:val="single" w:sz="4" w:space="0" w:color="auto"/>
            </w:tcBorders>
            <w:shd w:val="clear" w:color="auto" w:fill="C6EFCE"/>
            <w:noWrap/>
            <w:vAlign w:val="center"/>
          </w:tcPr>
          <w:p w14:paraId="6E7C6801"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2022</w:t>
            </w:r>
          </w:p>
        </w:tc>
        <w:tc>
          <w:tcPr>
            <w:tcW w:w="3182" w:type="dxa"/>
            <w:tcBorders>
              <w:top w:val="single" w:sz="4" w:space="0" w:color="auto"/>
              <w:left w:val="nil"/>
              <w:bottom w:val="single" w:sz="4" w:space="0" w:color="auto"/>
              <w:right w:val="single" w:sz="4" w:space="0" w:color="auto"/>
            </w:tcBorders>
            <w:shd w:val="clear" w:color="auto" w:fill="C6EFCE"/>
            <w:noWrap/>
            <w:vAlign w:val="center"/>
          </w:tcPr>
          <w:p w14:paraId="35AECDF9" w14:textId="71EC722E"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Notification of award sent by the Flemish Government or by the respective entity (notification authority) for a number of 11 projects (i.e. 100% of total) to the successful candidates following the call for proposal under the 4 schemes (1. Towards a public service for citizens, businesses and associations; 2. Enable quick and effective decisions with data; 3. Ensuring a reliable basic infrastructure by strengthening ICT building blocks; and 4. Providing a hybrid workplace of the future for each Flemish official)</w:t>
            </w:r>
          </w:p>
        </w:tc>
      </w:tr>
      <w:tr w:rsidR="00BF38A0" w:rsidRPr="001961AA" w14:paraId="2CDC5A26" w14:textId="77777777" w:rsidTr="00BF38A0">
        <w:trPr>
          <w:trHeight w:val="309"/>
        </w:trPr>
        <w:tc>
          <w:tcPr>
            <w:tcW w:w="6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3D7FB49"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69</w:t>
            </w:r>
          </w:p>
        </w:tc>
        <w:tc>
          <w:tcPr>
            <w:tcW w:w="1446" w:type="dxa"/>
            <w:tcBorders>
              <w:top w:val="single" w:sz="4" w:space="0" w:color="auto"/>
              <w:left w:val="nil"/>
              <w:bottom w:val="single" w:sz="4" w:space="0" w:color="auto"/>
              <w:right w:val="single" w:sz="4" w:space="0" w:color="auto"/>
            </w:tcBorders>
            <w:shd w:val="clear" w:color="auto" w:fill="C6EFCE"/>
            <w:noWrap/>
            <w:vAlign w:val="center"/>
          </w:tcPr>
          <w:p w14:paraId="5FCFE43A" w14:textId="527E5C63" w:rsidR="006A41D9" w:rsidRPr="001961AA" w:rsidRDefault="006B2AA0"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Digitalisation of the Flemish Government (I-2.09)</w:t>
            </w:r>
          </w:p>
        </w:tc>
        <w:tc>
          <w:tcPr>
            <w:tcW w:w="1080" w:type="dxa"/>
            <w:tcBorders>
              <w:top w:val="single" w:sz="4" w:space="0" w:color="auto"/>
              <w:left w:val="nil"/>
              <w:bottom w:val="single" w:sz="4" w:space="0" w:color="auto"/>
              <w:right w:val="single" w:sz="4" w:space="0" w:color="auto"/>
            </w:tcBorders>
            <w:shd w:val="clear" w:color="auto" w:fill="C6EFCE"/>
            <w:noWrap/>
            <w:vAlign w:val="center"/>
          </w:tcPr>
          <w:p w14:paraId="45737490" w14:textId="04BCC0AA"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M</w:t>
            </w:r>
          </w:p>
        </w:tc>
        <w:tc>
          <w:tcPr>
            <w:tcW w:w="1560" w:type="dxa"/>
            <w:tcBorders>
              <w:top w:val="single" w:sz="4" w:space="0" w:color="auto"/>
              <w:left w:val="nil"/>
              <w:bottom w:val="single" w:sz="4" w:space="0" w:color="auto"/>
              <w:right w:val="single" w:sz="4" w:space="0" w:color="auto"/>
            </w:tcBorders>
            <w:shd w:val="clear" w:color="auto" w:fill="C6EFCE"/>
            <w:noWrap/>
            <w:vAlign w:val="center"/>
          </w:tcPr>
          <w:p w14:paraId="794B9CF0"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Development of 4 new digital features</w:t>
            </w:r>
          </w:p>
        </w:tc>
        <w:tc>
          <w:tcPr>
            <w:tcW w:w="1920" w:type="dxa"/>
            <w:tcBorders>
              <w:top w:val="single" w:sz="4" w:space="0" w:color="auto"/>
              <w:left w:val="nil"/>
              <w:bottom w:val="single" w:sz="4" w:space="0" w:color="auto"/>
              <w:right w:val="single" w:sz="4" w:space="0" w:color="auto"/>
            </w:tcBorders>
            <w:shd w:val="clear" w:color="auto" w:fill="C6EFCE"/>
            <w:noWrap/>
            <w:vAlign w:val="center"/>
          </w:tcPr>
          <w:p w14:paraId="64D0A137"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All awarded projects are completed</w:t>
            </w:r>
          </w:p>
        </w:tc>
        <w:tc>
          <w:tcPr>
            <w:tcW w:w="1440" w:type="dxa"/>
            <w:tcBorders>
              <w:top w:val="single" w:sz="4" w:space="0" w:color="auto"/>
              <w:left w:val="nil"/>
              <w:bottom w:val="single" w:sz="4" w:space="0" w:color="auto"/>
              <w:right w:val="single" w:sz="4" w:space="0" w:color="auto"/>
            </w:tcBorders>
            <w:shd w:val="clear" w:color="auto" w:fill="C6EFCE"/>
            <w:noWrap/>
            <w:vAlign w:val="center"/>
          </w:tcPr>
          <w:p w14:paraId="32C5A8E7" w14:textId="77777777" w:rsidR="006A41D9" w:rsidRPr="001961AA" w:rsidRDefault="006A41D9" w:rsidP="00BD6DD1">
            <w:pPr>
              <w:spacing w:after="0"/>
              <w:jc w:val="center"/>
              <w:rPr>
                <w:rFonts w:ascii="Times New Roman" w:eastAsia="Times New Roman" w:hAnsi="Times New Roman" w:cs="Times New Roman"/>
                <w:noProof/>
                <w:color w:val="006100"/>
                <w:lang w:val="en-GB" w:eastAsia="en-GB"/>
              </w:rPr>
            </w:pPr>
          </w:p>
        </w:tc>
        <w:tc>
          <w:tcPr>
            <w:tcW w:w="1080" w:type="dxa"/>
            <w:tcBorders>
              <w:top w:val="single" w:sz="4" w:space="0" w:color="auto"/>
              <w:left w:val="nil"/>
              <w:bottom w:val="single" w:sz="4" w:space="0" w:color="auto"/>
              <w:right w:val="single" w:sz="4" w:space="0" w:color="auto"/>
            </w:tcBorders>
            <w:shd w:val="clear" w:color="auto" w:fill="C6EFCE"/>
            <w:noWrap/>
            <w:vAlign w:val="center"/>
          </w:tcPr>
          <w:p w14:paraId="63ED6B4D" w14:textId="77777777" w:rsidR="006A41D9" w:rsidRPr="001961AA" w:rsidRDefault="006A41D9" w:rsidP="00BD6DD1">
            <w:pPr>
              <w:spacing w:after="0"/>
              <w:jc w:val="center"/>
              <w:rPr>
                <w:rFonts w:ascii="Times New Roman" w:eastAsia="Times New Roman" w:hAnsi="Times New Roman" w:cs="Times New Roman"/>
                <w:noProof/>
                <w:color w:val="006100"/>
                <w:lang w:val="en-GB" w:eastAsia="en-GB"/>
              </w:rPr>
            </w:pPr>
          </w:p>
        </w:tc>
        <w:tc>
          <w:tcPr>
            <w:tcW w:w="840" w:type="dxa"/>
            <w:tcBorders>
              <w:top w:val="single" w:sz="4" w:space="0" w:color="auto"/>
              <w:left w:val="nil"/>
              <w:bottom w:val="single" w:sz="4" w:space="0" w:color="auto"/>
              <w:right w:val="single" w:sz="4" w:space="0" w:color="auto"/>
            </w:tcBorders>
            <w:shd w:val="clear" w:color="auto" w:fill="C6EFCE"/>
            <w:noWrap/>
            <w:vAlign w:val="center"/>
          </w:tcPr>
          <w:p w14:paraId="263A4A75" w14:textId="77777777" w:rsidR="006A41D9" w:rsidRPr="001961AA" w:rsidRDefault="006A41D9" w:rsidP="00BD6DD1">
            <w:pPr>
              <w:spacing w:after="0"/>
              <w:jc w:val="center"/>
              <w:rPr>
                <w:rFonts w:ascii="Times New Roman" w:eastAsia="Times New Roman" w:hAnsi="Times New Roman" w:cs="Times New Roman"/>
                <w:noProof/>
                <w:color w:val="006100"/>
                <w:lang w:val="en-GB" w:eastAsia="en-GB"/>
              </w:rPr>
            </w:pPr>
          </w:p>
        </w:tc>
        <w:tc>
          <w:tcPr>
            <w:tcW w:w="960" w:type="dxa"/>
            <w:tcBorders>
              <w:top w:val="single" w:sz="4" w:space="0" w:color="auto"/>
              <w:left w:val="nil"/>
              <w:bottom w:val="single" w:sz="4" w:space="0" w:color="auto"/>
              <w:right w:val="single" w:sz="4" w:space="0" w:color="auto"/>
            </w:tcBorders>
            <w:shd w:val="clear" w:color="auto" w:fill="C6EFCE"/>
            <w:noWrap/>
            <w:vAlign w:val="center"/>
          </w:tcPr>
          <w:p w14:paraId="25472A0C"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Q4</w:t>
            </w:r>
          </w:p>
        </w:tc>
        <w:tc>
          <w:tcPr>
            <w:tcW w:w="720" w:type="dxa"/>
            <w:tcBorders>
              <w:top w:val="single" w:sz="4" w:space="0" w:color="auto"/>
              <w:left w:val="nil"/>
              <w:bottom w:val="single" w:sz="4" w:space="0" w:color="auto"/>
              <w:right w:val="single" w:sz="4" w:space="0" w:color="auto"/>
            </w:tcBorders>
            <w:shd w:val="clear" w:color="auto" w:fill="C6EFCE"/>
            <w:noWrap/>
            <w:vAlign w:val="center"/>
          </w:tcPr>
          <w:p w14:paraId="3624C309"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2025</w:t>
            </w:r>
          </w:p>
        </w:tc>
        <w:tc>
          <w:tcPr>
            <w:tcW w:w="3182" w:type="dxa"/>
            <w:tcBorders>
              <w:top w:val="single" w:sz="4" w:space="0" w:color="auto"/>
              <w:left w:val="nil"/>
              <w:bottom w:val="single" w:sz="4" w:space="0" w:color="auto"/>
              <w:right w:val="single" w:sz="4" w:space="0" w:color="auto"/>
            </w:tcBorders>
            <w:shd w:val="clear" w:color="auto" w:fill="C6EFCE"/>
            <w:noWrap/>
            <w:vAlign w:val="center"/>
          </w:tcPr>
          <w:p w14:paraId="3B5AFE58"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All awarded projects under the 4 schemes (1. Towards a low-cost public service for citizens, businesses and associations; 2. Enable quick and effective decisions with data; 3. Ensuring a reliable basic infrastructure by strengthening common information and ICT building blocks; and 4. Providing a hybrid workplace of the future for each Flemish official) are completed.</w:t>
            </w:r>
          </w:p>
        </w:tc>
      </w:tr>
      <w:tr w:rsidR="00BF38A0" w:rsidRPr="001961AA" w14:paraId="74D41866" w14:textId="77777777" w:rsidTr="00BF38A0">
        <w:trPr>
          <w:trHeight w:val="309"/>
        </w:trPr>
        <w:tc>
          <w:tcPr>
            <w:tcW w:w="6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C7B3807"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70</w:t>
            </w:r>
          </w:p>
        </w:tc>
        <w:tc>
          <w:tcPr>
            <w:tcW w:w="1446" w:type="dxa"/>
            <w:tcBorders>
              <w:top w:val="single" w:sz="4" w:space="0" w:color="auto"/>
              <w:left w:val="nil"/>
              <w:bottom w:val="single" w:sz="4" w:space="0" w:color="auto"/>
              <w:right w:val="single" w:sz="4" w:space="0" w:color="auto"/>
            </w:tcBorders>
            <w:shd w:val="clear" w:color="auto" w:fill="C6EFCE"/>
            <w:noWrap/>
            <w:vAlign w:val="center"/>
          </w:tcPr>
          <w:p w14:paraId="3E211E50"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Regional data exchange platform (I-2.10)</w:t>
            </w:r>
          </w:p>
        </w:tc>
        <w:tc>
          <w:tcPr>
            <w:tcW w:w="1080" w:type="dxa"/>
            <w:tcBorders>
              <w:top w:val="single" w:sz="4" w:space="0" w:color="auto"/>
              <w:left w:val="nil"/>
              <w:bottom w:val="single" w:sz="4" w:space="0" w:color="auto"/>
              <w:right w:val="single" w:sz="4" w:space="0" w:color="auto"/>
            </w:tcBorders>
            <w:shd w:val="clear" w:color="auto" w:fill="C6EFCE"/>
            <w:noWrap/>
            <w:vAlign w:val="center"/>
          </w:tcPr>
          <w:p w14:paraId="1794BEA1" w14:textId="1D9626B4"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M</w:t>
            </w:r>
          </w:p>
        </w:tc>
        <w:tc>
          <w:tcPr>
            <w:tcW w:w="1560" w:type="dxa"/>
            <w:tcBorders>
              <w:top w:val="single" w:sz="4" w:space="0" w:color="auto"/>
              <w:left w:val="nil"/>
              <w:bottom w:val="single" w:sz="4" w:space="0" w:color="auto"/>
              <w:right w:val="single" w:sz="4" w:space="0" w:color="auto"/>
            </w:tcBorders>
            <w:shd w:val="clear" w:color="auto" w:fill="C6EFCE"/>
            <w:noWrap/>
            <w:vAlign w:val="center"/>
          </w:tcPr>
          <w:p w14:paraId="4061D89E"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Award of the public contract</w:t>
            </w:r>
          </w:p>
        </w:tc>
        <w:tc>
          <w:tcPr>
            <w:tcW w:w="1920" w:type="dxa"/>
            <w:tcBorders>
              <w:top w:val="single" w:sz="4" w:space="0" w:color="auto"/>
              <w:left w:val="nil"/>
              <w:bottom w:val="single" w:sz="4" w:space="0" w:color="auto"/>
              <w:right w:val="single" w:sz="4" w:space="0" w:color="auto"/>
            </w:tcBorders>
            <w:shd w:val="clear" w:color="auto" w:fill="C6EFCE"/>
            <w:noWrap/>
            <w:vAlign w:val="center"/>
          </w:tcPr>
          <w:p w14:paraId="04BFECBC"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A mission order document shall be published</w:t>
            </w:r>
          </w:p>
        </w:tc>
        <w:tc>
          <w:tcPr>
            <w:tcW w:w="1440" w:type="dxa"/>
            <w:tcBorders>
              <w:top w:val="single" w:sz="4" w:space="0" w:color="auto"/>
              <w:left w:val="nil"/>
              <w:bottom w:val="single" w:sz="4" w:space="0" w:color="auto"/>
              <w:right w:val="single" w:sz="4" w:space="0" w:color="auto"/>
            </w:tcBorders>
            <w:shd w:val="clear" w:color="auto" w:fill="C6EFCE"/>
            <w:noWrap/>
            <w:vAlign w:val="center"/>
          </w:tcPr>
          <w:p w14:paraId="51E998C6" w14:textId="77777777" w:rsidR="006A41D9" w:rsidRPr="001961AA" w:rsidRDefault="006A41D9" w:rsidP="00BD6DD1">
            <w:pPr>
              <w:spacing w:after="0"/>
              <w:jc w:val="center"/>
              <w:rPr>
                <w:rFonts w:ascii="Times New Roman" w:eastAsia="Times New Roman" w:hAnsi="Times New Roman" w:cs="Times New Roman"/>
                <w:noProof/>
                <w:color w:val="006100"/>
                <w:lang w:val="en-GB" w:eastAsia="en-GB"/>
              </w:rPr>
            </w:pPr>
          </w:p>
        </w:tc>
        <w:tc>
          <w:tcPr>
            <w:tcW w:w="1080" w:type="dxa"/>
            <w:tcBorders>
              <w:top w:val="single" w:sz="4" w:space="0" w:color="auto"/>
              <w:left w:val="nil"/>
              <w:bottom w:val="single" w:sz="4" w:space="0" w:color="auto"/>
              <w:right w:val="single" w:sz="4" w:space="0" w:color="auto"/>
            </w:tcBorders>
            <w:shd w:val="clear" w:color="auto" w:fill="C6EFCE"/>
            <w:noWrap/>
            <w:vAlign w:val="center"/>
          </w:tcPr>
          <w:p w14:paraId="0996D1C7" w14:textId="77777777" w:rsidR="006A41D9" w:rsidRPr="001961AA" w:rsidRDefault="006A41D9" w:rsidP="00BD6DD1">
            <w:pPr>
              <w:spacing w:after="0"/>
              <w:jc w:val="center"/>
              <w:rPr>
                <w:rFonts w:ascii="Times New Roman" w:eastAsia="Times New Roman" w:hAnsi="Times New Roman" w:cs="Times New Roman"/>
                <w:noProof/>
                <w:color w:val="006100"/>
                <w:lang w:val="en-GB" w:eastAsia="en-GB"/>
              </w:rPr>
            </w:pPr>
          </w:p>
        </w:tc>
        <w:tc>
          <w:tcPr>
            <w:tcW w:w="840" w:type="dxa"/>
            <w:tcBorders>
              <w:top w:val="single" w:sz="4" w:space="0" w:color="auto"/>
              <w:left w:val="nil"/>
              <w:bottom w:val="single" w:sz="4" w:space="0" w:color="auto"/>
              <w:right w:val="single" w:sz="4" w:space="0" w:color="auto"/>
            </w:tcBorders>
            <w:shd w:val="clear" w:color="auto" w:fill="C6EFCE"/>
            <w:noWrap/>
            <w:vAlign w:val="center"/>
          </w:tcPr>
          <w:p w14:paraId="79FA7DB4" w14:textId="77777777" w:rsidR="006A41D9" w:rsidRPr="001961AA" w:rsidRDefault="006A41D9" w:rsidP="00BD6DD1">
            <w:pPr>
              <w:spacing w:after="0"/>
              <w:jc w:val="center"/>
              <w:rPr>
                <w:rFonts w:ascii="Times New Roman" w:eastAsia="Times New Roman" w:hAnsi="Times New Roman" w:cs="Times New Roman"/>
                <w:noProof/>
                <w:color w:val="006100"/>
                <w:lang w:val="en-GB" w:eastAsia="en-GB"/>
              </w:rPr>
            </w:pPr>
          </w:p>
        </w:tc>
        <w:tc>
          <w:tcPr>
            <w:tcW w:w="960" w:type="dxa"/>
            <w:tcBorders>
              <w:top w:val="single" w:sz="4" w:space="0" w:color="auto"/>
              <w:left w:val="nil"/>
              <w:bottom w:val="single" w:sz="4" w:space="0" w:color="auto"/>
              <w:right w:val="single" w:sz="4" w:space="0" w:color="auto"/>
            </w:tcBorders>
            <w:shd w:val="clear" w:color="auto" w:fill="C6EFCE"/>
            <w:noWrap/>
            <w:vAlign w:val="center"/>
          </w:tcPr>
          <w:p w14:paraId="19B56E5C"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Q2</w:t>
            </w:r>
          </w:p>
        </w:tc>
        <w:tc>
          <w:tcPr>
            <w:tcW w:w="720" w:type="dxa"/>
            <w:tcBorders>
              <w:top w:val="single" w:sz="4" w:space="0" w:color="auto"/>
              <w:left w:val="nil"/>
              <w:bottom w:val="single" w:sz="4" w:space="0" w:color="auto"/>
              <w:right w:val="single" w:sz="4" w:space="0" w:color="auto"/>
            </w:tcBorders>
            <w:shd w:val="clear" w:color="auto" w:fill="C6EFCE"/>
            <w:noWrap/>
            <w:vAlign w:val="center"/>
          </w:tcPr>
          <w:p w14:paraId="60577E96"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2021</w:t>
            </w:r>
          </w:p>
        </w:tc>
        <w:tc>
          <w:tcPr>
            <w:tcW w:w="3182" w:type="dxa"/>
            <w:tcBorders>
              <w:top w:val="single" w:sz="4" w:space="0" w:color="auto"/>
              <w:left w:val="nil"/>
              <w:bottom w:val="single" w:sz="4" w:space="0" w:color="auto"/>
              <w:right w:val="single" w:sz="4" w:space="0" w:color="auto"/>
            </w:tcBorders>
            <w:shd w:val="clear" w:color="auto" w:fill="C6EFCE"/>
            <w:noWrap/>
            <w:vAlign w:val="center"/>
          </w:tcPr>
          <w:p w14:paraId="17A01F0E"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A mission order document shall be published presenting the high level requirements of the solution for a data exchange platform as well as the distribution of roles between the Brussels Regional Informatics Center (BRIC) and the subcontractors and the needs in terms of data governance and the governance required for the platform.</w:t>
            </w:r>
          </w:p>
        </w:tc>
      </w:tr>
      <w:tr w:rsidR="00BF38A0" w:rsidRPr="001961AA" w14:paraId="3A0F89A9" w14:textId="77777777" w:rsidTr="00BF38A0">
        <w:trPr>
          <w:trHeight w:val="309"/>
        </w:trPr>
        <w:tc>
          <w:tcPr>
            <w:tcW w:w="6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7B909BA"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71</w:t>
            </w:r>
          </w:p>
        </w:tc>
        <w:tc>
          <w:tcPr>
            <w:tcW w:w="1446" w:type="dxa"/>
            <w:tcBorders>
              <w:top w:val="single" w:sz="4" w:space="0" w:color="auto"/>
              <w:left w:val="nil"/>
              <w:bottom w:val="single" w:sz="4" w:space="0" w:color="auto"/>
              <w:right w:val="single" w:sz="4" w:space="0" w:color="auto"/>
            </w:tcBorders>
            <w:shd w:val="clear" w:color="auto" w:fill="C6EFCE"/>
            <w:noWrap/>
            <w:vAlign w:val="center"/>
          </w:tcPr>
          <w:p w14:paraId="60B6E408"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Regional data exchange platform (I-2.10)</w:t>
            </w:r>
          </w:p>
        </w:tc>
        <w:tc>
          <w:tcPr>
            <w:tcW w:w="1080" w:type="dxa"/>
            <w:tcBorders>
              <w:top w:val="single" w:sz="4" w:space="0" w:color="auto"/>
              <w:left w:val="nil"/>
              <w:bottom w:val="single" w:sz="4" w:space="0" w:color="auto"/>
              <w:right w:val="single" w:sz="4" w:space="0" w:color="auto"/>
            </w:tcBorders>
            <w:shd w:val="clear" w:color="auto" w:fill="C6EFCE"/>
            <w:noWrap/>
            <w:vAlign w:val="center"/>
          </w:tcPr>
          <w:p w14:paraId="63570156" w14:textId="4DD22413"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T</w:t>
            </w:r>
          </w:p>
        </w:tc>
        <w:tc>
          <w:tcPr>
            <w:tcW w:w="1560" w:type="dxa"/>
            <w:tcBorders>
              <w:top w:val="single" w:sz="4" w:space="0" w:color="auto"/>
              <w:left w:val="nil"/>
              <w:bottom w:val="single" w:sz="4" w:space="0" w:color="auto"/>
              <w:right w:val="single" w:sz="4" w:space="0" w:color="auto"/>
            </w:tcBorders>
            <w:shd w:val="clear" w:color="auto" w:fill="C6EFCE"/>
            <w:noWrap/>
            <w:vAlign w:val="center"/>
          </w:tcPr>
          <w:p w14:paraId="1BDB38CE"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10 public administrations are supported for the deployment of projects on the regional data platform</w:t>
            </w:r>
          </w:p>
        </w:tc>
        <w:tc>
          <w:tcPr>
            <w:tcW w:w="1920" w:type="dxa"/>
            <w:tcBorders>
              <w:top w:val="single" w:sz="4" w:space="0" w:color="auto"/>
              <w:left w:val="nil"/>
              <w:bottom w:val="single" w:sz="4" w:space="0" w:color="auto"/>
              <w:right w:val="single" w:sz="4" w:space="0" w:color="auto"/>
            </w:tcBorders>
            <w:shd w:val="clear" w:color="auto" w:fill="C6EFCE"/>
            <w:noWrap/>
            <w:vAlign w:val="center"/>
          </w:tcPr>
          <w:p w14:paraId="441EF447" w14:textId="77777777"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1440" w:type="dxa"/>
            <w:tcBorders>
              <w:top w:val="single" w:sz="4" w:space="0" w:color="auto"/>
              <w:left w:val="nil"/>
              <w:bottom w:val="single" w:sz="4" w:space="0" w:color="auto"/>
              <w:right w:val="single" w:sz="4" w:space="0" w:color="auto"/>
            </w:tcBorders>
            <w:shd w:val="clear" w:color="auto" w:fill="C6EFCE"/>
            <w:noWrap/>
            <w:vAlign w:val="center"/>
          </w:tcPr>
          <w:p w14:paraId="728E1F88"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Public administrations</w:t>
            </w:r>
          </w:p>
        </w:tc>
        <w:tc>
          <w:tcPr>
            <w:tcW w:w="1080" w:type="dxa"/>
            <w:tcBorders>
              <w:top w:val="single" w:sz="4" w:space="0" w:color="auto"/>
              <w:left w:val="nil"/>
              <w:bottom w:val="single" w:sz="4" w:space="0" w:color="auto"/>
              <w:right w:val="single" w:sz="4" w:space="0" w:color="auto"/>
            </w:tcBorders>
            <w:shd w:val="clear" w:color="auto" w:fill="C6EFCE"/>
            <w:noWrap/>
            <w:vAlign w:val="center"/>
          </w:tcPr>
          <w:p w14:paraId="515C9925"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0</w:t>
            </w:r>
          </w:p>
        </w:tc>
        <w:tc>
          <w:tcPr>
            <w:tcW w:w="840" w:type="dxa"/>
            <w:tcBorders>
              <w:top w:val="single" w:sz="4" w:space="0" w:color="auto"/>
              <w:left w:val="nil"/>
              <w:bottom w:val="single" w:sz="4" w:space="0" w:color="auto"/>
              <w:right w:val="single" w:sz="4" w:space="0" w:color="auto"/>
            </w:tcBorders>
            <w:shd w:val="clear" w:color="auto" w:fill="C6EFCE"/>
            <w:noWrap/>
            <w:vAlign w:val="center"/>
          </w:tcPr>
          <w:p w14:paraId="686BFA47"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10</w:t>
            </w:r>
          </w:p>
        </w:tc>
        <w:tc>
          <w:tcPr>
            <w:tcW w:w="960" w:type="dxa"/>
            <w:tcBorders>
              <w:top w:val="single" w:sz="4" w:space="0" w:color="auto"/>
              <w:left w:val="nil"/>
              <w:bottom w:val="single" w:sz="4" w:space="0" w:color="auto"/>
              <w:right w:val="single" w:sz="4" w:space="0" w:color="auto"/>
            </w:tcBorders>
            <w:shd w:val="clear" w:color="auto" w:fill="C6EFCE"/>
            <w:noWrap/>
            <w:vAlign w:val="center"/>
          </w:tcPr>
          <w:p w14:paraId="116D6DD5"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Q4</w:t>
            </w:r>
          </w:p>
        </w:tc>
        <w:tc>
          <w:tcPr>
            <w:tcW w:w="720" w:type="dxa"/>
            <w:tcBorders>
              <w:top w:val="single" w:sz="4" w:space="0" w:color="auto"/>
              <w:left w:val="nil"/>
              <w:bottom w:val="single" w:sz="4" w:space="0" w:color="auto"/>
              <w:right w:val="single" w:sz="4" w:space="0" w:color="auto"/>
            </w:tcBorders>
            <w:shd w:val="clear" w:color="auto" w:fill="C6EFCE"/>
            <w:noWrap/>
            <w:vAlign w:val="center"/>
          </w:tcPr>
          <w:p w14:paraId="2E1B3768"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2024</w:t>
            </w:r>
          </w:p>
        </w:tc>
        <w:tc>
          <w:tcPr>
            <w:tcW w:w="3182" w:type="dxa"/>
            <w:tcBorders>
              <w:top w:val="single" w:sz="4" w:space="0" w:color="auto"/>
              <w:left w:val="nil"/>
              <w:bottom w:val="single" w:sz="4" w:space="0" w:color="auto"/>
              <w:right w:val="single" w:sz="4" w:space="0" w:color="auto"/>
            </w:tcBorders>
            <w:shd w:val="clear" w:color="auto" w:fill="C6EFCE"/>
            <w:noWrap/>
            <w:vAlign w:val="center"/>
          </w:tcPr>
          <w:p w14:paraId="65295F01"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A number of ten public administrations are supported for the development of projects on the new regional data exchange platform of the Brussels Region. The support shall consist in data integration development, data analysis, but also in specific resources assignment from Brussels Regional Informatics Center (BRIC) to help the public administrations in their projects, like Data Specialists and Data analysts.</w:t>
            </w:r>
          </w:p>
          <w:p w14:paraId="7F2E9B7A" w14:textId="59BF9549"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The public administrations shall be selected among the most important administrations of the region where the need for data exchange has been identified as required and where it shall provide added value for the Brussels Region.</w:t>
            </w:r>
          </w:p>
        </w:tc>
      </w:tr>
      <w:tr w:rsidR="00BF38A0" w:rsidRPr="001961AA" w14:paraId="732663C2" w14:textId="77777777" w:rsidTr="00BF38A0">
        <w:trPr>
          <w:trHeight w:val="309"/>
        </w:trPr>
        <w:tc>
          <w:tcPr>
            <w:tcW w:w="6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120F96E"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72</w:t>
            </w:r>
          </w:p>
        </w:tc>
        <w:tc>
          <w:tcPr>
            <w:tcW w:w="1446" w:type="dxa"/>
            <w:tcBorders>
              <w:top w:val="single" w:sz="4" w:space="0" w:color="auto"/>
              <w:left w:val="nil"/>
              <w:bottom w:val="single" w:sz="4" w:space="0" w:color="auto"/>
              <w:right w:val="single" w:sz="4" w:space="0" w:color="auto"/>
            </w:tcBorders>
            <w:shd w:val="clear" w:color="auto" w:fill="C6EFCE"/>
            <w:noWrap/>
            <w:vAlign w:val="center"/>
          </w:tcPr>
          <w:p w14:paraId="690DAD0D"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Digitalisation of citizen-business processes (I-2.11)</w:t>
            </w:r>
          </w:p>
        </w:tc>
        <w:tc>
          <w:tcPr>
            <w:tcW w:w="1080" w:type="dxa"/>
            <w:tcBorders>
              <w:top w:val="single" w:sz="4" w:space="0" w:color="auto"/>
              <w:left w:val="nil"/>
              <w:bottom w:val="single" w:sz="4" w:space="0" w:color="auto"/>
              <w:right w:val="single" w:sz="4" w:space="0" w:color="auto"/>
            </w:tcBorders>
            <w:shd w:val="clear" w:color="auto" w:fill="C6EFCE"/>
            <w:noWrap/>
            <w:vAlign w:val="center"/>
          </w:tcPr>
          <w:p w14:paraId="4CB4BF7D" w14:textId="36050366"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M</w:t>
            </w:r>
          </w:p>
        </w:tc>
        <w:tc>
          <w:tcPr>
            <w:tcW w:w="1560" w:type="dxa"/>
            <w:tcBorders>
              <w:top w:val="single" w:sz="4" w:space="0" w:color="auto"/>
              <w:left w:val="nil"/>
              <w:bottom w:val="single" w:sz="4" w:space="0" w:color="auto"/>
              <w:right w:val="single" w:sz="4" w:space="0" w:color="auto"/>
            </w:tcBorders>
            <w:shd w:val="clear" w:color="auto" w:fill="C6EFCE"/>
            <w:noWrap/>
            <w:vAlign w:val="center"/>
          </w:tcPr>
          <w:p w14:paraId="4D22F5B3"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Entry in operation of new digital platforms</w:t>
            </w:r>
          </w:p>
        </w:tc>
        <w:tc>
          <w:tcPr>
            <w:tcW w:w="1920" w:type="dxa"/>
            <w:tcBorders>
              <w:top w:val="single" w:sz="4" w:space="0" w:color="auto"/>
              <w:left w:val="nil"/>
              <w:bottom w:val="single" w:sz="4" w:space="0" w:color="auto"/>
              <w:right w:val="single" w:sz="4" w:space="0" w:color="auto"/>
            </w:tcBorders>
            <w:shd w:val="clear" w:color="auto" w:fill="C6EFCE"/>
            <w:noWrap/>
            <w:vAlign w:val="center"/>
          </w:tcPr>
          <w:p w14:paraId="5138C551" w14:textId="156A9FBB"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A new platform (CRM) facilitating the interaction between the administration and citizens/enterprises and between administrations is operational in the Brussels Region</w:t>
            </w:r>
          </w:p>
        </w:tc>
        <w:tc>
          <w:tcPr>
            <w:tcW w:w="1440" w:type="dxa"/>
            <w:tcBorders>
              <w:top w:val="single" w:sz="4" w:space="0" w:color="auto"/>
              <w:left w:val="nil"/>
              <w:bottom w:val="single" w:sz="4" w:space="0" w:color="auto"/>
              <w:right w:val="single" w:sz="4" w:space="0" w:color="auto"/>
            </w:tcBorders>
            <w:shd w:val="clear" w:color="auto" w:fill="C6EFCE"/>
            <w:noWrap/>
            <w:vAlign w:val="center"/>
          </w:tcPr>
          <w:p w14:paraId="09F6A6D8" w14:textId="77777777" w:rsidR="006A41D9" w:rsidRPr="001961AA" w:rsidRDefault="006A41D9" w:rsidP="00BD6DD1">
            <w:pPr>
              <w:spacing w:after="0"/>
              <w:jc w:val="center"/>
              <w:rPr>
                <w:rFonts w:ascii="Times New Roman" w:eastAsia="Times New Roman" w:hAnsi="Times New Roman" w:cs="Times New Roman"/>
                <w:noProof/>
                <w:color w:val="006100"/>
                <w:lang w:val="en-GB" w:eastAsia="en-GB"/>
              </w:rPr>
            </w:pPr>
          </w:p>
        </w:tc>
        <w:tc>
          <w:tcPr>
            <w:tcW w:w="1080" w:type="dxa"/>
            <w:tcBorders>
              <w:top w:val="single" w:sz="4" w:space="0" w:color="auto"/>
              <w:left w:val="nil"/>
              <w:bottom w:val="single" w:sz="4" w:space="0" w:color="auto"/>
              <w:right w:val="single" w:sz="4" w:space="0" w:color="auto"/>
            </w:tcBorders>
            <w:shd w:val="clear" w:color="auto" w:fill="C6EFCE"/>
            <w:noWrap/>
            <w:vAlign w:val="center"/>
          </w:tcPr>
          <w:p w14:paraId="566B6DF4" w14:textId="77777777" w:rsidR="006A41D9" w:rsidRPr="001961AA" w:rsidRDefault="006A41D9" w:rsidP="00BD6DD1">
            <w:pPr>
              <w:spacing w:after="0"/>
              <w:jc w:val="center"/>
              <w:rPr>
                <w:rFonts w:ascii="Times New Roman" w:eastAsia="Times New Roman" w:hAnsi="Times New Roman" w:cs="Times New Roman"/>
                <w:noProof/>
                <w:color w:val="006100"/>
                <w:lang w:val="en-GB" w:eastAsia="en-GB"/>
              </w:rPr>
            </w:pPr>
          </w:p>
        </w:tc>
        <w:tc>
          <w:tcPr>
            <w:tcW w:w="840" w:type="dxa"/>
            <w:tcBorders>
              <w:top w:val="single" w:sz="4" w:space="0" w:color="auto"/>
              <w:left w:val="nil"/>
              <w:bottom w:val="single" w:sz="4" w:space="0" w:color="auto"/>
              <w:right w:val="single" w:sz="4" w:space="0" w:color="auto"/>
            </w:tcBorders>
            <w:shd w:val="clear" w:color="auto" w:fill="C6EFCE"/>
            <w:noWrap/>
            <w:vAlign w:val="center"/>
          </w:tcPr>
          <w:p w14:paraId="72662066" w14:textId="77777777" w:rsidR="006A41D9" w:rsidRPr="001961AA" w:rsidRDefault="006A41D9" w:rsidP="00BD6DD1">
            <w:pPr>
              <w:spacing w:after="0"/>
              <w:jc w:val="center"/>
              <w:rPr>
                <w:rFonts w:ascii="Times New Roman" w:eastAsia="Times New Roman" w:hAnsi="Times New Roman" w:cs="Times New Roman"/>
                <w:noProof/>
                <w:color w:val="006100"/>
                <w:lang w:val="en-GB" w:eastAsia="en-GB"/>
              </w:rPr>
            </w:pPr>
          </w:p>
        </w:tc>
        <w:tc>
          <w:tcPr>
            <w:tcW w:w="960" w:type="dxa"/>
            <w:tcBorders>
              <w:top w:val="single" w:sz="4" w:space="0" w:color="auto"/>
              <w:left w:val="nil"/>
              <w:bottom w:val="single" w:sz="4" w:space="0" w:color="auto"/>
              <w:right w:val="single" w:sz="4" w:space="0" w:color="auto"/>
            </w:tcBorders>
            <w:shd w:val="clear" w:color="auto" w:fill="C6EFCE"/>
            <w:noWrap/>
            <w:vAlign w:val="center"/>
          </w:tcPr>
          <w:p w14:paraId="52F5E56F"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Q2</w:t>
            </w:r>
          </w:p>
        </w:tc>
        <w:tc>
          <w:tcPr>
            <w:tcW w:w="720" w:type="dxa"/>
            <w:tcBorders>
              <w:top w:val="single" w:sz="4" w:space="0" w:color="auto"/>
              <w:left w:val="nil"/>
              <w:bottom w:val="single" w:sz="4" w:space="0" w:color="auto"/>
              <w:right w:val="single" w:sz="4" w:space="0" w:color="auto"/>
            </w:tcBorders>
            <w:shd w:val="clear" w:color="auto" w:fill="C6EFCE"/>
            <w:noWrap/>
            <w:vAlign w:val="center"/>
          </w:tcPr>
          <w:p w14:paraId="3E6FC13F"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2021</w:t>
            </w:r>
          </w:p>
        </w:tc>
        <w:tc>
          <w:tcPr>
            <w:tcW w:w="3182" w:type="dxa"/>
            <w:tcBorders>
              <w:top w:val="single" w:sz="4" w:space="0" w:color="auto"/>
              <w:left w:val="nil"/>
              <w:bottom w:val="single" w:sz="4" w:space="0" w:color="auto"/>
              <w:right w:val="single" w:sz="4" w:space="0" w:color="auto"/>
            </w:tcBorders>
            <w:shd w:val="clear" w:color="auto" w:fill="C6EFCE"/>
            <w:noWrap/>
            <w:vAlign w:val="center"/>
          </w:tcPr>
          <w:p w14:paraId="60555345" w14:textId="25CF09EE"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A new platform (CRM) facilitating the interaction between the administration and citizens/enterprises and between administrations is operational in the Brussels Region.</w:t>
            </w:r>
          </w:p>
          <w:p w14:paraId="44685F8C"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The CRM foundation platform shall be available for the development of specific CRM projects within the Brussels Region. The goal is to deploy by end of 2024 16 projects spread over regional and/or local administrations (Parking.Brussels, Hub.Brussels, Bruxelles Economie and Emploi).</w:t>
            </w:r>
          </w:p>
        </w:tc>
      </w:tr>
      <w:tr w:rsidR="00BF38A0" w:rsidRPr="001961AA" w14:paraId="330C8FC5" w14:textId="77777777" w:rsidTr="00BF38A0">
        <w:trPr>
          <w:trHeight w:val="309"/>
        </w:trPr>
        <w:tc>
          <w:tcPr>
            <w:tcW w:w="6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2CE0AE1"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73</w:t>
            </w:r>
          </w:p>
        </w:tc>
        <w:tc>
          <w:tcPr>
            <w:tcW w:w="1446" w:type="dxa"/>
            <w:tcBorders>
              <w:top w:val="single" w:sz="4" w:space="0" w:color="auto"/>
              <w:left w:val="nil"/>
              <w:bottom w:val="single" w:sz="4" w:space="0" w:color="auto"/>
              <w:right w:val="single" w:sz="4" w:space="0" w:color="auto"/>
            </w:tcBorders>
            <w:shd w:val="clear" w:color="auto" w:fill="C6EFCE"/>
            <w:noWrap/>
            <w:vAlign w:val="center"/>
          </w:tcPr>
          <w:p w14:paraId="558427E3"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Digitalisation of citizen-business processes (I-2.11)</w:t>
            </w:r>
          </w:p>
        </w:tc>
        <w:tc>
          <w:tcPr>
            <w:tcW w:w="1080" w:type="dxa"/>
            <w:tcBorders>
              <w:top w:val="single" w:sz="4" w:space="0" w:color="auto"/>
              <w:left w:val="nil"/>
              <w:bottom w:val="single" w:sz="4" w:space="0" w:color="auto"/>
              <w:right w:val="single" w:sz="4" w:space="0" w:color="auto"/>
            </w:tcBorders>
            <w:shd w:val="clear" w:color="auto" w:fill="C6EFCE"/>
            <w:noWrap/>
            <w:vAlign w:val="center"/>
          </w:tcPr>
          <w:p w14:paraId="49FB1A9D" w14:textId="728B5B70"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T</w:t>
            </w:r>
          </w:p>
        </w:tc>
        <w:tc>
          <w:tcPr>
            <w:tcW w:w="1560" w:type="dxa"/>
            <w:tcBorders>
              <w:top w:val="single" w:sz="4" w:space="0" w:color="auto"/>
              <w:left w:val="nil"/>
              <w:bottom w:val="single" w:sz="4" w:space="0" w:color="auto"/>
              <w:right w:val="single" w:sz="4" w:space="0" w:color="auto"/>
            </w:tcBorders>
            <w:shd w:val="clear" w:color="auto" w:fill="C6EFCE"/>
            <w:noWrap/>
            <w:vAlign w:val="center"/>
          </w:tcPr>
          <w:p w14:paraId="4138C922"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Entry in operation of 3 online platforms (town planning permit, town planning information and environmental permit)</w:t>
            </w:r>
          </w:p>
        </w:tc>
        <w:tc>
          <w:tcPr>
            <w:tcW w:w="1920" w:type="dxa"/>
            <w:tcBorders>
              <w:top w:val="single" w:sz="4" w:space="0" w:color="auto"/>
              <w:left w:val="nil"/>
              <w:bottom w:val="single" w:sz="4" w:space="0" w:color="auto"/>
              <w:right w:val="single" w:sz="4" w:space="0" w:color="auto"/>
            </w:tcBorders>
            <w:shd w:val="clear" w:color="auto" w:fill="C6EFCE"/>
            <w:noWrap/>
            <w:vAlign w:val="center"/>
          </w:tcPr>
          <w:p w14:paraId="3A88FDDC" w14:textId="58C83DE9"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1440" w:type="dxa"/>
            <w:tcBorders>
              <w:top w:val="single" w:sz="4" w:space="0" w:color="auto"/>
              <w:left w:val="nil"/>
              <w:bottom w:val="single" w:sz="4" w:space="0" w:color="auto"/>
              <w:right w:val="single" w:sz="4" w:space="0" w:color="auto"/>
            </w:tcBorders>
            <w:shd w:val="clear" w:color="auto" w:fill="C6EFCE"/>
            <w:noWrap/>
            <w:vAlign w:val="center"/>
          </w:tcPr>
          <w:p w14:paraId="347FB8F7"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Digital platforms</w:t>
            </w:r>
          </w:p>
        </w:tc>
        <w:tc>
          <w:tcPr>
            <w:tcW w:w="1080" w:type="dxa"/>
            <w:tcBorders>
              <w:top w:val="single" w:sz="4" w:space="0" w:color="auto"/>
              <w:left w:val="nil"/>
              <w:bottom w:val="single" w:sz="4" w:space="0" w:color="auto"/>
              <w:right w:val="single" w:sz="4" w:space="0" w:color="auto"/>
            </w:tcBorders>
            <w:shd w:val="clear" w:color="auto" w:fill="C6EFCE"/>
            <w:noWrap/>
            <w:vAlign w:val="center"/>
          </w:tcPr>
          <w:p w14:paraId="22E79F9E"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0</w:t>
            </w:r>
          </w:p>
        </w:tc>
        <w:tc>
          <w:tcPr>
            <w:tcW w:w="840" w:type="dxa"/>
            <w:tcBorders>
              <w:top w:val="single" w:sz="4" w:space="0" w:color="auto"/>
              <w:left w:val="nil"/>
              <w:bottom w:val="single" w:sz="4" w:space="0" w:color="auto"/>
              <w:right w:val="single" w:sz="4" w:space="0" w:color="auto"/>
            </w:tcBorders>
            <w:shd w:val="clear" w:color="auto" w:fill="C6EFCE"/>
            <w:noWrap/>
            <w:vAlign w:val="center"/>
          </w:tcPr>
          <w:p w14:paraId="2AE3399B"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3</w:t>
            </w:r>
          </w:p>
        </w:tc>
        <w:tc>
          <w:tcPr>
            <w:tcW w:w="960" w:type="dxa"/>
            <w:tcBorders>
              <w:top w:val="single" w:sz="4" w:space="0" w:color="auto"/>
              <w:left w:val="nil"/>
              <w:bottom w:val="single" w:sz="4" w:space="0" w:color="auto"/>
              <w:right w:val="single" w:sz="4" w:space="0" w:color="auto"/>
            </w:tcBorders>
            <w:shd w:val="clear" w:color="auto" w:fill="C6EFCE"/>
            <w:noWrap/>
            <w:vAlign w:val="center"/>
          </w:tcPr>
          <w:p w14:paraId="6A25B48A"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Q4</w:t>
            </w:r>
          </w:p>
        </w:tc>
        <w:tc>
          <w:tcPr>
            <w:tcW w:w="720" w:type="dxa"/>
            <w:tcBorders>
              <w:top w:val="single" w:sz="4" w:space="0" w:color="auto"/>
              <w:left w:val="nil"/>
              <w:bottom w:val="single" w:sz="4" w:space="0" w:color="auto"/>
              <w:right w:val="single" w:sz="4" w:space="0" w:color="auto"/>
            </w:tcBorders>
            <w:shd w:val="clear" w:color="auto" w:fill="C6EFCE"/>
            <w:noWrap/>
            <w:vAlign w:val="center"/>
          </w:tcPr>
          <w:p w14:paraId="438C0C0B"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2025</w:t>
            </w:r>
          </w:p>
        </w:tc>
        <w:tc>
          <w:tcPr>
            <w:tcW w:w="3182" w:type="dxa"/>
            <w:tcBorders>
              <w:top w:val="single" w:sz="4" w:space="0" w:color="auto"/>
              <w:left w:val="nil"/>
              <w:bottom w:val="single" w:sz="4" w:space="0" w:color="auto"/>
              <w:right w:val="single" w:sz="4" w:space="0" w:color="auto"/>
            </w:tcBorders>
            <w:shd w:val="clear" w:color="auto" w:fill="C6EFCE"/>
            <w:noWrap/>
            <w:vAlign w:val="center"/>
          </w:tcPr>
          <w:p w14:paraId="6EB6C9C6" w14:textId="519F18CC" w:rsidR="006A41D9" w:rsidRPr="001961AA" w:rsidRDefault="006A41D9" w:rsidP="002A6A91">
            <w:pPr>
              <w:spacing w:after="12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Three digital platforms respectively for urban planning permits, urban planning information and environmental permits are operational in the Brussels Region.</w:t>
            </w:r>
          </w:p>
          <w:p w14:paraId="26147653" w14:textId="77777777" w:rsidR="006A41D9" w:rsidRPr="001961AA" w:rsidRDefault="006A41D9" w:rsidP="002A6A91">
            <w:pPr>
              <w:spacing w:after="12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 xml:space="preserve">The Platform for the digitalization of the building permits shall allow citizens and enterprises to make digitally their request for the different types of building permits, they shall be able to follow-up online the status of their permits, exchange digitally the required documents, and follow the process of their permits delivery. </w:t>
            </w:r>
          </w:p>
          <w:p w14:paraId="3CAF6C3E" w14:textId="77777777" w:rsidR="006A41D9" w:rsidRPr="001961AA" w:rsidRDefault="006A41D9" w:rsidP="002A6A91">
            <w:pPr>
              <w:spacing w:after="12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 xml:space="preserve">The platform for the digitalization of the urban planning information shall offer services to manage the requests and the follow-up of the urban planning information, by integrating the third parties (such as real estate agencies, notaries). It shall offer services to digitalize urban planning archives on the basis of standards. </w:t>
            </w:r>
          </w:p>
          <w:p w14:paraId="77DEA27D"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The platform for the digitalization of the environmental permits shall allow citizens and enterprises to introduce demands for the different types of environmental permits, including: normal permits, classes, extensions, specific permits, mixed permits. The platform shall also integrate all stages of the procedure from request for complements, modification of the request, until delivery of the permit.</w:t>
            </w:r>
          </w:p>
        </w:tc>
      </w:tr>
      <w:tr w:rsidR="00BF38A0" w:rsidRPr="001961AA" w14:paraId="5185E5E7" w14:textId="77777777" w:rsidTr="00BF38A0">
        <w:trPr>
          <w:trHeight w:val="309"/>
        </w:trPr>
        <w:tc>
          <w:tcPr>
            <w:tcW w:w="6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7D1D4FC" w14:textId="29566EBF"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77</w:t>
            </w:r>
          </w:p>
        </w:tc>
        <w:tc>
          <w:tcPr>
            <w:tcW w:w="1446" w:type="dxa"/>
            <w:tcBorders>
              <w:top w:val="single" w:sz="4" w:space="0" w:color="auto"/>
              <w:left w:val="nil"/>
              <w:bottom w:val="single" w:sz="4" w:space="0" w:color="auto"/>
              <w:right w:val="single" w:sz="4" w:space="0" w:color="auto"/>
            </w:tcBorders>
            <w:shd w:val="clear" w:color="auto" w:fill="C6EFCE"/>
            <w:noWrap/>
            <w:vAlign w:val="center"/>
          </w:tcPr>
          <w:p w14:paraId="57E4AE0C"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Simplification of administrative procedures (R-2.01)</w:t>
            </w:r>
          </w:p>
        </w:tc>
        <w:tc>
          <w:tcPr>
            <w:tcW w:w="1080" w:type="dxa"/>
            <w:tcBorders>
              <w:top w:val="single" w:sz="4" w:space="0" w:color="auto"/>
              <w:left w:val="nil"/>
              <w:bottom w:val="single" w:sz="4" w:space="0" w:color="auto"/>
              <w:right w:val="single" w:sz="4" w:space="0" w:color="auto"/>
            </w:tcBorders>
            <w:shd w:val="clear" w:color="auto" w:fill="C6EFCE"/>
            <w:noWrap/>
            <w:vAlign w:val="center"/>
          </w:tcPr>
          <w:p w14:paraId="7AF5EEC7" w14:textId="0CE80B99"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M</w:t>
            </w:r>
          </w:p>
        </w:tc>
        <w:tc>
          <w:tcPr>
            <w:tcW w:w="1560" w:type="dxa"/>
            <w:tcBorders>
              <w:top w:val="single" w:sz="4" w:space="0" w:color="auto"/>
              <w:left w:val="nil"/>
              <w:bottom w:val="single" w:sz="4" w:space="0" w:color="auto"/>
              <w:right w:val="single" w:sz="4" w:space="0" w:color="auto"/>
            </w:tcBorders>
            <w:shd w:val="clear" w:color="auto" w:fill="C6EFCE"/>
            <w:noWrap/>
            <w:vAlign w:val="center"/>
          </w:tcPr>
          <w:p w14:paraId="47D64220"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Entry into force of measures to simplify the online creation of a business</w:t>
            </w:r>
          </w:p>
        </w:tc>
        <w:tc>
          <w:tcPr>
            <w:tcW w:w="1920" w:type="dxa"/>
            <w:tcBorders>
              <w:top w:val="single" w:sz="4" w:space="0" w:color="auto"/>
              <w:left w:val="nil"/>
              <w:bottom w:val="single" w:sz="4" w:space="0" w:color="auto"/>
              <w:right w:val="single" w:sz="4" w:space="0" w:color="auto"/>
            </w:tcBorders>
            <w:shd w:val="clear" w:color="auto" w:fill="C6EFCE"/>
            <w:noWrap/>
            <w:vAlign w:val="center"/>
          </w:tcPr>
          <w:p w14:paraId="1EE310A2" w14:textId="1D5F26EB" w:rsidR="006A41D9" w:rsidRPr="001961AA" w:rsidRDefault="0072651A" w:rsidP="002A6A9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Publication in the Moniteur belge of the last legislative act assenting to the cooperation agreement including measures to enable the creation, modification and dissolution of business activities in full electronic format. Provisions indicating the entry into force of the laws and royal decrees gradually enabling the online creation, modification and dissolution of legal persons for all legal forms</w:t>
            </w:r>
          </w:p>
        </w:tc>
        <w:tc>
          <w:tcPr>
            <w:tcW w:w="1440" w:type="dxa"/>
            <w:tcBorders>
              <w:top w:val="single" w:sz="4" w:space="0" w:color="auto"/>
              <w:left w:val="nil"/>
              <w:bottom w:val="single" w:sz="4" w:space="0" w:color="auto"/>
              <w:right w:val="single" w:sz="4" w:space="0" w:color="auto"/>
            </w:tcBorders>
            <w:shd w:val="clear" w:color="auto" w:fill="C6EFCE"/>
            <w:noWrap/>
            <w:vAlign w:val="center"/>
          </w:tcPr>
          <w:p w14:paraId="0801CC6E" w14:textId="77777777" w:rsidR="006A41D9" w:rsidRPr="001961AA" w:rsidRDefault="006A41D9" w:rsidP="00BD6DD1">
            <w:pPr>
              <w:spacing w:after="0"/>
              <w:jc w:val="center"/>
              <w:rPr>
                <w:rFonts w:ascii="Times New Roman" w:eastAsia="Times New Roman" w:hAnsi="Times New Roman" w:cs="Times New Roman"/>
                <w:noProof/>
                <w:color w:val="006100"/>
                <w:lang w:val="en-GB" w:eastAsia="en-GB"/>
              </w:rPr>
            </w:pPr>
          </w:p>
        </w:tc>
        <w:tc>
          <w:tcPr>
            <w:tcW w:w="1080" w:type="dxa"/>
            <w:tcBorders>
              <w:top w:val="single" w:sz="4" w:space="0" w:color="auto"/>
              <w:left w:val="nil"/>
              <w:bottom w:val="single" w:sz="4" w:space="0" w:color="auto"/>
              <w:right w:val="single" w:sz="4" w:space="0" w:color="auto"/>
            </w:tcBorders>
            <w:shd w:val="clear" w:color="auto" w:fill="C6EFCE"/>
            <w:noWrap/>
            <w:vAlign w:val="center"/>
          </w:tcPr>
          <w:p w14:paraId="480C4691" w14:textId="77777777" w:rsidR="006A41D9" w:rsidRPr="001961AA" w:rsidRDefault="006A41D9" w:rsidP="00BD6DD1">
            <w:pPr>
              <w:spacing w:after="0"/>
              <w:jc w:val="center"/>
              <w:rPr>
                <w:rFonts w:ascii="Times New Roman" w:eastAsia="Times New Roman" w:hAnsi="Times New Roman" w:cs="Times New Roman"/>
                <w:noProof/>
                <w:color w:val="006100"/>
                <w:lang w:val="en-GB" w:eastAsia="en-GB"/>
              </w:rPr>
            </w:pPr>
          </w:p>
        </w:tc>
        <w:tc>
          <w:tcPr>
            <w:tcW w:w="840" w:type="dxa"/>
            <w:tcBorders>
              <w:top w:val="single" w:sz="4" w:space="0" w:color="auto"/>
              <w:left w:val="nil"/>
              <w:bottom w:val="single" w:sz="4" w:space="0" w:color="auto"/>
              <w:right w:val="single" w:sz="4" w:space="0" w:color="auto"/>
            </w:tcBorders>
            <w:shd w:val="clear" w:color="auto" w:fill="C6EFCE"/>
            <w:noWrap/>
            <w:vAlign w:val="center"/>
          </w:tcPr>
          <w:p w14:paraId="19FC01C5" w14:textId="77777777" w:rsidR="006A41D9" w:rsidRPr="001961AA" w:rsidRDefault="006A41D9" w:rsidP="00BD6DD1">
            <w:pPr>
              <w:spacing w:after="0"/>
              <w:jc w:val="center"/>
              <w:rPr>
                <w:rFonts w:ascii="Times New Roman" w:eastAsia="Times New Roman" w:hAnsi="Times New Roman" w:cs="Times New Roman"/>
                <w:noProof/>
                <w:color w:val="006100"/>
                <w:lang w:val="en-GB" w:eastAsia="en-GB"/>
              </w:rPr>
            </w:pPr>
          </w:p>
        </w:tc>
        <w:tc>
          <w:tcPr>
            <w:tcW w:w="960" w:type="dxa"/>
            <w:tcBorders>
              <w:top w:val="single" w:sz="4" w:space="0" w:color="auto"/>
              <w:left w:val="nil"/>
              <w:bottom w:val="single" w:sz="4" w:space="0" w:color="auto"/>
              <w:right w:val="single" w:sz="4" w:space="0" w:color="auto"/>
            </w:tcBorders>
            <w:shd w:val="clear" w:color="auto" w:fill="C6EFCE"/>
            <w:noWrap/>
            <w:vAlign w:val="center"/>
          </w:tcPr>
          <w:p w14:paraId="73DC94EA"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Q4</w:t>
            </w:r>
          </w:p>
        </w:tc>
        <w:tc>
          <w:tcPr>
            <w:tcW w:w="720" w:type="dxa"/>
            <w:tcBorders>
              <w:top w:val="single" w:sz="4" w:space="0" w:color="auto"/>
              <w:left w:val="nil"/>
              <w:bottom w:val="single" w:sz="4" w:space="0" w:color="auto"/>
              <w:right w:val="single" w:sz="4" w:space="0" w:color="auto"/>
            </w:tcBorders>
            <w:shd w:val="clear" w:color="auto" w:fill="C6EFCE"/>
            <w:noWrap/>
            <w:vAlign w:val="center"/>
          </w:tcPr>
          <w:p w14:paraId="7049D79B"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2023</w:t>
            </w:r>
          </w:p>
        </w:tc>
        <w:tc>
          <w:tcPr>
            <w:tcW w:w="3182" w:type="dxa"/>
            <w:tcBorders>
              <w:top w:val="single" w:sz="4" w:space="0" w:color="auto"/>
              <w:left w:val="nil"/>
              <w:bottom w:val="single" w:sz="4" w:space="0" w:color="auto"/>
              <w:right w:val="single" w:sz="4" w:space="0" w:color="auto"/>
            </w:tcBorders>
            <w:shd w:val="clear" w:color="auto" w:fill="C6EFCE"/>
            <w:noWrap/>
            <w:vAlign w:val="center"/>
          </w:tcPr>
          <w:p w14:paraId="1AA3B240" w14:textId="2C4CBA41" w:rsidR="006A41D9" w:rsidRPr="001961AA" w:rsidDel="00067AE0" w:rsidRDefault="4901EB4F" w:rsidP="5F2D102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 xml:space="preserve">Entry into force of the cooperation agreement between the federal government and the federated entities including measures to enable the creation, modification and dissolution of business activities in full electronic format. The new digital system introduced by the cooperation agreement, encompassing three electronic forms for the creation, modification and dissolution of business activities, shall be an alternative administrative channel that shall provide a simplified alternative to the existing forms. </w:t>
            </w:r>
          </w:p>
          <w:p w14:paraId="6C4FEEB7" w14:textId="2F51026D" w:rsidR="006A41D9" w:rsidRPr="001961AA" w:rsidRDefault="00F12245"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 xml:space="preserve">Entry into force of the legislative provisions gradually enabling the online creation, modification and dissolution of legal persons for all legal forms via notaries or via Just-Act. </w:t>
            </w:r>
          </w:p>
        </w:tc>
      </w:tr>
      <w:tr w:rsidR="00BF38A0" w:rsidRPr="001961AA" w14:paraId="778F6901" w14:textId="77777777" w:rsidTr="00BF38A0">
        <w:trPr>
          <w:trHeight w:val="309"/>
        </w:trPr>
        <w:tc>
          <w:tcPr>
            <w:tcW w:w="6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8D1BFD6"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78</w:t>
            </w:r>
          </w:p>
        </w:tc>
        <w:tc>
          <w:tcPr>
            <w:tcW w:w="1446" w:type="dxa"/>
            <w:tcBorders>
              <w:top w:val="single" w:sz="4" w:space="0" w:color="auto"/>
              <w:left w:val="nil"/>
              <w:bottom w:val="single" w:sz="4" w:space="0" w:color="auto"/>
              <w:right w:val="single" w:sz="4" w:space="0" w:color="auto"/>
            </w:tcBorders>
            <w:shd w:val="clear" w:color="auto" w:fill="C6EFCE"/>
            <w:noWrap/>
            <w:vAlign w:val="center"/>
          </w:tcPr>
          <w:p w14:paraId="41B94451"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E-government : tendering procedure (R-2.02)</w:t>
            </w:r>
          </w:p>
        </w:tc>
        <w:tc>
          <w:tcPr>
            <w:tcW w:w="1080" w:type="dxa"/>
            <w:tcBorders>
              <w:top w:val="single" w:sz="4" w:space="0" w:color="auto"/>
              <w:left w:val="nil"/>
              <w:bottom w:val="single" w:sz="4" w:space="0" w:color="auto"/>
              <w:right w:val="single" w:sz="4" w:space="0" w:color="auto"/>
            </w:tcBorders>
            <w:shd w:val="clear" w:color="auto" w:fill="C6EFCE"/>
            <w:noWrap/>
            <w:vAlign w:val="center"/>
          </w:tcPr>
          <w:p w14:paraId="7B7EAD84" w14:textId="59FF2C78"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M</w:t>
            </w:r>
          </w:p>
        </w:tc>
        <w:tc>
          <w:tcPr>
            <w:tcW w:w="1560" w:type="dxa"/>
            <w:tcBorders>
              <w:top w:val="single" w:sz="4" w:space="0" w:color="auto"/>
              <w:left w:val="nil"/>
              <w:bottom w:val="single" w:sz="4" w:space="0" w:color="auto"/>
              <w:right w:val="single" w:sz="4" w:space="0" w:color="auto"/>
            </w:tcBorders>
            <w:shd w:val="clear" w:color="auto" w:fill="C6EFCE"/>
            <w:noWrap/>
            <w:vAlign w:val="center"/>
          </w:tcPr>
          <w:p w14:paraId="45D395D7"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Entry into force of a new regulatory context</w:t>
            </w:r>
          </w:p>
        </w:tc>
        <w:tc>
          <w:tcPr>
            <w:tcW w:w="1920" w:type="dxa"/>
            <w:tcBorders>
              <w:top w:val="single" w:sz="4" w:space="0" w:color="auto"/>
              <w:left w:val="nil"/>
              <w:bottom w:val="single" w:sz="4" w:space="0" w:color="auto"/>
              <w:right w:val="single" w:sz="4" w:space="0" w:color="auto"/>
            </w:tcBorders>
            <w:shd w:val="clear" w:color="auto" w:fill="C6EFCE"/>
            <w:noWrap/>
            <w:vAlign w:val="center"/>
          </w:tcPr>
          <w:p w14:paraId="612840BB"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Provision in the law indicating the entry into force of the new Royal Decree</w:t>
            </w:r>
          </w:p>
        </w:tc>
        <w:tc>
          <w:tcPr>
            <w:tcW w:w="1440" w:type="dxa"/>
            <w:tcBorders>
              <w:top w:val="single" w:sz="4" w:space="0" w:color="auto"/>
              <w:left w:val="nil"/>
              <w:bottom w:val="single" w:sz="4" w:space="0" w:color="auto"/>
              <w:right w:val="single" w:sz="4" w:space="0" w:color="auto"/>
            </w:tcBorders>
            <w:shd w:val="clear" w:color="auto" w:fill="C6EFCE"/>
            <w:noWrap/>
            <w:vAlign w:val="center"/>
          </w:tcPr>
          <w:p w14:paraId="604827CA" w14:textId="77777777" w:rsidR="006A41D9" w:rsidRPr="001961AA" w:rsidRDefault="006A41D9" w:rsidP="00BD6DD1">
            <w:pPr>
              <w:spacing w:after="0"/>
              <w:jc w:val="center"/>
              <w:rPr>
                <w:rFonts w:ascii="Times New Roman" w:eastAsia="Times New Roman" w:hAnsi="Times New Roman" w:cs="Times New Roman"/>
                <w:noProof/>
                <w:color w:val="006100"/>
                <w:lang w:val="en-GB" w:eastAsia="en-GB"/>
              </w:rPr>
            </w:pPr>
          </w:p>
        </w:tc>
        <w:tc>
          <w:tcPr>
            <w:tcW w:w="1080" w:type="dxa"/>
            <w:tcBorders>
              <w:top w:val="single" w:sz="4" w:space="0" w:color="auto"/>
              <w:left w:val="nil"/>
              <w:bottom w:val="single" w:sz="4" w:space="0" w:color="auto"/>
              <w:right w:val="single" w:sz="4" w:space="0" w:color="auto"/>
            </w:tcBorders>
            <w:shd w:val="clear" w:color="auto" w:fill="C6EFCE"/>
            <w:noWrap/>
            <w:vAlign w:val="center"/>
          </w:tcPr>
          <w:p w14:paraId="4B2B52C3" w14:textId="77777777" w:rsidR="006A41D9" w:rsidRPr="001961AA" w:rsidRDefault="006A41D9" w:rsidP="00BD6DD1">
            <w:pPr>
              <w:spacing w:after="0"/>
              <w:jc w:val="center"/>
              <w:rPr>
                <w:rFonts w:ascii="Times New Roman" w:eastAsia="Times New Roman" w:hAnsi="Times New Roman" w:cs="Times New Roman"/>
                <w:noProof/>
                <w:color w:val="006100"/>
                <w:lang w:val="en-GB" w:eastAsia="en-GB"/>
              </w:rPr>
            </w:pPr>
          </w:p>
        </w:tc>
        <w:tc>
          <w:tcPr>
            <w:tcW w:w="840" w:type="dxa"/>
            <w:tcBorders>
              <w:top w:val="single" w:sz="4" w:space="0" w:color="auto"/>
              <w:left w:val="nil"/>
              <w:bottom w:val="single" w:sz="4" w:space="0" w:color="auto"/>
              <w:right w:val="single" w:sz="4" w:space="0" w:color="auto"/>
            </w:tcBorders>
            <w:shd w:val="clear" w:color="auto" w:fill="C6EFCE"/>
            <w:noWrap/>
            <w:vAlign w:val="center"/>
          </w:tcPr>
          <w:p w14:paraId="5812EFA2" w14:textId="77777777" w:rsidR="006A41D9" w:rsidRPr="001961AA" w:rsidRDefault="006A41D9" w:rsidP="00BD6DD1">
            <w:pPr>
              <w:spacing w:after="0"/>
              <w:jc w:val="center"/>
              <w:rPr>
                <w:rFonts w:ascii="Times New Roman" w:eastAsia="Times New Roman" w:hAnsi="Times New Roman" w:cs="Times New Roman"/>
                <w:noProof/>
                <w:color w:val="006100"/>
                <w:lang w:val="en-GB" w:eastAsia="en-GB"/>
              </w:rPr>
            </w:pPr>
          </w:p>
        </w:tc>
        <w:tc>
          <w:tcPr>
            <w:tcW w:w="960" w:type="dxa"/>
            <w:tcBorders>
              <w:top w:val="single" w:sz="4" w:space="0" w:color="auto"/>
              <w:left w:val="nil"/>
              <w:bottom w:val="single" w:sz="4" w:space="0" w:color="auto"/>
              <w:right w:val="single" w:sz="4" w:space="0" w:color="auto"/>
            </w:tcBorders>
            <w:shd w:val="clear" w:color="auto" w:fill="C6EFCE"/>
            <w:noWrap/>
            <w:vAlign w:val="center"/>
          </w:tcPr>
          <w:p w14:paraId="69801029"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Q2</w:t>
            </w:r>
          </w:p>
        </w:tc>
        <w:tc>
          <w:tcPr>
            <w:tcW w:w="720" w:type="dxa"/>
            <w:tcBorders>
              <w:top w:val="single" w:sz="4" w:space="0" w:color="auto"/>
              <w:left w:val="nil"/>
              <w:bottom w:val="single" w:sz="4" w:space="0" w:color="auto"/>
              <w:right w:val="single" w:sz="4" w:space="0" w:color="auto"/>
            </w:tcBorders>
            <w:shd w:val="clear" w:color="auto" w:fill="C6EFCE"/>
            <w:noWrap/>
            <w:vAlign w:val="center"/>
          </w:tcPr>
          <w:p w14:paraId="70F8EDD3"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2022</w:t>
            </w:r>
          </w:p>
        </w:tc>
        <w:tc>
          <w:tcPr>
            <w:tcW w:w="3182" w:type="dxa"/>
            <w:tcBorders>
              <w:top w:val="single" w:sz="4" w:space="0" w:color="auto"/>
              <w:left w:val="nil"/>
              <w:bottom w:val="single" w:sz="4" w:space="0" w:color="auto"/>
              <w:right w:val="single" w:sz="4" w:space="0" w:color="auto"/>
            </w:tcBorders>
            <w:shd w:val="clear" w:color="auto" w:fill="C6EFCE"/>
            <w:noWrap/>
            <w:vAlign w:val="center"/>
          </w:tcPr>
          <w:p w14:paraId="18C8BE4D"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 xml:space="preserve">Entry into force of a new Royal Decree which adapts the federal regulatory framework for conducting tendering procedures in order to facilitate the ease of use of the new and improved e-government platform.  </w:t>
            </w:r>
          </w:p>
          <w:p w14:paraId="6839532E"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The new Royal Decree aims to:</w:t>
            </w:r>
          </w:p>
          <w:p w14:paraId="7A39094A" w14:textId="16E55609" w:rsidR="006A41D9" w:rsidRPr="001961AA" w:rsidRDefault="006A41D9" w:rsidP="00DF5893">
            <w:pPr>
              <w:pStyle w:val="ListParagraph"/>
              <w:numPr>
                <w:ilvl w:val="0"/>
                <w:numId w:val="24"/>
              </w:num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Alignment of federal procurement policy participants to improve the penetration rate of federal joint procurement;</w:t>
            </w:r>
          </w:p>
          <w:p w14:paraId="79264634" w14:textId="77224C8A" w:rsidR="006A41D9" w:rsidRPr="001961AA" w:rsidRDefault="006A41D9" w:rsidP="00DF5893">
            <w:pPr>
              <w:pStyle w:val="ListParagraph"/>
              <w:numPr>
                <w:ilvl w:val="0"/>
                <w:numId w:val="24"/>
              </w:num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Adopts a common roadmap - response to more targeted objectives in terms of sustainable development and access to SMEs ;</w:t>
            </w:r>
          </w:p>
          <w:p w14:paraId="4C602F80" w14:textId="77777777" w:rsidR="006A41D9" w:rsidRPr="001961AA" w:rsidRDefault="006A41D9" w:rsidP="00DF5893">
            <w:pPr>
              <w:pStyle w:val="ListParagraph"/>
              <w:numPr>
                <w:ilvl w:val="0"/>
                <w:numId w:val="24"/>
              </w:num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Development of purchasing strategies by purchasing segments with category plans.</w:t>
            </w:r>
          </w:p>
          <w:p w14:paraId="210B3005" w14:textId="77777777" w:rsidR="006A41D9" w:rsidRPr="001961AA" w:rsidRDefault="006A41D9" w:rsidP="00DF5893">
            <w:pPr>
              <w:pStyle w:val="ListParagraph"/>
              <w:numPr>
                <w:ilvl w:val="0"/>
                <w:numId w:val="24"/>
              </w:num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Strengthening of the role of the federal purchasing centre of the SPF Bosa.</w:t>
            </w:r>
          </w:p>
          <w:p w14:paraId="453E0695" w14:textId="77777777" w:rsidR="006A41D9" w:rsidRPr="001961AA" w:rsidRDefault="006A41D9" w:rsidP="00DF5893">
            <w:pPr>
              <w:pStyle w:val="ListParagraph"/>
              <w:numPr>
                <w:ilvl w:val="0"/>
                <w:numId w:val="24"/>
              </w:num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Complete the administrative simplification and standardization of processes, in particular with a view to capturing the needs of federal participants</w:t>
            </w:r>
          </w:p>
        </w:tc>
      </w:tr>
      <w:tr w:rsidR="00BF38A0" w:rsidRPr="001961AA" w14:paraId="50DBC6CB" w14:textId="77777777" w:rsidTr="00BF38A0">
        <w:trPr>
          <w:trHeight w:val="309"/>
        </w:trPr>
        <w:tc>
          <w:tcPr>
            <w:tcW w:w="6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3BC3443"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79</w:t>
            </w:r>
          </w:p>
        </w:tc>
        <w:tc>
          <w:tcPr>
            <w:tcW w:w="1446" w:type="dxa"/>
            <w:tcBorders>
              <w:top w:val="single" w:sz="4" w:space="0" w:color="auto"/>
              <w:left w:val="nil"/>
              <w:bottom w:val="single" w:sz="4" w:space="0" w:color="auto"/>
              <w:right w:val="single" w:sz="4" w:space="0" w:color="auto"/>
            </w:tcBorders>
            <w:shd w:val="clear" w:color="auto" w:fill="C6EFCE"/>
            <w:noWrap/>
            <w:vAlign w:val="center"/>
          </w:tcPr>
          <w:p w14:paraId="762DD391"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E-government : tendering procedure (R-2.02)</w:t>
            </w:r>
          </w:p>
        </w:tc>
        <w:tc>
          <w:tcPr>
            <w:tcW w:w="1080" w:type="dxa"/>
            <w:tcBorders>
              <w:top w:val="single" w:sz="4" w:space="0" w:color="auto"/>
              <w:left w:val="nil"/>
              <w:bottom w:val="single" w:sz="4" w:space="0" w:color="auto"/>
              <w:right w:val="single" w:sz="4" w:space="0" w:color="auto"/>
            </w:tcBorders>
            <w:shd w:val="clear" w:color="auto" w:fill="C6EFCE"/>
            <w:noWrap/>
            <w:vAlign w:val="center"/>
          </w:tcPr>
          <w:p w14:paraId="571A4AB9" w14:textId="34CD0A81"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M</w:t>
            </w:r>
          </w:p>
        </w:tc>
        <w:tc>
          <w:tcPr>
            <w:tcW w:w="1560" w:type="dxa"/>
            <w:tcBorders>
              <w:top w:val="single" w:sz="4" w:space="0" w:color="auto"/>
              <w:left w:val="nil"/>
              <w:bottom w:val="single" w:sz="4" w:space="0" w:color="auto"/>
              <w:right w:val="single" w:sz="4" w:space="0" w:color="auto"/>
            </w:tcBorders>
            <w:shd w:val="clear" w:color="auto" w:fill="C6EFCE"/>
            <w:noWrap/>
            <w:vAlign w:val="center"/>
          </w:tcPr>
          <w:p w14:paraId="26B18E86"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Implementation of the new tool</w:t>
            </w:r>
          </w:p>
        </w:tc>
        <w:tc>
          <w:tcPr>
            <w:tcW w:w="1920" w:type="dxa"/>
            <w:tcBorders>
              <w:top w:val="single" w:sz="4" w:space="0" w:color="auto"/>
              <w:left w:val="nil"/>
              <w:bottom w:val="single" w:sz="4" w:space="0" w:color="auto"/>
              <w:right w:val="single" w:sz="4" w:space="0" w:color="auto"/>
            </w:tcBorders>
            <w:shd w:val="clear" w:color="auto" w:fill="C6EFCE"/>
            <w:noWrap/>
            <w:vAlign w:val="center"/>
          </w:tcPr>
          <w:p w14:paraId="04B57310"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A new e-procurement platform is operational</w:t>
            </w:r>
          </w:p>
        </w:tc>
        <w:tc>
          <w:tcPr>
            <w:tcW w:w="1440" w:type="dxa"/>
            <w:tcBorders>
              <w:top w:val="single" w:sz="4" w:space="0" w:color="auto"/>
              <w:left w:val="nil"/>
              <w:bottom w:val="single" w:sz="4" w:space="0" w:color="auto"/>
              <w:right w:val="single" w:sz="4" w:space="0" w:color="auto"/>
            </w:tcBorders>
            <w:shd w:val="clear" w:color="auto" w:fill="C6EFCE"/>
            <w:noWrap/>
            <w:vAlign w:val="center"/>
          </w:tcPr>
          <w:p w14:paraId="400BF21F" w14:textId="77777777" w:rsidR="006A41D9" w:rsidRPr="001961AA" w:rsidRDefault="006A41D9" w:rsidP="00BD6DD1">
            <w:pPr>
              <w:spacing w:after="0"/>
              <w:jc w:val="center"/>
              <w:rPr>
                <w:rFonts w:ascii="Times New Roman" w:eastAsia="Times New Roman" w:hAnsi="Times New Roman" w:cs="Times New Roman"/>
                <w:noProof/>
                <w:color w:val="006100"/>
                <w:lang w:val="en-GB" w:eastAsia="en-GB"/>
              </w:rPr>
            </w:pPr>
          </w:p>
        </w:tc>
        <w:tc>
          <w:tcPr>
            <w:tcW w:w="1080" w:type="dxa"/>
            <w:tcBorders>
              <w:top w:val="single" w:sz="4" w:space="0" w:color="auto"/>
              <w:left w:val="nil"/>
              <w:bottom w:val="single" w:sz="4" w:space="0" w:color="auto"/>
              <w:right w:val="single" w:sz="4" w:space="0" w:color="auto"/>
            </w:tcBorders>
            <w:shd w:val="clear" w:color="auto" w:fill="C6EFCE"/>
            <w:noWrap/>
            <w:vAlign w:val="center"/>
          </w:tcPr>
          <w:p w14:paraId="255469C7" w14:textId="77777777" w:rsidR="006A41D9" w:rsidRPr="001961AA" w:rsidRDefault="006A41D9" w:rsidP="00BD6DD1">
            <w:pPr>
              <w:spacing w:after="0"/>
              <w:jc w:val="center"/>
              <w:rPr>
                <w:rFonts w:ascii="Times New Roman" w:eastAsia="Times New Roman" w:hAnsi="Times New Roman" w:cs="Times New Roman"/>
                <w:noProof/>
                <w:color w:val="006100"/>
                <w:lang w:val="en-GB" w:eastAsia="en-GB"/>
              </w:rPr>
            </w:pPr>
          </w:p>
        </w:tc>
        <w:tc>
          <w:tcPr>
            <w:tcW w:w="840" w:type="dxa"/>
            <w:tcBorders>
              <w:top w:val="single" w:sz="4" w:space="0" w:color="auto"/>
              <w:left w:val="nil"/>
              <w:bottom w:val="single" w:sz="4" w:space="0" w:color="auto"/>
              <w:right w:val="single" w:sz="4" w:space="0" w:color="auto"/>
            </w:tcBorders>
            <w:shd w:val="clear" w:color="auto" w:fill="C6EFCE"/>
            <w:noWrap/>
            <w:vAlign w:val="center"/>
          </w:tcPr>
          <w:p w14:paraId="326ABAF4" w14:textId="77777777" w:rsidR="006A41D9" w:rsidRPr="001961AA" w:rsidRDefault="006A41D9" w:rsidP="00BD6DD1">
            <w:pPr>
              <w:spacing w:after="0"/>
              <w:jc w:val="center"/>
              <w:rPr>
                <w:rFonts w:ascii="Times New Roman" w:eastAsia="Times New Roman" w:hAnsi="Times New Roman" w:cs="Times New Roman"/>
                <w:noProof/>
                <w:color w:val="006100"/>
                <w:lang w:val="en-GB" w:eastAsia="en-GB"/>
              </w:rPr>
            </w:pPr>
          </w:p>
        </w:tc>
        <w:tc>
          <w:tcPr>
            <w:tcW w:w="960" w:type="dxa"/>
            <w:tcBorders>
              <w:top w:val="single" w:sz="4" w:space="0" w:color="auto"/>
              <w:left w:val="nil"/>
              <w:bottom w:val="single" w:sz="4" w:space="0" w:color="auto"/>
              <w:right w:val="single" w:sz="4" w:space="0" w:color="auto"/>
            </w:tcBorders>
            <w:shd w:val="clear" w:color="auto" w:fill="C6EFCE"/>
            <w:noWrap/>
            <w:vAlign w:val="center"/>
          </w:tcPr>
          <w:p w14:paraId="4392FD4E"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Q4</w:t>
            </w:r>
          </w:p>
        </w:tc>
        <w:tc>
          <w:tcPr>
            <w:tcW w:w="720" w:type="dxa"/>
            <w:tcBorders>
              <w:top w:val="single" w:sz="4" w:space="0" w:color="auto"/>
              <w:left w:val="nil"/>
              <w:bottom w:val="single" w:sz="4" w:space="0" w:color="auto"/>
              <w:right w:val="single" w:sz="4" w:space="0" w:color="auto"/>
            </w:tcBorders>
            <w:shd w:val="clear" w:color="auto" w:fill="C6EFCE"/>
            <w:noWrap/>
            <w:vAlign w:val="center"/>
          </w:tcPr>
          <w:p w14:paraId="790C6AEE"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2024</w:t>
            </w:r>
          </w:p>
        </w:tc>
        <w:tc>
          <w:tcPr>
            <w:tcW w:w="3182" w:type="dxa"/>
            <w:tcBorders>
              <w:top w:val="single" w:sz="4" w:space="0" w:color="auto"/>
              <w:left w:val="nil"/>
              <w:bottom w:val="single" w:sz="4" w:space="0" w:color="auto"/>
              <w:right w:val="single" w:sz="4" w:space="0" w:color="auto"/>
            </w:tcBorders>
            <w:shd w:val="clear" w:color="auto" w:fill="C6EFCE"/>
            <w:noWrap/>
            <w:vAlign w:val="center"/>
          </w:tcPr>
          <w:p w14:paraId="6C6F253E" w14:textId="77777777" w:rsidR="006A41D9" w:rsidRPr="001961AA" w:rsidRDefault="006A41D9" w:rsidP="000F62C7">
            <w:pPr>
              <w:spacing w:after="12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A new e-procurement platform is operational. The new platform shall provide real-time data on public procurement throughout the country.</w:t>
            </w:r>
          </w:p>
          <w:p w14:paraId="0CB32D41" w14:textId="79DF4FF4"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The new &amp; improved platform shall consist of at least the following modules: Internal approval flows with digital signatures eliminating paper based approvals, template engine increasing coherence and reducing errors, submission by means of structured questionnaires decreasing complexity and errors during submission and speeding up the evaluation process, a wizard-like checklist for buyers guiding them to better and more coherent procurement of services and goods. The new platform shall provide real-time data on public procurement throughout the country and shall foresee interfacing possibilities with the federal budget &amp; invoicing tools. During the project decisions on possible additional functionalities shall be taken in light of their expected return on investment for the federal client organisations of the platform.</w:t>
            </w:r>
          </w:p>
        </w:tc>
      </w:tr>
    </w:tbl>
    <w:p w14:paraId="5CA800BE" w14:textId="77777777" w:rsidR="006A41D9" w:rsidRPr="001961AA" w:rsidRDefault="006A41D9" w:rsidP="009E4837">
      <w:pPr>
        <w:rPr>
          <w:rFonts w:ascii="Times New Roman" w:hAnsi="Times New Roman" w:cs="Times New Roman"/>
          <w:noProof/>
          <w:lang w:val="en-GB"/>
        </w:rPr>
        <w:sectPr w:rsidR="006A41D9" w:rsidRPr="001961AA" w:rsidSect="007F56C3">
          <w:headerReference w:type="even" r:id="rId72"/>
          <w:headerReference w:type="default" r:id="rId73"/>
          <w:footerReference w:type="even" r:id="rId74"/>
          <w:footerReference w:type="default" r:id="rId75"/>
          <w:headerReference w:type="first" r:id="rId76"/>
          <w:footerReference w:type="first" r:id="rId77"/>
          <w:pgSz w:w="16839" w:h="11907" w:orient="landscape"/>
          <w:pgMar w:top="1134" w:right="1134" w:bottom="1134" w:left="1134" w:header="567" w:footer="567" w:gutter="0"/>
          <w:cols w:space="720"/>
          <w:docGrid w:linePitch="360"/>
        </w:sectPr>
      </w:pPr>
    </w:p>
    <w:p w14:paraId="34315D21" w14:textId="26978BAB" w:rsidR="006A41D9" w:rsidRPr="001961AA" w:rsidRDefault="006A41D9" w:rsidP="34C2BADA">
      <w:pPr>
        <w:spacing w:before="120" w:after="120"/>
        <w:jc w:val="both"/>
        <w:rPr>
          <w:rFonts w:ascii="Times New Roman" w:eastAsia="Times New Roman" w:hAnsi="Times New Roman" w:cs="Times New Roman"/>
          <w:b/>
          <w:bCs/>
          <w:smallCaps/>
          <w:noProof/>
          <w:u w:val="single"/>
          <w:lang w:val="en-GB"/>
        </w:rPr>
      </w:pPr>
      <w:r w:rsidRPr="001961AA">
        <w:rPr>
          <w:rFonts w:ascii="Times New Roman" w:hAnsi="Times New Roman"/>
          <w:b/>
          <w:noProof/>
          <w:u w:val="single"/>
          <w:lang w:val="en-GB"/>
        </w:rPr>
        <w:t xml:space="preserve">E.3. </w:t>
      </w:r>
      <w:r w:rsidRPr="001961AA">
        <w:rPr>
          <w:noProof/>
          <w:lang w:val="en-GB"/>
        </w:rPr>
        <w:tab/>
      </w:r>
      <w:r w:rsidRPr="001961AA">
        <w:rPr>
          <w:rFonts w:ascii="Times New Roman" w:hAnsi="Times New Roman"/>
          <w:b/>
          <w:noProof/>
          <w:u w:val="single"/>
          <w:lang w:val="en-GB"/>
        </w:rPr>
        <w:t>Description of the reforms and investments for the loan</w:t>
      </w:r>
    </w:p>
    <w:p w14:paraId="64CE883D" w14:textId="070B2D5E" w:rsidR="006A41D9" w:rsidRPr="001961AA" w:rsidRDefault="006A41D9" w:rsidP="00BD6DD1">
      <w:pPr>
        <w:pStyle w:val="Text1"/>
        <w:ind w:left="0"/>
        <w:rPr>
          <w:noProof/>
          <w:u w:val="single"/>
          <w:lang w:val="en-GB"/>
        </w:rPr>
      </w:pPr>
      <w:r w:rsidRPr="001961AA">
        <w:rPr>
          <w:noProof/>
          <w:u w:val="single"/>
          <w:lang w:val="en-GB"/>
        </w:rPr>
        <w:t>Investment I-2.05bis: ‘Digitalisation SPF: Digitalisation of asylum and immigration management processes’ of the Federal State</w:t>
      </w:r>
    </w:p>
    <w:p w14:paraId="2E0D319B" w14:textId="77777777" w:rsidR="0092644D" w:rsidRPr="001961AA" w:rsidRDefault="006A41D9" w:rsidP="00BD6DD1">
      <w:pPr>
        <w:pStyle w:val="Text1"/>
        <w:ind w:left="0"/>
        <w:rPr>
          <w:noProof/>
          <w:lang w:val="en-GB"/>
        </w:rPr>
        <w:sectPr w:rsidR="0092644D" w:rsidRPr="001961AA" w:rsidSect="007F56C3">
          <w:headerReference w:type="even" r:id="rId78"/>
          <w:headerReference w:type="default" r:id="rId79"/>
          <w:footerReference w:type="even" r:id="rId80"/>
          <w:footerReference w:type="default" r:id="rId81"/>
          <w:headerReference w:type="first" r:id="rId82"/>
          <w:footerReference w:type="first" r:id="rId83"/>
          <w:pgSz w:w="11907" w:h="16839"/>
          <w:pgMar w:top="1134" w:right="1134" w:bottom="1134" w:left="1134" w:header="567" w:footer="567" w:gutter="0"/>
          <w:cols w:space="720"/>
          <w:docGrid w:linePitch="360"/>
        </w:sectPr>
      </w:pPr>
      <w:r w:rsidRPr="001961AA">
        <w:rPr>
          <w:noProof/>
          <w:lang w:val="en-GB"/>
        </w:rPr>
        <w:t>This sub-measure aims at modernising the digital infrastructure to allow for a better and controlled integration with internal and public offices, modernising and developing migration services with a focus on user experience; standardising and securing the mutual exchange of data and documents. The project includes the setting of a digital integration platform, a crossroads database for foreign nationals and the development of a data warehouse, which shall make it possible to generate, store, structure and combine migration-related data and statistics. The implementation of the measure shall be completed by 30 June 2026.</w:t>
      </w:r>
    </w:p>
    <w:p w14:paraId="15CFC5CA" w14:textId="799B44CC" w:rsidR="006A41D9" w:rsidRPr="001961AA" w:rsidRDefault="006A41D9" w:rsidP="34C2BADA">
      <w:pPr>
        <w:spacing w:before="120" w:after="120"/>
        <w:jc w:val="both"/>
        <w:rPr>
          <w:rFonts w:ascii="Times New Roman" w:eastAsia="Times New Roman" w:hAnsi="Times New Roman" w:cs="Times New Roman"/>
          <w:b/>
          <w:bCs/>
          <w:smallCaps/>
          <w:noProof/>
          <w:u w:val="single"/>
          <w:lang w:val="en-GB"/>
        </w:rPr>
      </w:pPr>
      <w:r w:rsidRPr="001961AA">
        <w:rPr>
          <w:rFonts w:ascii="Times New Roman" w:hAnsi="Times New Roman"/>
          <w:b/>
          <w:noProof/>
          <w:sz w:val="24"/>
          <w:u w:val="single"/>
          <w:lang w:val="en-GB"/>
        </w:rPr>
        <w:t>E</w:t>
      </w:r>
      <w:r w:rsidRPr="001961AA">
        <w:rPr>
          <w:rFonts w:ascii="Times New Roman" w:hAnsi="Times New Roman"/>
          <w:b/>
          <w:noProof/>
          <w:u w:val="single"/>
          <w:lang w:val="en-GB"/>
        </w:rPr>
        <w:t>.4.</w:t>
      </w:r>
      <w:r w:rsidRPr="001961AA">
        <w:rPr>
          <w:noProof/>
          <w:lang w:val="en-GB"/>
        </w:rPr>
        <w:tab/>
      </w:r>
      <w:r w:rsidRPr="001961AA">
        <w:rPr>
          <w:rFonts w:ascii="Times New Roman" w:hAnsi="Times New Roman"/>
          <w:b/>
          <w:noProof/>
          <w:u w:val="single"/>
          <w:lang w:val="en-GB"/>
        </w:rPr>
        <w:t>Milestones, targets, indicators, and timetable for monitoring and implementation for the loan</w:t>
      </w:r>
    </w:p>
    <w:tbl>
      <w:tblPr>
        <w:tblW w:w="1550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1701"/>
        <w:gridCol w:w="1134"/>
        <w:gridCol w:w="1559"/>
        <w:gridCol w:w="1559"/>
        <w:gridCol w:w="992"/>
        <w:gridCol w:w="1029"/>
        <w:gridCol w:w="720"/>
        <w:gridCol w:w="960"/>
        <w:gridCol w:w="720"/>
        <w:gridCol w:w="4389"/>
      </w:tblGrid>
      <w:tr w:rsidR="00292220" w:rsidRPr="001961AA" w14:paraId="68B63E3D" w14:textId="77777777" w:rsidTr="00BF38A0">
        <w:trPr>
          <w:trHeight w:val="927"/>
        </w:trPr>
        <w:tc>
          <w:tcPr>
            <w:tcW w:w="739" w:type="dxa"/>
            <w:vMerge w:val="restart"/>
            <w:shd w:val="clear" w:color="auto" w:fill="BDD7EE"/>
            <w:vAlign w:val="center"/>
            <w:hideMark/>
          </w:tcPr>
          <w:p w14:paraId="75984220" w14:textId="571097D9" w:rsidR="007B4CE1" w:rsidRPr="001961AA" w:rsidRDefault="007B4CE1" w:rsidP="007112EB">
            <w:pPr>
              <w:spacing w:after="0"/>
              <w:jc w:val="center"/>
              <w:rPr>
                <w:rFonts w:ascii="Times New Roman" w:eastAsia="Times New Roman" w:hAnsi="Times New Roman" w:cs="Times New Roman"/>
                <w:b/>
                <w:bCs/>
                <w:noProof/>
                <w:sz w:val="20"/>
                <w:szCs w:val="20"/>
                <w:lang w:val="en-GB"/>
              </w:rPr>
            </w:pPr>
            <w:r w:rsidRPr="001961AA">
              <w:rPr>
                <w:rFonts w:ascii="Times New Roman" w:hAnsi="Times New Roman"/>
                <w:b/>
                <w:noProof/>
                <w:sz w:val="20"/>
                <w:lang w:val="en-GB"/>
              </w:rPr>
              <w:t>Seq.</w:t>
            </w:r>
            <w:r w:rsidRPr="001961AA">
              <w:rPr>
                <w:noProof/>
                <w:lang w:val="en-GB"/>
              </w:rPr>
              <w:t xml:space="preserve"> </w:t>
            </w:r>
            <w:r w:rsidRPr="001961AA">
              <w:rPr>
                <w:noProof/>
                <w:lang w:val="en-GB"/>
              </w:rPr>
              <w:br/>
            </w:r>
            <w:r w:rsidRPr="001961AA">
              <w:rPr>
                <w:rFonts w:ascii="Times New Roman" w:hAnsi="Times New Roman"/>
                <w:b/>
                <w:noProof/>
                <w:sz w:val="20"/>
                <w:lang w:val="en-GB"/>
              </w:rPr>
              <w:t>Nb.</w:t>
            </w:r>
          </w:p>
        </w:tc>
        <w:tc>
          <w:tcPr>
            <w:tcW w:w="1701" w:type="dxa"/>
            <w:vMerge w:val="restart"/>
            <w:shd w:val="clear" w:color="auto" w:fill="BDD7EE"/>
            <w:vAlign w:val="center"/>
            <w:hideMark/>
          </w:tcPr>
          <w:p w14:paraId="6D2DC66D" w14:textId="77777777" w:rsidR="007B4CE1" w:rsidRPr="001961AA" w:rsidRDefault="007B4CE1" w:rsidP="007112EB">
            <w:pPr>
              <w:spacing w:after="0"/>
              <w:jc w:val="center"/>
              <w:rPr>
                <w:rFonts w:ascii="Times New Roman" w:eastAsia="Times New Roman" w:hAnsi="Times New Roman" w:cs="Times New Roman"/>
                <w:b/>
                <w:bCs/>
                <w:noProof/>
                <w:sz w:val="20"/>
                <w:szCs w:val="20"/>
                <w:lang w:val="en-GB"/>
              </w:rPr>
            </w:pPr>
            <w:r w:rsidRPr="001961AA">
              <w:rPr>
                <w:rFonts w:ascii="Times New Roman" w:hAnsi="Times New Roman"/>
                <w:b/>
                <w:noProof/>
                <w:sz w:val="20"/>
                <w:lang w:val="en-GB"/>
              </w:rPr>
              <w:t>Related Measure (Reform or Investment)</w:t>
            </w:r>
          </w:p>
        </w:tc>
        <w:tc>
          <w:tcPr>
            <w:tcW w:w="1134" w:type="dxa"/>
            <w:vMerge w:val="restart"/>
            <w:shd w:val="clear" w:color="auto" w:fill="BDD7EE"/>
            <w:vAlign w:val="center"/>
            <w:hideMark/>
          </w:tcPr>
          <w:p w14:paraId="102226BB" w14:textId="77777777" w:rsidR="007B4CE1" w:rsidRPr="001961AA" w:rsidRDefault="007B4CE1" w:rsidP="007112EB">
            <w:pPr>
              <w:spacing w:after="0"/>
              <w:jc w:val="center"/>
              <w:rPr>
                <w:rFonts w:ascii="Times New Roman" w:eastAsia="Times New Roman" w:hAnsi="Times New Roman" w:cs="Times New Roman"/>
                <w:b/>
                <w:bCs/>
                <w:noProof/>
                <w:sz w:val="20"/>
                <w:szCs w:val="20"/>
                <w:lang w:val="en-GB"/>
              </w:rPr>
            </w:pPr>
            <w:r w:rsidRPr="001961AA">
              <w:rPr>
                <w:rFonts w:ascii="Times New Roman" w:hAnsi="Times New Roman"/>
                <w:b/>
                <w:noProof/>
                <w:sz w:val="20"/>
                <w:lang w:val="en-GB"/>
              </w:rPr>
              <w:t>Milestone / Target</w:t>
            </w:r>
          </w:p>
        </w:tc>
        <w:tc>
          <w:tcPr>
            <w:tcW w:w="1559" w:type="dxa"/>
            <w:vMerge w:val="restart"/>
            <w:shd w:val="clear" w:color="auto" w:fill="BDD7EE"/>
            <w:vAlign w:val="center"/>
            <w:hideMark/>
          </w:tcPr>
          <w:p w14:paraId="09349367" w14:textId="77777777" w:rsidR="007B4CE1" w:rsidRPr="001961AA" w:rsidRDefault="007B4CE1" w:rsidP="007112EB">
            <w:pPr>
              <w:spacing w:after="0"/>
              <w:jc w:val="center"/>
              <w:rPr>
                <w:rFonts w:ascii="Times New Roman" w:eastAsia="Times New Roman" w:hAnsi="Times New Roman" w:cs="Times New Roman"/>
                <w:b/>
                <w:bCs/>
                <w:noProof/>
                <w:sz w:val="20"/>
                <w:szCs w:val="20"/>
                <w:lang w:val="en-GB"/>
              </w:rPr>
            </w:pPr>
            <w:r w:rsidRPr="001961AA">
              <w:rPr>
                <w:rFonts w:ascii="Times New Roman" w:hAnsi="Times New Roman"/>
                <w:b/>
                <w:noProof/>
                <w:sz w:val="20"/>
                <w:lang w:val="en-GB"/>
              </w:rPr>
              <w:t>Name</w:t>
            </w:r>
          </w:p>
        </w:tc>
        <w:tc>
          <w:tcPr>
            <w:tcW w:w="1559" w:type="dxa"/>
            <w:vMerge w:val="restart"/>
            <w:shd w:val="clear" w:color="auto" w:fill="BDD7EE"/>
            <w:vAlign w:val="center"/>
            <w:hideMark/>
          </w:tcPr>
          <w:p w14:paraId="41078420" w14:textId="77777777" w:rsidR="007B4CE1" w:rsidRPr="001961AA" w:rsidRDefault="007B4CE1" w:rsidP="007112EB">
            <w:pPr>
              <w:spacing w:after="0"/>
              <w:jc w:val="center"/>
              <w:rPr>
                <w:rFonts w:ascii="Times New Roman" w:eastAsia="Times New Roman" w:hAnsi="Times New Roman" w:cs="Times New Roman"/>
                <w:b/>
                <w:bCs/>
                <w:noProof/>
                <w:sz w:val="20"/>
                <w:szCs w:val="20"/>
                <w:lang w:val="en-GB"/>
              </w:rPr>
            </w:pPr>
            <w:r w:rsidRPr="001961AA">
              <w:rPr>
                <w:rFonts w:ascii="Times New Roman" w:hAnsi="Times New Roman"/>
                <w:b/>
                <w:noProof/>
                <w:sz w:val="20"/>
                <w:lang w:val="en-GB"/>
              </w:rPr>
              <w:t xml:space="preserve">Qualitative indicators </w:t>
            </w:r>
            <w:r w:rsidRPr="001961AA">
              <w:rPr>
                <w:noProof/>
                <w:lang w:val="en-GB"/>
              </w:rPr>
              <w:t xml:space="preserve"> </w:t>
            </w:r>
            <w:r w:rsidRPr="001961AA">
              <w:rPr>
                <w:noProof/>
                <w:lang w:val="en-GB"/>
              </w:rPr>
              <w:br/>
            </w:r>
            <w:r w:rsidRPr="001961AA">
              <w:rPr>
                <w:rFonts w:ascii="Times New Roman" w:hAnsi="Times New Roman"/>
                <w:b/>
                <w:noProof/>
                <w:sz w:val="20"/>
                <w:lang w:val="en-GB"/>
              </w:rPr>
              <w:t>(for milestones)</w:t>
            </w:r>
          </w:p>
        </w:tc>
        <w:tc>
          <w:tcPr>
            <w:tcW w:w="2741" w:type="dxa"/>
            <w:gridSpan w:val="3"/>
            <w:shd w:val="clear" w:color="auto" w:fill="BDD7EE"/>
            <w:vAlign w:val="center"/>
            <w:hideMark/>
          </w:tcPr>
          <w:p w14:paraId="586491D2" w14:textId="77777777" w:rsidR="007B4CE1" w:rsidRPr="001961AA" w:rsidRDefault="007B4CE1" w:rsidP="007112EB">
            <w:pPr>
              <w:spacing w:after="0"/>
              <w:jc w:val="center"/>
              <w:rPr>
                <w:rFonts w:ascii="Times New Roman" w:eastAsia="Times New Roman" w:hAnsi="Times New Roman" w:cs="Times New Roman"/>
                <w:b/>
                <w:bCs/>
                <w:noProof/>
                <w:sz w:val="20"/>
                <w:szCs w:val="20"/>
                <w:lang w:val="en-GB"/>
              </w:rPr>
            </w:pPr>
            <w:r w:rsidRPr="001961AA">
              <w:rPr>
                <w:rFonts w:ascii="Times New Roman" w:hAnsi="Times New Roman"/>
                <w:b/>
                <w:noProof/>
                <w:sz w:val="20"/>
                <w:lang w:val="en-GB"/>
              </w:rPr>
              <w:t xml:space="preserve">Quantitative indicators </w:t>
            </w:r>
            <w:r w:rsidRPr="001961AA">
              <w:rPr>
                <w:noProof/>
                <w:lang w:val="en-GB"/>
              </w:rPr>
              <w:t xml:space="preserve"> </w:t>
            </w:r>
            <w:r w:rsidRPr="001961AA">
              <w:rPr>
                <w:noProof/>
                <w:lang w:val="en-GB"/>
              </w:rPr>
              <w:br/>
            </w:r>
            <w:r w:rsidRPr="001961AA">
              <w:rPr>
                <w:rFonts w:ascii="Times New Roman" w:hAnsi="Times New Roman"/>
                <w:b/>
                <w:noProof/>
                <w:sz w:val="20"/>
                <w:lang w:val="en-GB"/>
              </w:rPr>
              <w:t>(for targets)</w:t>
            </w:r>
          </w:p>
        </w:tc>
        <w:tc>
          <w:tcPr>
            <w:tcW w:w="1680" w:type="dxa"/>
            <w:gridSpan w:val="2"/>
            <w:shd w:val="clear" w:color="auto" w:fill="BDD7EE"/>
            <w:vAlign w:val="center"/>
            <w:hideMark/>
          </w:tcPr>
          <w:p w14:paraId="253B0918" w14:textId="77777777" w:rsidR="007B4CE1" w:rsidRPr="001961AA" w:rsidRDefault="007B4CE1" w:rsidP="007112EB">
            <w:pPr>
              <w:spacing w:after="0"/>
              <w:jc w:val="center"/>
              <w:rPr>
                <w:rFonts w:ascii="Times New Roman" w:eastAsia="Times New Roman" w:hAnsi="Times New Roman" w:cs="Times New Roman"/>
                <w:b/>
                <w:bCs/>
                <w:noProof/>
                <w:sz w:val="20"/>
                <w:szCs w:val="20"/>
                <w:lang w:val="en-GB"/>
              </w:rPr>
            </w:pPr>
            <w:r w:rsidRPr="001961AA">
              <w:rPr>
                <w:rFonts w:ascii="Times New Roman" w:hAnsi="Times New Roman"/>
                <w:b/>
                <w:noProof/>
                <w:sz w:val="20"/>
                <w:lang w:val="en-GB"/>
              </w:rPr>
              <w:t xml:space="preserve">Indicative timeline for completion </w:t>
            </w:r>
          </w:p>
        </w:tc>
        <w:tc>
          <w:tcPr>
            <w:tcW w:w="4389" w:type="dxa"/>
            <w:vMerge w:val="restart"/>
            <w:shd w:val="clear" w:color="auto" w:fill="BDD7EE"/>
            <w:vAlign w:val="center"/>
            <w:hideMark/>
          </w:tcPr>
          <w:p w14:paraId="64D8B575" w14:textId="77777777" w:rsidR="007B4CE1" w:rsidRPr="001961AA" w:rsidRDefault="007B4CE1" w:rsidP="007112EB">
            <w:pPr>
              <w:spacing w:after="0"/>
              <w:jc w:val="center"/>
              <w:rPr>
                <w:rFonts w:ascii="Times New Roman" w:eastAsia="Times New Roman" w:hAnsi="Times New Roman" w:cs="Times New Roman"/>
                <w:b/>
                <w:bCs/>
                <w:noProof/>
                <w:sz w:val="20"/>
                <w:szCs w:val="20"/>
                <w:lang w:val="en-GB"/>
              </w:rPr>
            </w:pPr>
            <w:r w:rsidRPr="001961AA">
              <w:rPr>
                <w:rFonts w:ascii="Times New Roman" w:hAnsi="Times New Roman"/>
                <w:b/>
                <w:noProof/>
                <w:sz w:val="20"/>
                <w:lang w:val="en-GB"/>
              </w:rPr>
              <w:t>Description of each milestone and target</w:t>
            </w:r>
          </w:p>
        </w:tc>
      </w:tr>
      <w:tr w:rsidR="004868CC" w:rsidRPr="001961AA" w14:paraId="17583E88" w14:textId="77777777" w:rsidTr="00BF38A0">
        <w:trPr>
          <w:trHeight w:val="1013"/>
        </w:trPr>
        <w:tc>
          <w:tcPr>
            <w:tcW w:w="739" w:type="dxa"/>
            <w:vMerge/>
            <w:vAlign w:val="center"/>
            <w:hideMark/>
          </w:tcPr>
          <w:p w14:paraId="327EAA37" w14:textId="77777777" w:rsidR="007B4CE1" w:rsidRPr="001961AA" w:rsidRDefault="007B4CE1" w:rsidP="007112EB">
            <w:pPr>
              <w:spacing w:after="0"/>
              <w:rPr>
                <w:rFonts w:ascii="Times New Roman" w:eastAsia="Times New Roman" w:hAnsi="Times New Roman" w:cs="Times New Roman"/>
                <w:b/>
                <w:bCs/>
                <w:noProof/>
                <w:szCs w:val="24"/>
                <w:lang w:val="en-GB" w:eastAsia="en-GB"/>
              </w:rPr>
            </w:pPr>
          </w:p>
        </w:tc>
        <w:tc>
          <w:tcPr>
            <w:tcW w:w="1701" w:type="dxa"/>
            <w:vMerge/>
            <w:vAlign w:val="center"/>
            <w:hideMark/>
          </w:tcPr>
          <w:p w14:paraId="4054C3B7" w14:textId="77777777" w:rsidR="007B4CE1" w:rsidRPr="001961AA" w:rsidRDefault="007B4CE1" w:rsidP="007112EB">
            <w:pPr>
              <w:spacing w:after="0"/>
              <w:rPr>
                <w:rFonts w:ascii="Times New Roman" w:eastAsia="Times New Roman" w:hAnsi="Times New Roman" w:cs="Times New Roman"/>
                <w:b/>
                <w:bCs/>
                <w:noProof/>
                <w:szCs w:val="24"/>
                <w:lang w:val="en-GB" w:eastAsia="en-GB"/>
              </w:rPr>
            </w:pPr>
          </w:p>
        </w:tc>
        <w:tc>
          <w:tcPr>
            <w:tcW w:w="1134" w:type="dxa"/>
            <w:vMerge/>
            <w:vAlign w:val="center"/>
            <w:hideMark/>
          </w:tcPr>
          <w:p w14:paraId="0EE5251E" w14:textId="77777777" w:rsidR="007B4CE1" w:rsidRPr="001961AA" w:rsidRDefault="007B4CE1" w:rsidP="007112EB">
            <w:pPr>
              <w:spacing w:after="0"/>
              <w:rPr>
                <w:rFonts w:ascii="Times New Roman" w:eastAsia="Times New Roman" w:hAnsi="Times New Roman" w:cs="Times New Roman"/>
                <w:b/>
                <w:bCs/>
                <w:noProof/>
                <w:szCs w:val="24"/>
                <w:lang w:val="en-GB" w:eastAsia="en-GB"/>
              </w:rPr>
            </w:pPr>
          </w:p>
        </w:tc>
        <w:tc>
          <w:tcPr>
            <w:tcW w:w="1559" w:type="dxa"/>
            <w:vMerge/>
            <w:vAlign w:val="center"/>
            <w:hideMark/>
          </w:tcPr>
          <w:p w14:paraId="07CD9704" w14:textId="77777777" w:rsidR="007B4CE1" w:rsidRPr="001961AA" w:rsidRDefault="007B4CE1" w:rsidP="007112EB">
            <w:pPr>
              <w:spacing w:after="0"/>
              <w:rPr>
                <w:rFonts w:ascii="Times New Roman" w:eastAsia="Times New Roman" w:hAnsi="Times New Roman" w:cs="Times New Roman"/>
                <w:b/>
                <w:bCs/>
                <w:noProof/>
                <w:szCs w:val="24"/>
                <w:lang w:val="en-GB" w:eastAsia="en-GB"/>
              </w:rPr>
            </w:pPr>
          </w:p>
        </w:tc>
        <w:tc>
          <w:tcPr>
            <w:tcW w:w="1559" w:type="dxa"/>
            <w:vMerge/>
            <w:vAlign w:val="center"/>
            <w:hideMark/>
          </w:tcPr>
          <w:p w14:paraId="752720E2" w14:textId="77777777" w:rsidR="007B4CE1" w:rsidRPr="001961AA" w:rsidRDefault="007B4CE1" w:rsidP="007112EB">
            <w:pPr>
              <w:spacing w:after="0"/>
              <w:rPr>
                <w:rFonts w:ascii="Times New Roman" w:eastAsia="Times New Roman" w:hAnsi="Times New Roman" w:cs="Times New Roman"/>
                <w:b/>
                <w:bCs/>
                <w:noProof/>
                <w:szCs w:val="24"/>
                <w:lang w:val="en-GB" w:eastAsia="en-GB"/>
              </w:rPr>
            </w:pPr>
          </w:p>
        </w:tc>
        <w:tc>
          <w:tcPr>
            <w:tcW w:w="992" w:type="dxa"/>
            <w:shd w:val="clear" w:color="auto" w:fill="BDD7EE"/>
            <w:vAlign w:val="center"/>
            <w:hideMark/>
          </w:tcPr>
          <w:p w14:paraId="79257349" w14:textId="77777777" w:rsidR="007B4CE1" w:rsidRPr="001961AA" w:rsidRDefault="007B4CE1" w:rsidP="007112EB">
            <w:pPr>
              <w:spacing w:after="0"/>
              <w:jc w:val="center"/>
              <w:rPr>
                <w:rFonts w:ascii="Times New Roman" w:eastAsia="Times New Roman" w:hAnsi="Times New Roman" w:cs="Times New Roman"/>
                <w:b/>
                <w:noProof/>
                <w:sz w:val="20"/>
                <w:szCs w:val="20"/>
                <w:lang w:val="en-GB"/>
              </w:rPr>
            </w:pPr>
            <w:r w:rsidRPr="001961AA">
              <w:rPr>
                <w:rFonts w:ascii="Times New Roman" w:hAnsi="Times New Roman"/>
                <w:b/>
                <w:noProof/>
                <w:sz w:val="20"/>
                <w:lang w:val="en-GB"/>
              </w:rPr>
              <w:t>Unit of measure</w:t>
            </w:r>
          </w:p>
        </w:tc>
        <w:tc>
          <w:tcPr>
            <w:tcW w:w="1029" w:type="dxa"/>
            <w:shd w:val="clear" w:color="auto" w:fill="BDD7EE"/>
            <w:vAlign w:val="center"/>
            <w:hideMark/>
          </w:tcPr>
          <w:p w14:paraId="2CC4BB05" w14:textId="77777777" w:rsidR="007B4CE1" w:rsidRPr="001961AA" w:rsidRDefault="007B4CE1" w:rsidP="007112EB">
            <w:pPr>
              <w:spacing w:after="0"/>
              <w:jc w:val="center"/>
              <w:rPr>
                <w:rFonts w:ascii="Times New Roman" w:eastAsia="Times New Roman" w:hAnsi="Times New Roman" w:cs="Times New Roman"/>
                <w:b/>
                <w:noProof/>
                <w:sz w:val="20"/>
                <w:szCs w:val="20"/>
                <w:lang w:val="en-GB"/>
              </w:rPr>
            </w:pPr>
            <w:r w:rsidRPr="001961AA">
              <w:rPr>
                <w:rFonts w:ascii="Times New Roman" w:hAnsi="Times New Roman"/>
                <w:b/>
                <w:noProof/>
                <w:sz w:val="20"/>
                <w:lang w:val="en-GB"/>
              </w:rPr>
              <w:t xml:space="preserve">Baseline </w:t>
            </w:r>
          </w:p>
        </w:tc>
        <w:tc>
          <w:tcPr>
            <w:tcW w:w="720" w:type="dxa"/>
            <w:shd w:val="clear" w:color="auto" w:fill="BDD7EE"/>
            <w:vAlign w:val="center"/>
            <w:hideMark/>
          </w:tcPr>
          <w:p w14:paraId="12478044" w14:textId="0C684B8C" w:rsidR="007B4CE1" w:rsidRPr="001961AA" w:rsidRDefault="007B4CE1" w:rsidP="007112EB">
            <w:pPr>
              <w:spacing w:after="0"/>
              <w:jc w:val="center"/>
              <w:rPr>
                <w:rFonts w:ascii="Times New Roman" w:eastAsia="Times New Roman" w:hAnsi="Times New Roman" w:cs="Times New Roman"/>
                <w:b/>
                <w:noProof/>
                <w:sz w:val="20"/>
                <w:szCs w:val="20"/>
                <w:lang w:val="en-GB"/>
              </w:rPr>
            </w:pPr>
            <w:r w:rsidRPr="001961AA">
              <w:rPr>
                <w:rFonts w:ascii="Times New Roman" w:hAnsi="Times New Roman"/>
                <w:b/>
                <w:noProof/>
                <w:sz w:val="20"/>
                <w:lang w:val="en-GB"/>
              </w:rPr>
              <w:t>Goal</w:t>
            </w:r>
          </w:p>
        </w:tc>
        <w:tc>
          <w:tcPr>
            <w:tcW w:w="960" w:type="dxa"/>
            <w:shd w:val="clear" w:color="auto" w:fill="BDD7EE"/>
            <w:vAlign w:val="center"/>
            <w:hideMark/>
          </w:tcPr>
          <w:p w14:paraId="5C107530" w14:textId="77777777" w:rsidR="007B4CE1" w:rsidRPr="001961AA" w:rsidRDefault="007B4CE1" w:rsidP="007112EB">
            <w:pPr>
              <w:spacing w:after="0"/>
              <w:jc w:val="center"/>
              <w:rPr>
                <w:rFonts w:ascii="Times New Roman" w:eastAsia="Times New Roman" w:hAnsi="Times New Roman" w:cs="Times New Roman"/>
                <w:b/>
                <w:noProof/>
                <w:sz w:val="20"/>
                <w:szCs w:val="20"/>
                <w:lang w:val="en-GB"/>
              </w:rPr>
            </w:pPr>
            <w:r w:rsidRPr="001961AA">
              <w:rPr>
                <w:rFonts w:ascii="Times New Roman" w:hAnsi="Times New Roman"/>
                <w:b/>
                <w:noProof/>
                <w:sz w:val="20"/>
                <w:lang w:val="en-GB"/>
              </w:rPr>
              <w:t>Quarter</w:t>
            </w:r>
          </w:p>
        </w:tc>
        <w:tc>
          <w:tcPr>
            <w:tcW w:w="720" w:type="dxa"/>
            <w:shd w:val="clear" w:color="auto" w:fill="BDD7EE"/>
            <w:vAlign w:val="center"/>
            <w:hideMark/>
          </w:tcPr>
          <w:p w14:paraId="7E6C8D06" w14:textId="77777777" w:rsidR="007B4CE1" w:rsidRPr="001961AA" w:rsidRDefault="007B4CE1" w:rsidP="007112EB">
            <w:pPr>
              <w:spacing w:after="0"/>
              <w:jc w:val="center"/>
              <w:rPr>
                <w:rFonts w:ascii="Times New Roman" w:eastAsia="Times New Roman" w:hAnsi="Times New Roman" w:cs="Times New Roman"/>
                <w:b/>
                <w:noProof/>
                <w:sz w:val="20"/>
                <w:szCs w:val="20"/>
                <w:lang w:val="en-GB"/>
              </w:rPr>
            </w:pPr>
            <w:r w:rsidRPr="001961AA">
              <w:rPr>
                <w:rFonts w:ascii="Times New Roman" w:hAnsi="Times New Roman"/>
                <w:b/>
                <w:noProof/>
                <w:sz w:val="20"/>
                <w:lang w:val="en-GB"/>
              </w:rPr>
              <w:t>Year</w:t>
            </w:r>
          </w:p>
        </w:tc>
        <w:tc>
          <w:tcPr>
            <w:tcW w:w="4389" w:type="dxa"/>
            <w:vMerge/>
            <w:vAlign w:val="center"/>
            <w:hideMark/>
          </w:tcPr>
          <w:p w14:paraId="256B102C" w14:textId="77777777" w:rsidR="007B4CE1" w:rsidRPr="001961AA" w:rsidRDefault="007B4CE1" w:rsidP="007112EB">
            <w:pPr>
              <w:spacing w:after="0"/>
              <w:rPr>
                <w:rFonts w:ascii="Times New Roman" w:eastAsia="Times New Roman" w:hAnsi="Times New Roman" w:cs="Times New Roman"/>
                <w:b/>
                <w:bCs/>
                <w:noProof/>
                <w:szCs w:val="24"/>
                <w:lang w:val="en-GB" w:eastAsia="en-GB"/>
              </w:rPr>
            </w:pPr>
          </w:p>
        </w:tc>
      </w:tr>
      <w:tr w:rsidR="00292220" w:rsidRPr="001961AA" w14:paraId="30AE7A75" w14:textId="77777777" w:rsidTr="00BF38A0">
        <w:trPr>
          <w:trHeight w:val="309"/>
        </w:trPr>
        <w:tc>
          <w:tcPr>
            <w:tcW w:w="73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F639304" w14:textId="34B91F7C" w:rsidR="007B4CE1" w:rsidRPr="001961AA" w:rsidRDefault="007B4CE1" w:rsidP="007112EB">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54b</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A0BCF5B" w14:textId="52D82E03" w:rsidR="007B4CE1" w:rsidRPr="001961AA" w:rsidRDefault="007B4CE1" w:rsidP="007112EB">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Digitalisation SPF (I-2.05bis)</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21E93CC" w14:textId="2C9054E9" w:rsidR="007B4CE1" w:rsidRPr="001961AA" w:rsidRDefault="007B4CE1" w:rsidP="007112EB">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M</w:t>
            </w:r>
          </w:p>
        </w:tc>
        <w:tc>
          <w:tcPr>
            <w:tcW w:w="155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A18ECB8" w14:textId="77777777" w:rsidR="007B4CE1" w:rsidRPr="001961AA" w:rsidRDefault="007B4CE1" w:rsidP="007112EB">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Requirements are defined</w:t>
            </w:r>
          </w:p>
        </w:tc>
        <w:tc>
          <w:tcPr>
            <w:tcW w:w="155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93E5976" w14:textId="4A6A1224" w:rsidR="007B4CE1" w:rsidRPr="001961AA" w:rsidRDefault="00322EAE" w:rsidP="007112EB">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Requirements are defined and approved</w:t>
            </w:r>
          </w:p>
        </w:tc>
        <w:tc>
          <w:tcPr>
            <w:tcW w:w="992"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7FADF34" w14:textId="77777777" w:rsidR="007B4CE1" w:rsidRPr="001961AA" w:rsidRDefault="007B4CE1" w:rsidP="007112EB">
            <w:pPr>
              <w:spacing w:after="0"/>
              <w:jc w:val="center"/>
              <w:rPr>
                <w:rFonts w:ascii="Times New Roman" w:eastAsia="Times New Roman" w:hAnsi="Times New Roman" w:cs="Times New Roman"/>
                <w:noProof/>
                <w:color w:val="006100"/>
                <w:lang w:val="en-GB" w:eastAsia="en-GB"/>
              </w:rPr>
            </w:pPr>
          </w:p>
        </w:tc>
        <w:tc>
          <w:tcPr>
            <w:tcW w:w="102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E51B7D7" w14:textId="77777777" w:rsidR="007B4CE1" w:rsidRPr="001961AA" w:rsidRDefault="007B4CE1" w:rsidP="007112EB">
            <w:pPr>
              <w:spacing w:after="0"/>
              <w:jc w:val="center"/>
              <w:rPr>
                <w:rFonts w:ascii="Times New Roman" w:eastAsia="Times New Roman" w:hAnsi="Times New Roman" w:cs="Times New Roman"/>
                <w:noProof/>
                <w:color w:val="006100"/>
                <w:lang w:val="en-GB" w:eastAsia="en-GB"/>
              </w:rPr>
            </w:pPr>
          </w:p>
        </w:tc>
        <w:tc>
          <w:tcPr>
            <w:tcW w:w="72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00686CD" w14:textId="77777777" w:rsidR="007B4CE1" w:rsidRPr="001961AA" w:rsidRDefault="007B4CE1" w:rsidP="007112EB">
            <w:pPr>
              <w:spacing w:after="0"/>
              <w:jc w:val="center"/>
              <w:rPr>
                <w:rFonts w:ascii="Times New Roman" w:eastAsia="Times New Roman" w:hAnsi="Times New Roman" w:cs="Times New Roman"/>
                <w:noProof/>
                <w:color w:val="006100"/>
                <w:lang w:val="en-GB" w:eastAsia="en-GB"/>
              </w:rPr>
            </w:pPr>
          </w:p>
        </w:tc>
        <w:tc>
          <w:tcPr>
            <w:tcW w:w="96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56E3C32" w14:textId="77777777" w:rsidR="007B4CE1" w:rsidRPr="001961AA" w:rsidRDefault="007B4CE1" w:rsidP="007112EB">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Q2</w:t>
            </w:r>
          </w:p>
        </w:tc>
        <w:tc>
          <w:tcPr>
            <w:tcW w:w="72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107F5D8" w14:textId="77777777" w:rsidR="007B4CE1" w:rsidRPr="001961AA" w:rsidRDefault="007B4CE1" w:rsidP="007112EB">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2022</w:t>
            </w:r>
          </w:p>
        </w:tc>
        <w:tc>
          <w:tcPr>
            <w:tcW w:w="438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01DC22A" w14:textId="6246BBE1" w:rsidR="007B4CE1" w:rsidRPr="001961AA" w:rsidRDefault="007B4CE1" w:rsidP="00981776">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The requirements are defined by the competent administrations and approved by the competent Ministry.</w:t>
            </w:r>
          </w:p>
        </w:tc>
      </w:tr>
      <w:tr w:rsidR="00292220" w:rsidRPr="001961AA" w14:paraId="68A33433" w14:textId="77777777" w:rsidTr="00BF38A0">
        <w:trPr>
          <w:trHeight w:val="309"/>
        </w:trPr>
        <w:tc>
          <w:tcPr>
            <w:tcW w:w="73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09CB2FF" w14:textId="054AB09D" w:rsidR="007B4CE1" w:rsidRPr="001961AA" w:rsidRDefault="007B4CE1" w:rsidP="007112EB">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55b</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68BA7F9" w14:textId="4EA2878C" w:rsidR="007B4CE1" w:rsidRPr="001961AA" w:rsidRDefault="007B4CE1" w:rsidP="007112EB">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Digitalisation SPF (I-2.05bis)</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F4BDDAB" w14:textId="48310967" w:rsidR="007B4CE1" w:rsidRPr="001961AA" w:rsidRDefault="007B4CE1" w:rsidP="00A00C7D">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M</w:t>
            </w:r>
          </w:p>
        </w:tc>
        <w:tc>
          <w:tcPr>
            <w:tcW w:w="155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C83CDE6" w14:textId="6E593CE8" w:rsidR="007B4CE1" w:rsidRPr="001961AA" w:rsidRDefault="007B4CE1" w:rsidP="007112EB">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Project is completed and the output is operational</w:t>
            </w:r>
          </w:p>
        </w:tc>
        <w:tc>
          <w:tcPr>
            <w:tcW w:w="155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77ED628" w14:textId="77777777" w:rsidR="007B4CE1" w:rsidRPr="001961AA" w:rsidRDefault="007B4CE1" w:rsidP="007112EB">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Project is completed and operational</w:t>
            </w:r>
          </w:p>
        </w:tc>
        <w:tc>
          <w:tcPr>
            <w:tcW w:w="992"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7EAA20F" w14:textId="77777777" w:rsidR="007B4CE1" w:rsidRPr="001961AA" w:rsidRDefault="007B4CE1" w:rsidP="007112EB">
            <w:pPr>
              <w:spacing w:after="0"/>
              <w:jc w:val="center"/>
              <w:rPr>
                <w:rFonts w:ascii="Times New Roman" w:eastAsia="Times New Roman" w:hAnsi="Times New Roman" w:cs="Times New Roman"/>
                <w:noProof/>
                <w:color w:val="006100"/>
                <w:lang w:val="en-GB" w:eastAsia="en-GB"/>
              </w:rPr>
            </w:pPr>
          </w:p>
        </w:tc>
        <w:tc>
          <w:tcPr>
            <w:tcW w:w="102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F57F803" w14:textId="77777777" w:rsidR="007B4CE1" w:rsidRPr="001961AA" w:rsidRDefault="007B4CE1" w:rsidP="007112EB">
            <w:pPr>
              <w:spacing w:after="0"/>
              <w:jc w:val="center"/>
              <w:rPr>
                <w:rFonts w:ascii="Times New Roman" w:eastAsia="Times New Roman" w:hAnsi="Times New Roman" w:cs="Times New Roman"/>
                <w:noProof/>
                <w:color w:val="006100"/>
                <w:lang w:val="en-GB" w:eastAsia="en-GB"/>
              </w:rPr>
            </w:pPr>
          </w:p>
        </w:tc>
        <w:tc>
          <w:tcPr>
            <w:tcW w:w="72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CD24768" w14:textId="77777777" w:rsidR="007B4CE1" w:rsidRPr="001961AA" w:rsidRDefault="007B4CE1" w:rsidP="007112EB">
            <w:pPr>
              <w:spacing w:after="0"/>
              <w:jc w:val="center"/>
              <w:rPr>
                <w:rFonts w:ascii="Times New Roman" w:eastAsia="Times New Roman" w:hAnsi="Times New Roman" w:cs="Times New Roman"/>
                <w:noProof/>
                <w:color w:val="006100"/>
                <w:lang w:val="en-GB" w:eastAsia="en-GB"/>
              </w:rPr>
            </w:pPr>
          </w:p>
        </w:tc>
        <w:tc>
          <w:tcPr>
            <w:tcW w:w="96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A0A4317" w14:textId="77777777" w:rsidR="007B4CE1" w:rsidRPr="001961AA" w:rsidRDefault="007B4CE1" w:rsidP="007112EB">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Q2</w:t>
            </w:r>
          </w:p>
        </w:tc>
        <w:tc>
          <w:tcPr>
            <w:tcW w:w="72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6BC88D2" w14:textId="77777777" w:rsidR="007B4CE1" w:rsidRPr="001961AA" w:rsidRDefault="007B4CE1" w:rsidP="007112EB">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2026</w:t>
            </w:r>
          </w:p>
        </w:tc>
        <w:tc>
          <w:tcPr>
            <w:tcW w:w="438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FE8FF9E" w14:textId="771E6333" w:rsidR="007B4CE1" w:rsidRPr="001961AA" w:rsidRDefault="007B4CE1" w:rsidP="00A00C7D">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Project is completed and operational. EUR 17 700 000 have been paid out.</w:t>
            </w:r>
          </w:p>
        </w:tc>
      </w:tr>
    </w:tbl>
    <w:p w14:paraId="0FE9F193" w14:textId="77777777" w:rsidR="00114BF4" w:rsidRPr="001961AA" w:rsidRDefault="00114BF4" w:rsidP="00114BF4">
      <w:pPr>
        <w:pStyle w:val="Text1"/>
        <w:ind w:left="0"/>
        <w:rPr>
          <w:noProof/>
          <w:lang w:val="en-GB"/>
        </w:rPr>
      </w:pPr>
    </w:p>
    <w:p w14:paraId="24FE9E54" w14:textId="77777777" w:rsidR="00114BF4" w:rsidRPr="001961AA" w:rsidRDefault="00114BF4" w:rsidP="00114BF4">
      <w:pPr>
        <w:pStyle w:val="Text1"/>
        <w:ind w:left="0"/>
        <w:rPr>
          <w:noProof/>
          <w:lang w:val="en-GB"/>
        </w:rPr>
      </w:pPr>
    </w:p>
    <w:p w14:paraId="76D7A99B" w14:textId="6A60F75D" w:rsidR="00114BF4" w:rsidRPr="001961AA" w:rsidRDefault="00114BF4" w:rsidP="00114BF4">
      <w:pPr>
        <w:pStyle w:val="Text1"/>
        <w:rPr>
          <w:noProof/>
          <w:lang w:val="en-GB"/>
        </w:rPr>
        <w:sectPr w:rsidR="00114BF4" w:rsidRPr="001961AA" w:rsidSect="007F56C3">
          <w:headerReference w:type="even" r:id="rId84"/>
          <w:headerReference w:type="default" r:id="rId85"/>
          <w:footerReference w:type="even" r:id="rId86"/>
          <w:footerReference w:type="default" r:id="rId87"/>
          <w:headerReference w:type="first" r:id="rId88"/>
          <w:footerReference w:type="first" r:id="rId89"/>
          <w:pgSz w:w="16839" w:h="11907" w:orient="landscape"/>
          <w:pgMar w:top="1134" w:right="1134" w:bottom="1134" w:left="1134" w:header="567" w:footer="567" w:gutter="0"/>
          <w:cols w:space="720"/>
          <w:docGrid w:linePitch="360"/>
        </w:sectPr>
      </w:pPr>
    </w:p>
    <w:p w14:paraId="4A929A57" w14:textId="77777777" w:rsidR="006A41D9" w:rsidRPr="001961AA" w:rsidRDefault="006A41D9" w:rsidP="00BD6DD1">
      <w:pPr>
        <w:pStyle w:val="ManualHeading1"/>
        <w:spacing w:before="120"/>
        <w:ind w:left="0" w:firstLine="0"/>
        <w:rPr>
          <w:noProof/>
          <w:lang w:val="en-GB"/>
        </w:rPr>
      </w:pPr>
      <w:r w:rsidRPr="001961AA">
        <w:rPr>
          <w:noProof/>
          <w:lang w:val="en-GB"/>
        </w:rPr>
        <w:t>F. COMPONENT 2.3: Optic fibre, 5G and new technologies</w:t>
      </w:r>
    </w:p>
    <w:p w14:paraId="7537DF55" w14:textId="77777777" w:rsidR="006A41D9" w:rsidRPr="001961AA" w:rsidRDefault="006A41D9" w:rsidP="00BD6DD1">
      <w:pPr>
        <w:spacing w:before="120" w:after="120" w:line="240" w:lineRule="auto"/>
        <w:jc w:val="both"/>
        <w:rPr>
          <w:rFonts w:ascii="Times New Roman" w:hAnsi="Times New Roman" w:cs="Times New Roman"/>
          <w:noProof/>
          <w:sz w:val="24"/>
          <w:szCs w:val="24"/>
          <w:lang w:val="en-GB"/>
        </w:rPr>
      </w:pPr>
      <w:r w:rsidRPr="001961AA">
        <w:rPr>
          <w:rFonts w:ascii="Times New Roman" w:hAnsi="Times New Roman"/>
          <w:noProof/>
          <w:sz w:val="24"/>
          <w:lang w:val="en-GB"/>
        </w:rPr>
        <w:t xml:space="preserve">This component of the Belgian recovery and resilience plan contains </w:t>
      </w:r>
      <w:r w:rsidRPr="001961AA">
        <w:rPr>
          <w:rStyle w:val="normaltextrun"/>
          <w:rFonts w:ascii="Times New Roman" w:hAnsi="Times New Roman"/>
          <w:noProof/>
          <w:sz w:val="24"/>
          <w:bdr w:val="none" w:sz="0" w:space="0" w:color="auto" w:frame="1"/>
          <w:lang w:val="en-GB"/>
        </w:rPr>
        <w:t>reforms and investments</w:t>
      </w:r>
      <w:r w:rsidRPr="001961AA">
        <w:rPr>
          <w:rFonts w:ascii="Times New Roman" w:hAnsi="Times New Roman"/>
          <w:noProof/>
          <w:sz w:val="24"/>
          <w:bdr w:val="none" w:sz="0" w:space="0" w:color="auto" w:frame="1"/>
          <w:lang w:val="en-GB"/>
        </w:rPr>
        <w:t xml:space="preserve"> related to 5G, very high-capacity connectivity infrastructure, and Artificial Intelligence (“AI”)</w:t>
      </w:r>
      <w:r w:rsidRPr="001961AA">
        <w:rPr>
          <w:rStyle w:val="normaltextrun"/>
          <w:rFonts w:ascii="Times New Roman" w:hAnsi="Times New Roman"/>
          <w:noProof/>
          <w:sz w:val="24"/>
          <w:bdr w:val="none" w:sz="0" w:space="0" w:color="auto" w:frame="1"/>
          <w:lang w:val="en-GB"/>
        </w:rPr>
        <w:t>, which are expected to deliver essential building blocks for the digital transition in Belgium.</w:t>
      </w:r>
    </w:p>
    <w:p w14:paraId="7B7FB703" w14:textId="77777777" w:rsidR="006A41D9" w:rsidRPr="001961AA" w:rsidRDefault="006A41D9" w:rsidP="00BD6DD1">
      <w:pPr>
        <w:spacing w:before="120" w:after="120" w:line="240" w:lineRule="auto"/>
        <w:jc w:val="both"/>
        <w:rPr>
          <w:rFonts w:ascii="Times New Roman" w:hAnsi="Times New Roman" w:cs="Times New Roman"/>
          <w:noProof/>
          <w:sz w:val="24"/>
          <w:szCs w:val="24"/>
          <w:lang w:val="en-GB"/>
        </w:rPr>
      </w:pPr>
      <w:r w:rsidRPr="001961AA">
        <w:rPr>
          <w:rFonts w:ascii="Times New Roman" w:hAnsi="Times New Roman"/>
          <w:noProof/>
          <w:sz w:val="24"/>
          <w:lang w:val="en-GB"/>
        </w:rPr>
        <w:t>The component contributes to addressing Country Specific Recommendation 2020.3 in that it calls for focusing investments on the digital transition, in particular on digital infrastructure, such as 5G and Gigabit Networks and to Country Specific Recommendation 2019.3 in that it calls for focusing investment-related economic policies on sustainable research and innovation, in particular in the field of digitalisation, taking into account regional differences.</w:t>
      </w:r>
    </w:p>
    <w:p w14:paraId="6D9CE719" w14:textId="77777777" w:rsidR="006A41D9" w:rsidRPr="001961AA" w:rsidRDefault="006A41D9" w:rsidP="00BD6DD1">
      <w:pPr>
        <w:spacing w:before="120" w:after="120" w:line="240" w:lineRule="auto"/>
        <w:jc w:val="both"/>
        <w:rPr>
          <w:rFonts w:ascii="Times New Roman" w:hAnsi="Times New Roman" w:cs="Times New Roman"/>
          <w:noProof/>
          <w:sz w:val="24"/>
          <w:szCs w:val="24"/>
          <w:lang w:val="en-GB"/>
        </w:rPr>
      </w:pPr>
      <w:r w:rsidRPr="001961AA">
        <w:rPr>
          <w:rFonts w:ascii="Times New Roman" w:hAnsi="Times New Roman"/>
          <w:noProof/>
          <w:sz w:val="24"/>
          <w:lang w:val="en-GB"/>
        </w:rPr>
        <w:t>It is expected that no measure in this component does significant harm to environmental objectives within the meaning of Article 17 of Regulation (EU) 2020/852, taking into account the description of the measures and the mitigating steps set out in the recovery and resilience plan in accordance with the DNSH Technical Guidance (2021/C58/01).</w:t>
      </w:r>
    </w:p>
    <w:p w14:paraId="375A9169" w14:textId="77777777" w:rsidR="006A41D9" w:rsidRPr="001961AA" w:rsidRDefault="006A41D9" w:rsidP="00BD6DD1">
      <w:pPr>
        <w:spacing w:before="120" w:after="120"/>
        <w:jc w:val="both"/>
        <w:rPr>
          <w:rFonts w:ascii="Times New Roman" w:hAnsi="Times New Roman" w:cs="Times New Roman"/>
          <w:b/>
          <w:bCs/>
          <w:noProof/>
          <w:sz w:val="24"/>
          <w:szCs w:val="24"/>
          <w:u w:val="single"/>
          <w:lang w:val="en-GB"/>
        </w:rPr>
      </w:pPr>
      <w:r w:rsidRPr="001961AA">
        <w:rPr>
          <w:rFonts w:ascii="Times New Roman" w:hAnsi="Times New Roman"/>
          <w:b/>
          <w:noProof/>
          <w:sz w:val="24"/>
          <w:u w:val="single"/>
          <w:lang w:val="en-GB"/>
        </w:rPr>
        <w:t xml:space="preserve">F.1. </w:t>
      </w:r>
      <w:r w:rsidRPr="001961AA">
        <w:rPr>
          <w:noProof/>
          <w:lang w:val="en-GB"/>
        </w:rPr>
        <w:tab/>
      </w:r>
      <w:r w:rsidRPr="001961AA">
        <w:rPr>
          <w:rFonts w:ascii="Times New Roman" w:hAnsi="Times New Roman"/>
          <w:b/>
          <w:noProof/>
          <w:sz w:val="24"/>
          <w:u w:val="single"/>
          <w:lang w:val="en-GB"/>
        </w:rPr>
        <w:t>Description of the reforms and investments for non-repayable financial support</w:t>
      </w:r>
    </w:p>
    <w:p w14:paraId="28892F34" w14:textId="316F1196" w:rsidR="006A41D9" w:rsidRPr="001961AA" w:rsidRDefault="006A41D9" w:rsidP="00BD6DD1">
      <w:pPr>
        <w:pStyle w:val="Text1"/>
        <w:ind w:left="0"/>
        <w:rPr>
          <w:noProof/>
          <w:szCs w:val="24"/>
          <w:u w:val="single"/>
          <w:lang w:val="en-GB"/>
        </w:rPr>
      </w:pPr>
      <w:r w:rsidRPr="001961AA">
        <w:rPr>
          <w:noProof/>
          <w:u w:val="single"/>
          <w:lang w:val="en-GB"/>
        </w:rPr>
        <w:t>Investment I-2.13: ‘Coverage of white areas by developing very high speed fibre optic networks’ of the German-speaking Community</w:t>
      </w:r>
    </w:p>
    <w:p w14:paraId="31E4B15D" w14:textId="0D9AF6A2" w:rsidR="006A41D9" w:rsidRPr="001961AA" w:rsidRDefault="006A41D9" w:rsidP="00BD6DD1">
      <w:pPr>
        <w:pStyle w:val="Text1"/>
        <w:ind w:left="0"/>
        <w:rPr>
          <w:noProof/>
          <w:lang w:val="en-GB"/>
        </w:rPr>
      </w:pPr>
      <w:r w:rsidRPr="001961AA">
        <w:rPr>
          <w:noProof/>
          <w:lang w:val="en-GB"/>
        </w:rPr>
        <w:t>The investment aims at promoting the fibre readiness in Belgium. This measure consists of investments via a joint venture in fibre deployment covering the entire German-speaking Community territory, an area where such investment is not deemed commercially viable. The implementation of the investment shall be completed by 30 June 2026.</w:t>
      </w:r>
    </w:p>
    <w:p w14:paraId="2D74FD99" w14:textId="738CF16E" w:rsidR="006A41D9" w:rsidRPr="001961AA" w:rsidRDefault="006A41D9" w:rsidP="00BD6DD1">
      <w:pPr>
        <w:pStyle w:val="Text1"/>
        <w:ind w:left="0"/>
        <w:rPr>
          <w:noProof/>
          <w:szCs w:val="24"/>
          <w:lang w:val="en-GB"/>
        </w:rPr>
      </w:pPr>
      <w:r w:rsidRPr="001961AA">
        <w:rPr>
          <w:noProof/>
          <w:u w:val="single"/>
          <w:lang w:val="en-GB"/>
        </w:rPr>
        <w:t>Investment I-2.14: ‘Development of an AI institute in order to use this technology to meet societal challenges’ of the Brussels-Capital Region</w:t>
      </w:r>
    </w:p>
    <w:p w14:paraId="7C31B4FD" w14:textId="4F0B5F6E" w:rsidR="006A41D9" w:rsidRPr="001961AA" w:rsidRDefault="006A41D9" w:rsidP="00BD6DD1">
      <w:pPr>
        <w:pStyle w:val="Text1"/>
        <w:ind w:left="0"/>
        <w:rPr>
          <w:noProof/>
          <w:szCs w:val="24"/>
          <w:lang w:val="en-GB"/>
        </w:rPr>
      </w:pPr>
      <w:r w:rsidRPr="001961AA">
        <w:rPr>
          <w:noProof/>
          <w:lang w:val="en-GB"/>
        </w:rPr>
        <w:t>This investment shall promote the use of AI in areas such as health and well-being, environment, mobility, energy, and media and democracy. The AI for the Common Good Institute Brussels (FARI) shall promote the development of AI solutions in collaboration with academia, business, policy making and citizens. It shall also feature an AI test and Experience Lab, showcasing AI driven technologies to create awareness for the general public and industry (including a training dimension). Services offered by the AI for the Common Good Institute include city-scale digital twin</w:t>
      </w:r>
      <w:r w:rsidRPr="001961AA">
        <w:rPr>
          <w:noProof/>
          <w:vertAlign w:val="superscript"/>
          <w:lang w:val="en-GB"/>
        </w:rPr>
        <w:footnoteReference w:id="7"/>
      </w:r>
      <w:r w:rsidRPr="001961AA">
        <w:rPr>
          <w:noProof/>
          <w:lang w:val="en-GB"/>
        </w:rPr>
        <w:t xml:space="preserve"> support to local authorities in urban planning and citizen engagement. The implementation of the investment shall be completed by 31 December 2024.</w:t>
      </w:r>
    </w:p>
    <w:p w14:paraId="19F94905" w14:textId="3B99FD6C" w:rsidR="006A41D9" w:rsidRPr="001961AA" w:rsidRDefault="006A41D9" w:rsidP="00BD6DD1">
      <w:pPr>
        <w:pStyle w:val="Text1"/>
        <w:ind w:left="0"/>
        <w:rPr>
          <w:noProof/>
          <w:u w:val="single"/>
          <w:lang w:val="en-GB"/>
        </w:rPr>
      </w:pPr>
      <w:r w:rsidRPr="001961AA">
        <w:rPr>
          <w:noProof/>
          <w:u w:val="single"/>
          <w:lang w:val="en-GB"/>
        </w:rPr>
        <w:t>Investment I-2.15: ‘Improving the connectivity of the 35 business parks in Wallonia’ of the Walloon Region</w:t>
      </w:r>
    </w:p>
    <w:p w14:paraId="0C97718F" w14:textId="16CCA6CD" w:rsidR="006A41D9" w:rsidRPr="001961AA" w:rsidRDefault="006A41D9" w:rsidP="000F62C7">
      <w:pPr>
        <w:pStyle w:val="Text1"/>
        <w:tabs>
          <w:tab w:val="left" w:pos="426"/>
        </w:tabs>
        <w:ind w:left="0"/>
        <w:rPr>
          <w:noProof/>
          <w:lang w:val="en-GB"/>
        </w:rPr>
      </w:pPr>
      <w:r w:rsidRPr="001961AA">
        <w:rPr>
          <w:noProof/>
          <w:lang w:val="en-GB"/>
        </w:rPr>
        <w:t>This investment shall deploy fibre in 35 public business parks in the Walloon Region</w:t>
      </w:r>
      <w:r w:rsidRPr="001961AA">
        <w:rPr>
          <w:rStyle w:val="normaltextrun"/>
          <w:noProof/>
          <w:shd w:val="clear" w:color="auto" w:fill="FFFFFF"/>
          <w:lang w:val="en-GB"/>
        </w:rPr>
        <w:t xml:space="preserve"> by the Walloon region infrastructure financing company Sofico</w:t>
      </w:r>
      <w:r w:rsidRPr="001961AA">
        <w:rPr>
          <w:noProof/>
          <w:lang w:val="en-GB"/>
        </w:rPr>
        <w:t xml:space="preserve">, </w:t>
      </w:r>
      <w:r w:rsidRPr="001961AA">
        <w:rPr>
          <w:rStyle w:val="normaltextrun"/>
          <w:noProof/>
          <w:shd w:val="clear" w:color="auto" w:fill="FFFFFF"/>
          <w:lang w:val="en-GB"/>
        </w:rPr>
        <w:t>where such investments are not deemed commercially viable, in order to achieve a 100% fibre coverage for all public business parks in the Walloon Region (‘Fibre connectivity for 35 business parks’)</w:t>
      </w:r>
      <w:r w:rsidRPr="001961AA">
        <w:rPr>
          <w:rStyle w:val="normaltextrun"/>
          <w:noProof/>
          <w:lang w:val="en-GB"/>
        </w:rPr>
        <w:t xml:space="preserve">. </w:t>
      </w:r>
      <w:r w:rsidRPr="001961AA">
        <w:rPr>
          <w:noProof/>
          <w:lang w:val="en-GB"/>
        </w:rPr>
        <w:t>The implementation of the investment shall be completed by 30 June 2026.</w:t>
      </w:r>
    </w:p>
    <w:p w14:paraId="28EC3A0A" w14:textId="21F8C447" w:rsidR="006A41D9" w:rsidRPr="001961AA" w:rsidRDefault="006A41D9" w:rsidP="00BD6DD1">
      <w:pPr>
        <w:pStyle w:val="Text1"/>
        <w:ind w:left="0"/>
        <w:rPr>
          <w:noProof/>
          <w:szCs w:val="24"/>
          <w:u w:val="single"/>
          <w:lang w:val="en-GB"/>
        </w:rPr>
      </w:pPr>
      <w:r w:rsidRPr="001961AA">
        <w:rPr>
          <w:noProof/>
          <w:u w:val="single"/>
          <w:lang w:val="en-GB"/>
        </w:rPr>
        <w:t>Reform R-2.03: ‘Introduction of 5G – National fixed and mobile broadband plan – federal and regional level’</w:t>
      </w:r>
    </w:p>
    <w:p w14:paraId="097B693A" w14:textId="6D6C3435" w:rsidR="006A41D9" w:rsidRPr="001961AA" w:rsidRDefault="006A41D9" w:rsidP="00BD6DD1">
      <w:pPr>
        <w:pStyle w:val="Text1"/>
        <w:ind w:left="0"/>
        <w:rPr>
          <w:rFonts w:eastAsia="Times New Roman"/>
          <w:noProof/>
          <w:lang w:val="en-GB"/>
        </w:rPr>
      </w:pPr>
      <w:r w:rsidRPr="001961AA">
        <w:rPr>
          <w:noProof/>
          <w:lang w:val="en-GB"/>
        </w:rPr>
        <w:t>This measure consists of reforms both at the federal and regional level that are expected to remove bottlenecks, including regulatory bottlenecks, for the deployment of 5G and for the deployment of ultra-fast connectivity infrastructure, such as fibre. At the federal level, the 5G law and Royal Decrees to assign EU pioneer spectrum bands shall enter into force by 1 January 2022 at the latest. The 5G spectrum auction, shall be completed by 30 June 2022. Moreover, all three regions are to revise radiation standards which shall allow for effective 5G spectrum deployment. The revised regional standards shall enter into force by 31 March 2022.</w:t>
      </w:r>
    </w:p>
    <w:p w14:paraId="05F5037C" w14:textId="77777777" w:rsidR="0092644D" w:rsidRPr="001961AA" w:rsidRDefault="006A41D9" w:rsidP="00BD6DD1">
      <w:pPr>
        <w:pStyle w:val="Text1"/>
        <w:ind w:left="0"/>
        <w:rPr>
          <w:rFonts w:eastAsia="Times New Roman"/>
          <w:noProof/>
          <w:szCs w:val="24"/>
          <w:lang w:val="en-GB"/>
        </w:rPr>
        <w:sectPr w:rsidR="0092644D" w:rsidRPr="001961AA" w:rsidSect="0092644D">
          <w:headerReference w:type="even" r:id="rId90"/>
          <w:headerReference w:type="default" r:id="rId91"/>
          <w:footerReference w:type="even" r:id="rId92"/>
          <w:footerReference w:type="default" r:id="rId93"/>
          <w:headerReference w:type="first" r:id="rId94"/>
          <w:footerReference w:type="first" r:id="rId95"/>
          <w:pgSz w:w="11907" w:h="16839"/>
          <w:pgMar w:top="1134" w:right="1134" w:bottom="1134" w:left="1134" w:header="567" w:footer="567" w:gutter="0"/>
          <w:cols w:space="720"/>
          <w:docGrid w:linePitch="360"/>
        </w:sectPr>
      </w:pPr>
      <w:r w:rsidRPr="001961AA">
        <w:rPr>
          <w:noProof/>
          <w:lang w:val="en-GB"/>
        </w:rPr>
        <w:t xml:space="preserve">Belgium shall also implement the Connectivity Toolbox that is to contain connectivity best practices for reducing the cost of deploying electronic communications networks and for efficient access to 5G radio spectrum tailored to Belgium. This shall include a national roadmap towards </w:t>
      </w:r>
      <w:r w:rsidRPr="001961AA">
        <w:rPr>
          <w:rStyle w:val="normaltextrun"/>
          <w:noProof/>
          <w:shd w:val="clear" w:color="auto" w:fill="FFFFFF"/>
          <w:lang w:val="en-GB"/>
        </w:rPr>
        <w:t>simplifying the licensing and permitting procedures relevant for the rollout of 5G and very high capacity networks, such as fibre</w:t>
      </w:r>
      <w:r w:rsidRPr="001961AA">
        <w:rPr>
          <w:noProof/>
          <w:lang w:val="en-GB"/>
        </w:rPr>
        <w:t>. A report on the state of play of implementation of the Connectivity Toolbox shall be published by 30 June 2022.</w:t>
      </w:r>
    </w:p>
    <w:p w14:paraId="4F5676E1" w14:textId="77777777" w:rsidR="006A41D9" w:rsidRPr="001961AA" w:rsidRDefault="006A41D9" w:rsidP="00BD6DD1">
      <w:pPr>
        <w:pStyle w:val="Text1"/>
        <w:ind w:left="0"/>
        <w:rPr>
          <w:b/>
          <w:bCs/>
          <w:noProof/>
          <w:szCs w:val="24"/>
          <w:u w:val="single"/>
          <w:lang w:val="en-GB"/>
        </w:rPr>
      </w:pPr>
      <w:r w:rsidRPr="001961AA">
        <w:rPr>
          <w:b/>
          <w:noProof/>
          <w:u w:val="single"/>
          <w:lang w:val="en-GB"/>
        </w:rPr>
        <w:t xml:space="preserve">F.2. </w:t>
      </w:r>
      <w:r w:rsidRPr="001961AA">
        <w:rPr>
          <w:noProof/>
          <w:lang w:val="en-GB"/>
        </w:rPr>
        <w:tab/>
      </w:r>
      <w:r w:rsidRPr="001961AA">
        <w:rPr>
          <w:b/>
          <w:noProof/>
          <w:u w:val="single"/>
          <w:lang w:val="en-GB"/>
        </w:rPr>
        <w:t>Milestones, targets, indicators, and timetable for monitoring and implementation for non-repayable financial support</w:t>
      </w:r>
    </w:p>
    <w:tbl>
      <w:tblPr>
        <w:tblW w:w="15502" w:type="dxa"/>
        <w:jc w:val="center"/>
        <w:tblLayout w:type="fixed"/>
        <w:tblLook w:val="04A0" w:firstRow="1" w:lastRow="0" w:firstColumn="1" w:lastColumn="0" w:noHBand="0" w:noVBand="1"/>
      </w:tblPr>
      <w:tblGrid>
        <w:gridCol w:w="715"/>
        <w:gridCol w:w="1832"/>
        <w:gridCol w:w="1168"/>
        <w:gridCol w:w="1440"/>
        <w:gridCol w:w="1920"/>
        <w:gridCol w:w="1320"/>
        <w:gridCol w:w="1200"/>
        <w:gridCol w:w="1080"/>
        <w:gridCol w:w="1080"/>
        <w:gridCol w:w="720"/>
        <w:gridCol w:w="3027"/>
      </w:tblGrid>
      <w:tr w:rsidR="00324CC6" w:rsidRPr="001961AA" w14:paraId="6507148F" w14:textId="77777777" w:rsidTr="00032373">
        <w:trPr>
          <w:trHeight w:val="927"/>
          <w:tblHeader/>
          <w:jc w:val="center"/>
        </w:trPr>
        <w:tc>
          <w:tcPr>
            <w:tcW w:w="71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8E411A4" w14:textId="09FCCAA7" w:rsidR="006A41D9" w:rsidRPr="001961AA" w:rsidRDefault="006A41D9" w:rsidP="00BD6DD1">
            <w:pPr>
              <w:spacing w:after="0"/>
              <w:jc w:val="center"/>
              <w:rPr>
                <w:rFonts w:ascii="Times New Roman" w:eastAsia="Times New Roman" w:hAnsi="Times New Roman" w:cs="Times New Roman"/>
                <w:b/>
                <w:noProof/>
                <w:lang w:val="en-GB"/>
              </w:rPr>
            </w:pPr>
            <w:r w:rsidRPr="001961AA">
              <w:rPr>
                <w:rFonts w:ascii="Times New Roman" w:hAnsi="Times New Roman"/>
                <w:b/>
                <w:noProof/>
                <w:lang w:val="en-GB"/>
              </w:rPr>
              <w:t>Seq. Nb.</w:t>
            </w:r>
          </w:p>
        </w:tc>
        <w:tc>
          <w:tcPr>
            <w:tcW w:w="1832"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0858597" w14:textId="77777777" w:rsidR="006A41D9" w:rsidRPr="001961AA" w:rsidRDefault="006A41D9" w:rsidP="00BD6DD1">
            <w:pPr>
              <w:spacing w:after="0"/>
              <w:jc w:val="center"/>
              <w:rPr>
                <w:rFonts w:ascii="Times New Roman" w:eastAsia="Times New Roman" w:hAnsi="Times New Roman" w:cs="Times New Roman"/>
                <w:b/>
                <w:noProof/>
                <w:lang w:val="en-GB"/>
              </w:rPr>
            </w:pPr>
            <w:r w:rsidRPr="001961AA">
              <w:rPr>
                <w:rFonts w:ascii="Times New Roman" w:hAnsi="Times New Roman"/>
                <w:b/>
                <w:noProof/>
                <w:lang w:val="en-GB"/>
              </w:rPr>
              <w:t>Related Measure (Reform or Investment)</w:t>
            </w:r>
          </w:p>
        </w:tc>
        <w:tc>
          <w:tcPr>
            <w:tcW w:w="1168"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D62B080" w14:textId="77777777" w:rsidR="006A41D9" w:rsidRPr="001961AA" w:rsidRDefault="006A41D9" w:rsidP="00BD6DD1">
            <w:pPr>
              <w:spacing w:after="0"/>
              <w:jc w:val="center"/>
              <w:rPr>
                <w:rFonts w:ascii="Times New Roman" w:eastAsia="Times New Roman" w:hAnsi="Times New Roman" w:cs="Times New Roman"/>
                <w:b/>
                <w:noProof/>
                <w:lang w:val="en-GB"/>
              </w:rPr>
            </w:pPr>
            <w:r w:rsidRPr="001961AA">
              <w:rPr>
                <w:rFonts w:ascii="Times New Roman" w:hAnsi="Times New Roman"/>
                <w:b/>
                <w:noProof/>
                <w:lang w:val="en-GB"/>
              </w:rPr>
              <w:t>Milestone / Target</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E19CC49" w14:textId="77777777" w:rsidR="006A41D9" w:rsidRPr="001961AA" w:rsidRDefault="006A41D9" w:rsidP="00BD6DD1">
            <w:pPr>
              <w:spacing w:after="0"/>
              <w:jc w:val="center"/>
              <w:rPr>
                <w:rFonts w:ascii="Times New Roman" w:eastAsia="Times New Roman" w:hAnsi="Times New Roman" w:cs="Times New Roman"/>
                <w:b/>
                <w:noProof/>
                <w:lang w:val="en-GB"/>
              </w:rPr>
            </w:pPr>
            <w:r w:rsidRPr="001961AA">
              <w:rPr>
                <w:rFonts w:ascii="Times New Roman" w:hAnsi="Times New Roman"/>
                <w:b/>
                <w:noProof/>
                <w:lang w:val="en-GB"/>
              </w:rPr>
              <w:t>Name</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5EBEBF52" w14:textId="77777777" w:rsidR="006A41D9" w:rsidRPr="001961AA" w:rsidRDefault="006A41D9" w:rsidP="00BD6DD1">
            <w:pPr>
              <w:spacing w:after="0"/>
              <w:jc w:val="center"/>
              <w:rPr>
                <w:rFonts w:ascii="Times New Roman" w:eastAsia="Times New Roman" w:hAnsi="Times New Roman" w:cs="Times New Roman"/>
                <w:b/>
                <w:noProof/>
                <w:lang w:val="en-GB"/>
              </w:rPr>
            </w:pPr>
            <w:r w:rsidRPr="001961AA">
              <w:rPr>
                <w:rFonts w:ascii="Times New Roman" w:hAnsi="Times New Roman"/>
                <w:b/>
                <w:noProof/>
                <w:lang w:val="en-GB"/>
              </w:rPr>
              <w:t xml:space="preserve">Qualitative indicators </w:t>
            </w:r>
            <w:r w:rsidRPr="001961AA">
              <w:rPr>
                <w:noProof/>
                <w:lang w:val="en-GB"/>
              </w:rPr>
              <w:t xml:space="preserve"> </w:t>
            </w:r>
            <w:r w:rsidRPr="001961AA">
              <w:rPr>
                <w:noProof/>
                <w:lang w:val="en-GB"/>
              </w:rPr>
              <w:br/>
            </w:r>
            <w:r w:rsidRPr="001961AA">
              <w:rPr>
                <w:rFonts w:ascii="Times New Roman" w:hAnsi="Times New Roman"/>
                <w:b/>
                <w:noProof/>
                <w:lang w:val="en-GB"/>
              </w:rPr>
              <w:t>(for milestones)</w:t>
            </w:r>
          </w:p>
        </w:tc>
        <w:tc>
          <w:tcPr>
            <w:tcW w:w="3600" w:type="dxa"/>
            <w:gridSpan w:val="3"/>
            <w:tcBorders>
              <w:top w:val="single" w:sz="4" w:space="0" w:color="auto"/>
              <w:left w:val="single" w:sz="4" w:space="0" w:color="auto"/>
              <w:bottom w:val="single" w:sz="4" w:space="0" w:color="auto"/>
              <w:right w:val="single" w:sz="4" w:space="0" w:color="auto"/>
            </w:tcBorders>
            <w:shd w:val="clear" w:color="auto" w:fill="BDD7EE"/>
            <w:vAlign w:val="center"/>
            <w:hideMark/>
          </w:tcPr>
          <w:p w14:paraId="56BE8C79" w14:textId="77777777" w:rsidR="006A41D9" w:rsidRPr="001961AA" w:rsidRDefault="006A41D9" w:rsidP="00BD6DD1">
            <w:pPr>
              <w:spacing w:after="0"/>
              <w:jc w:val="center"/>
              <w:rPr>
                <w:rFonts w:ascii="Times New Roman" w:eastAsia="Times New Roman" w:hAnsi="Times New Roman" w:cs="Times New Roman"/>
                <w:b/>
                <w:noProof/>
                <w:lang w:val="en-GB"/>
              </w:rPr>
            </w:pPr>
            <w:r w:rsidRPr="001961AA">
              <w:rPr>
                <w:rFonts w:ascii="Times New Roman" w:hAnsi="Times New Roman"/>
                <w:b/>
                <w:noProof/>
                <w:lang w:val="en-GB"/>
              </w:rPr>
              <w:t xml:space="preserve">Quantitative indicators </w:t>
            </w:r>
            <w:r w:rsidRPr="001961AA">
              <w:rPr>
                <w:noProof/>
                <w:lang w:val="en-GB"/>
              </w:rPr>
              <w:t xml:space="preserve"> </w:t>
            </w:r>
            <w:r w:rsidRPr="001961AA">
              <w:rPr>
                <w:noProof/>
                <w:lang w:val="en-GB"/>
              </w:rPr>
              <w:br/>
            </w:r>
            <w:r w:rsidRPr="001961AA">
              <w:rPr>
                <w:rFonts w:ascii="Times New Roman" w:hAnsi="Times New Roman"/>
                <w:b/>
                <w:noProof/>
                <w:lang w:val="en-GB"/>
              </w:rPr>
              <w:t>(for targets)</w:t>
            </w:r>
          </w:p>
        </w:tc>
        <w:tc>
          <w:tcPr>
            <w:tcW w:w="1800" w:type="dxa"/>
            <w:gridSpan w:val="2"/>
            <w:tcBorders>
              <w:top w:val="single" w:sz="4" w:space="0" w:color="auto"/>
              <w:left w:val="nil"/>
              <w:bottom w:val="single" w:sz="4" w:space="0" w:color="auto"/>
              <w:right w:val="single" w:sz="4" w:space="0" w:color="auto"/>
            </w:tcBorders>
            <w:shd w:val="clear" w:color="auto" w:fill="BDD7EE"/>
            <w:vAlign w:val="center"/>
            <w:hideMark/>
          </w:tcPr>
          <w:p w14:paraId="671FD612" w14:textId="77777777" w:rsidR="006A41D9" w:rsidRPr="001961AA" w:rsidRDefault="006A41D9" w:rsidP="00BD6DD1">
            <w:pPr>
              <w:spacing w:after="0"/>
              <w:jc w:val="center"/>
              <w:rPr>
                <w:rFonts w:ascii="Times New Roman" w:eastAsia="Times New Roman" w:hAnsi="Times New Roman" w:cs="Times New Roman"/>
                <w:b/>
                <w:noProof/>
                <w:lang w:val="en-GB"/>
              </w:rPr>
            </w:pPr>
            <w:r w:rsidRPr="001961AA">
              <w:rPr>
                <w:rFonts w:ascii="Times New Roman" w:hAnsi="Times New Roman"/>
                <w:b/>
                <w:noProof/>
                <w:lang w:val="en-GB"/>
              </w:rPr>
              <w:t xml:space="preserve">Indicative timeline for completion </w:t>
            </w:r>
          </w:p>
        </w:tc>
        <w:tc>
          <w:tcPr>
            <w:tcW w:w="3027"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4B6461C1" w14:textId="77777777" w:rsidR="006A41D9" w:rsidRPr="001961AA" w:rsidRDefault="006A41D9" w:rsidP="00BD6DD1">
            <w:pPr>
              <w:spacing w:after="0"/>
              <w:jc w:val="center"/>
              <w:rPr>
                <w:rFonts w:ascii="Times New Roman" w:eastAsia="Times New Roman" w:hAnsi="Times New Roman" w:cs="Times New Roman"/>
                <w:b/>
                <w:noProof/>
                <w:lang w:val="en-GB"/>
              </w:rPr>
            </w:pPr>
            <w:r w:rsidRPr="001961AA">
              <w:rPr>
                <w:rFonts w:ascii="Times New Roman" w:hAnsi="Times New Roman"/>
                <w:b/>
                <w:noProof/>
                <w:lang w:val="en-GB"/>
              </w:rPr>
              <w:t>Description of each milestone and target</w:t>
            </w:r>
          </w:p>
        </w:tc>
      </w:tr>
      <w:tr w:rsidR="009E4837" w:rsidRPr="001961AA" w14:paraId="3CF5C453" w14:textId="77777777" w:rsidTr="00032373">
        <w:trPr>
          <w:trHeight w:val="1013"/>
          <w:jc w:val="center"/>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5BAC9DEB" w14:textId="77777777" w:rsidR="006A41D9" w:rsidRPr="001961AA" w:rsidRDefault="006A41D9" w:rsidP="00BD6DD1">
            <w:pPr>
              <w:spacing w:after="0"/>
              <w:rPr>
                <w:rFonts w:ascii="Times New Roman" w:eastAsia="Times New Roman" w:hAnsi="Times New Roman" w:cs="Times New Roman"/>
                <w:b/>
                <w:bCs/>
                <w:noProof/>
                <w:szCs w:val="24"/>
                <w:lang w:val="en-GB" w:eastAsia="en-GB"/>
              </w:rPr>
            </w:pPr>
          </w:p>
        </w:tc>
        <w:tc>
          <w:tcPr>
            <w:tcW w:w="1832" w:type="dxa"/>
            <w:vMerge/>
            <w:tcBorders>
              <w:top w:val="single" w:sz="4" w:space="0" w:color="auto"/>
              <w:left w:val="single" w:sz="4" w:space="0" w:color="auto"/>
              <w:bottom w:val="single" w:sz="4" w:space="0" w:color="auto"/>
              <w:right w:val="single" w:sz="4" w:space="0" w:color="auto"/>
            </w:tcBorders>
            <w:vAlign w:val="center"/>
            <w:hideMark/>
          </w:tcPr>
          <w:p w14:paraId="083336C3" w14:textId="77777777" w:rsidR="006A41D9" w:rsidRPr="001961AA" w:rsidRDefault="006A41D9" w:rsidP="00BD6DD1">
            <w:pPr>
              <w:spacing w:after="0"/>
              <w:rPr>
                <w:rFonts w:ascii="Times New Roman" w:eastAsia="Times New Roman" w:hAnsi="Times New Roman" w:cs="Times New Roman"/>
                <w:b/>
                <w:bCs/>
                <w:noProof/>
                <w:szCs w:val="24"/>
                <w:lang w:val="en-GB" w:eastAsia="en-GB"/>
              </w:rPr>
            </w:pPr>
          </w:p>
        </w:tc>
        <w:tc>
          <w:tcPr>
            <w:tcW w:w="1168" w:type="dxa"/>
            <w:vMerge/>
            <w:tcBorders>
              <w:top w:val="single" w:sz="4" w:space="0" w:color="auto"/>
              <w:left w:val="single" w:sz="4" w:space="0" w:color="auto"/>
              <w:bottom w:val="single" w:sz="4" w:space="0" w:color="auto"/>
              <w:right w:val="single" w:sz="4" w:space="0" w:color="auto"/>
            </w:tcBorders>
            <w:vAlign w:val="center"/>
            <w:hideMark/>
          </w:tcPr>
          <w:p w14:paraId="2FC88A04" w14:textId="77777777" w:rsidR="006A41D9" w:rsidRPr="001961AA" w:rsidRDefault="006A41D9" w:rsidP="00BD6DD1">
            <w:pPr>
              <w:spacing w:after="0"/>
              <w:rPr>
                <w:rFonts w:ascii="Times New Roman" w:eastAsia="Times New Roman" w:hAnsi="Times New Roman" w:cs="Times New Roman"/>
                <w:b/>
                <w:bCs/>
                <w:noProof/>
                <w:szCs w:val="24"/>
                <w:lang w:val="en-GB" w:eastAsia="en-GB"/>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3B63979E" w14:textId="77777777" w:rsidR="006A41D9" w:rsidRPr="001961AA" w:rsidRDefault="006A41D9" w:rsidP="00BD6DD1">
            <w:pPr>
              <w:spacing w:after="0"/>
              <w:rPr>
                <w:rFonts w:ascii="Times New Roman" w:eastAsia="Times New Roman" w:hAnsi="Times New Roman" w:cs="Times New Roman"/>
                <w:b/>
                <w:bCs/>
                <w:noProof/>
                <w:szCs w:val="24"/>
                <w:lang w:val="en-GB" w:eastAsia="en-GB"/>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14:paraId="76BC4BE8" w14:textId="77777777" w:rsidR="006A41D9" w:rsidRPr="001961AA" w:rsidRDefault="006A41D9" w:rsidP="00BD6DD1">
            <w:pPr>
              <w:spacing w:after="0"/>
              <w:rPr>
                <w:rFonts w:ascii="Times New Roman" w:eastAsia="Times New Roman" w:hAnsi="Times New Roman" w:cs="Times New Roman"/>
                <w:b/>
                <w:bCs/>
                <w:noProof/>
                <w:szCs w:val="24"/>
                <w:lang w:val="en-GB" w:eastAsia="en-GB"/>
              </w:rPr>
            </w:pPr>
          </w:p>
        </w:tc>
        <w:tc>
          <w:tcPr>
            <w:tcW w:w="1320"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30B8F65F" w14:textId="77777777" w:rsidR="006A41D9" w:rsidRPr="001961AA" w:rsidRDefault="006A41D9" w:rsidP="00BD6DD1">
            <w:pPr>
              <w:spacing w:after="0"/>
              <w:jc w:val="center"/>
              <w:rPr>
                <w:rFonts w:ascii="Times New Roman" w:eastAsia="Times New Roman" w:hAnsi="Times New Roman" w:cs="Times New Roman"/>
                <w:b/>
                <w:noProof/>
                <w:lang w:val="en-GB"/>
              </w:rPr>
            </w:pPr>
            <w:r w:rsidRPr="001961AA">
              <w:rPr>
                <w:rFonts w:ascii="Times New Roman" w:hAnsi="Times New Roman"/>
                <w:b/>
                <w:noProof/>
                <w:lang w:val="en-GB"/>
              </w:rPr>
              <w:t>Unit of measure</w:t>
            </w:r>
          </w:p>
        </w:tc>
        <w:tc>
          <w:tcPr>
            <w:tcW w:w="1200" w:type="dxa"/>
            <w:tcBorders>
              <w:top w:val="single" w:sz="4" w:space="0" w:color="auto"/>
              <w:left w:val="nil"/>
              <w:bottom w:val="single" w:sz="4" w:space="0" w:color="auto"/>
              <w:right w:val="single" w:sz="4" w:space="0" w:color="auto"/>
            </w:tcBorders>
            <w:shd w:val="clear" w:color="auto" w:fill="BDD7EE"/>
            <w:vAlign w:val="center"/>
            <w:hideMark/>
          </w:tcPr>
          <w:p w14:paraId="42D0745A" w14:textId="77777777" w:rsidR="006A41D9" w:rsidRPr="001961AA" w:rsidRDefault="006A41D9" w:rsidP="00BD6DD1">
            <w:pPr>
              <w:spacing w:after="0"/>
              <w:jc w:val="center"/>
              <w:rPr>
                <w:rFonts w:ascii="Times New Roman" w:eastAsia="Times New Roman" w:hAnsi="Times New Roman" w:cs="Times New Roman"/>
                <w:b/>
                <w:noProof/>
                <w:lang w:val="en-GB"/>
              </w:rPr>
            </w:pPr>
            <w:r w:rsidRPr="001961AA">
              <w:rPr>
                <w:rFonts w:ascii="Times New Roman" w:hAnsi="Times New Roman"/>
                <w:b/>
                <w:noProof/>
                <w:lang w:val="en-GB"/>
              </w:rPr>
              <w:t xml:space="preserve">Baseline </w:t>
            </w:r>
          </w:p>
        </w:tc>
        <w:tc>
          <w:tcPr>
            <w:tcW w:w="1080" w:type="dxa"/>
            <w:tcBorders>
              <w:top w:val="single" w:sz="4" w:space="0" w:color="auto"/>
              <w:left w:val="nil"/>
              <w:bottom w:val="single" w:sz="4" w:space="0" w:color="auto"/>
              <w:right w:val="single" w:sz="4" w:space="0" w:color="auto"/>
            </w:tcBorders>
            <w:shd w:val="clear" w:color="auto" w:fill="BDD7EE"/>
            <w:vAlign w:val="center"/>
            <w:hideMark/>
          </w:tcPr>
          <w:p w14:paraId="520C725E" w14:textId="77777777" w:rsidR="006A41D9" w:rsidRPr="001961AA" w:rsidRDefault="006A41D9" w:rsidP="00BD6DD1">
            <w:pPr>
              <w:spacing w:after="0"/>
              <w:jc w:val="center"/>
              <w:rPr>
                <w:rFonts w:ascii="Times New Roman" w:eastAsia="Times New Roman" w:hAnsi="Times New Roman" w:cs="Times New Roman"/>
                <w:b/>
                <w:noProof/>
                <w:lang w:val="en-GB"/>
              </w:rPr>
            </w:pPr>
            <w:r w:rsidRPr="001961AA">
              <w:rPr>
                <w:rFonts w:ascii="Times New Roman" w:hAnsi="Times New Roman"/>
                <w:b/>
                <w:noProof/>
                <w:lang w:val="en-GB"/>
              </w:rPr>
              <w:t xml:space="preserve">Goal </w:t>
            </w:r>
          </w:p>
        </w:tc>
        <w:tc>
          <w:tcPr>
            <w:tcW w:w="1080" w:type="dxa"/>
            <w:tcBorders>
              <w:top w:val="single" w:sz="4" w:space="0" w:color="auto"/>
              <w:left w:val="nil"/>
              <w:bottom w:val="single" w:sz="4" w:space="0" w:color="auto"/>
              <w:right w:val="single" w:sz="4" w:space="0" w:color="auto"/>
            </w:tcBorders>
            <w:shd w:val="clear" w:color="auto" w:fill="BDD7EE"/>
            <w:vAlign w:val="center"/>
            <w:hideMark/>
          </w:tcPr>
          <w:p w14:paraId="428C598A" w14:textId="77777777" w:rsidR="006A41D9" w:rsidRPr="001961AA" w:rsidRDefault="006A41D9" w:rsidP="00BD6DD1">
            <w:pPr>
              <w:spacing w:after="0"/>
              <w:jc w:val="center"/>
              <w:rPr>
                <w:rFonts w:ascii="Times New Roman" w:eastAsia="Times New Roman" w:hAnsi="Times New Roman" w:cs="Times New Roman"/>
                <w:b/>
                <w:noProof/>
                <w:lang w:val="en-GB"/>
              </w:rPr>
            </w:pPr>
            <w:r w:rsidRPr="001961AA">
              <w:rPr>
                <w:rFonts w:ascii="Times New Roman" w:hAnsi="Times New Roman"/>
                <w:b/>
                <w:noProof/>
                <w:lang w:val="en-GB"/>
              </w:rPr>
              <w:t>Quarter</w:t>
            </w:r>
          </w:p>
        </w:tc>
        <w:tc>
          <w:tcPr>
            <w:tcW w:w="720" w:type="dxa"/>
            <w:tcBorders>
              <w:top w:val="single" w:sz="4" w:space="0" w:color="auto"/>
              <w:left w:val="nil"/>
              <w:bottom w:val="single" w:sz="4" w:space="0" w:color="auto"/>
              <w:right w:val="single" w:sz="4" w:space="0" w:color="auto"/>
            </w:tcBorders>
            <w:shd w:val="clear" w:color="auto" w:fill="BDD7EE"/>
            <w:vAlign w:val="center"/>
            <w:hideMark/>
          </w:tcPr>
          <w:p w14:paraId="1D53D15C" w14:textId="77777777" w:rsidR="006A41D9" w:rsidRPr="001961AA" w:rsidRDefault="006A41D9" w:rsidP="00BD6DD1">
            <w:pPr>
              <w:spacing w:after="0"/>
              <w:jc w:val="center"/>
              <w:rPr>
                <w:rFonts w:ascii="Times New Roman" w:eastAsia="Times New Roman" w:hAnsi="Times New Roman" w:cs="Times New Roman"/>
                <w:b/>
                <w:noProof/>
                <w:lang w:val="en-GB"/>
              </w:rPr>
            </w:pPr>
            <w:r w:rsidRPr="001961AA">
              <w:rPr>
                <w:rFonts w:ascii="Times New Roman" w:hAnsi="Times New Roman"/>
                <w:b/>
                <w:noProof/>
                <w:lang w:val="en-GB"/>
              </w:rPr>
              <w:t>Year</w:t>
            </w:r>
          </w:p>
        </w:tc>
        <w:tc>
          <w:tcPr>
            <w:tcW w:w="3027" w:type="dxa"/>
            <w:vMerge/>
            <w:vAlign w:val="center"/>
            <w:hideMark/>
          </w:tcPr>
          <w:p w14:paraId="3393822D" w14:textId="77777777" w:rsidR="006A41D9" w:rsidRPr="001961AA" w:rsidRDefault="006A41D9" w:rsidP="00BD6DD1">
            <w:pPr>
              <w:spacing w:after="0"/>
              <w:rPr>
                <w:rFonts w:ascii="Times New Roman" w:eastAsia="Times New Roman" w:hAnsi="Times New Roman" w:cs="Times New Roman"/>
                <w:b/>
                <w:bCs/>
                <w:noProof/>
                <w:szCs w:val="24"/>
                <w:lang w:val="en-GB" w:eastAsia="en-GB"/>
              </w:rPr>
            </w:pPr>
          </w:p>
        </w:tc>
      </w:tr>
      <w:tr w:rsidR="00324CC6" w:rsidRPr="001961AA" w14:paraId="5AC1C8C6" w14:textId="77777777" w:rsidTr="00032373">
        <w:trPr>
          <w:trHeight w:val="309"/>
          <w:jc w:val="center"/>
        </w:trPr>
        <w:tc>
          <w:tcPr>
            <w:tcW w:w="715"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3B798509"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80</w:t>
            </w:r>
          </w:p>
        </w:tc>
        <w:tc>
          <w:tcPr>
            <w:tcW w:w="1832" w:type="dxa"/>
            <w:tcBorders>
              <w:top w:val="single" w:sz="4" w:space="0" w:color="auto"/>
              <w:left w:val="nil"/>
              <w:bottom w:val="single" w:sz="4" w:space="0" w:color="auto"/>
              <w:right w:val="single" w:sz="4" w:space="0" w:color="auto"/>
            </w:tcBorders>
            <w:shd w:val="clear" w:color="auto" w:fill="C6EFCE"/>
            <w:noWrap/>
            <w:vAlign w:val="center"/>
            <w:hideMark/>
          </w:tcPr>
          <w:p w14:paraId="3FF17ECA"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Coverage of white areas by developing very high speed fibre optic networks (I-2.13)</w:t>
            </w:r>
          </w:p>
        </w:tc>
        <w:tc>
          <w:tcPr>
            <w:tcW w:w="1168" w:type="dxa"/>
            <w:tcBorders>
              <w:top w:val="single" w:sz="4" w:space="0" w:color="auto"/>
              <w:left w:val="nil"/>
              <w:bottom w:val="single" w:sz="4" w:space="0" w:color="auto"/>
              <w:right w:val="single" w:sz="4" w:space="0" w:color="auto"/>
            </w:tcBorders>
            <w:shd w:val="clear" w:color="auto" w:fill="C6EFCE"/>
            <w:noWrap/>
            <w:vAlign w:val="center"/>
            <w:hideMark/>
          </w:tcPr>
          <w:p w14:paraId="2E99E107" w14:textId="234FECA0"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T</w:t>
            </w:r>
          </w:p>
        </w:tc>
        <w:tc>
          <w:tcPr>
            <w:tcW w:w="1440" w:type="dxa"/>
            <w:tcBorders>
              <w:top w:val="single" w:sz="4" w:space="0" w:color="auto"/>
              <w:left w:val="nil"/>
              <w:bottom w:val="single" w:sz="4" w:space="0" w:color="auto"/>
              <w:right w:val="single" w:sz="4" w:space="0" w:color="auto"/>
            </w:tcBorders>
            <w:shd w:val="clear" w:color="auto" w:fill="C6EFCE"/>
            <w:noWrap/>
            <w:vAlign w:val="center"/>
            <w:hideMark/>
          </w:tcPr>
          <w:p w14:paraId="605A949F"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Coverage</w:t>
            </w:r>
          </w:p>
        </w:tc>
        <w:tc>
          <w:tcPr>
            <w:tcW w:w="1920" w:type="dxa"/>
            <w:tcBorders>
              <w:top w:val="single" w:sz="4" w:space="0" w:color="auto"/>
              <w:left w:val="nil"/>
              <w:bottom w:val="single" w:sz="4" w:space="0" w:color="auto"/>
              <w:right w:val="single" w:sz="4" w:space="0" w:color="auto"/>
            </w:tcBorders>
            <w:shd w:val="clear" w:color="auto" w:fill="C6EFCE"/>
            <w:noWrap/>
            <w:vAlign w:val="bottom"/>
            <w:hideMark/>
          </w:tcPr>
          <w:p w14:paraId="0E0471C1" w14:textId="77777777"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1320" w:type="dxa"/>
            <w:tcBorders>
              <w:top w:val="nil"/>
              <w:left w:val="nil"/>
              <w:bottom w:val="single" w:sz="4" w:space="0" w:color="auto"/>
              <w:right w:val="single" w:sz="4" w:space="0" w:color="auto"/>
            </w:tcBorders>
            <w:shd w:val="clear" w:color="auto" w:fill="C6EFCE"/>
            <w:noWrap/>
            <w:vAlign w:val="center"/>
          </w:tcPr>
          <w:p w14:paraId="5B8CB25B"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 (percentage)</w:t>
            </w:r>
          </w:p>
        </w:tc>
        <w:tc>
          <w:tcPr>
            <w:tcW w:w="1200" w:type="dxa"/>
            <w:tcBorders>
              <w:top w:val="nil"/>
              <w:left w:val="nil"/>
              <w:bottom w:val="single" w:sz="4" w:space="0" w:color="auto"/>
              <w:right w:val="single" w:sz="4" w:space="0" w:color="auto"/>
            </w:tcBorders>
            <w:shd w:val="clear" w:color="auto" w:fill="C6EFCE"/>
            <w:noWrap/>
            <w:vAlign w:val="center"/>
          </w:tcPr>
          <w:p w14:paraId="3FA34492" w14:textId="77777777" w:rsidR="006A41D9" w:rsidRPr="001961AA" w:rsidRDefault="006A41D9" w:rsidP="00BD6DD1">
            <w:pPr>
              <w:spacing w:after="0"/>
              <w:jc w:val="right"/>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0</w:t>
            </w:r>
          </w:p>
        </w:tc>
        <w:tc>
          <w:tcPr>
            <w:tcW w:w="1080" w:type="dxa"/>
            <w:tcBorders>
              <w:top w:val="nil"/>
              <w:left w:val="nil"/>
              <w:bottom w:val="single" w:sz="4" w:space="0" w:color="auto"/>
              <w:right w:val="single" w:sz="4" w:space="0" w:color="auto"/>
            </w:tcBorders>
            <w:shd w:val="clear" w:color="auto" w:fill="C6EFCE"/>
            <w:noWrap/>
            <w:vAlign w:val="center"/>
          </w:tcPr>
          <w:p w14:paraId="758A6403" w14:textId="77777777" w:rsidR="006A41D9" w:rsidRPr="001961AA" w:rsidRDefault="006A41D9" w:rsidP="00BD6DD1">
            <w:pPr>
              <w:spacing w:after="0"/>
              <w:jc w:val="right"/>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w:t>
            </w:r>
          </w:p>
        </w:tc>
        <w:tc>
          <w:tcPr>
            <w:tcW w:w="1080" w:type="dxa"/>
            <w:tcBorders>
              <w:top w:val="nil"/>
              <w:left w:val="nil"/>
              <w:bottom w:val="single" w:sz="4" w:space="0" w:color="auto"/>
              <w:right w:val="single" w:sz="4" w:space="0" w:color="auto"/>
            </w:tcBorders>
            <w:shd w:val="clear" w:color="auto" w:fill="C6EFCE"/>
            <w:noWrap/>
            <w:vAlign w:val="center"/>
            <w:hideMark/>
          </w:tcPr>
          <w:p w14:paraId="592BB229"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Q2</w:t>
            </w:r>
          </w:p>
        </w:tc>
        <w:tc>
          <w:tcPr>
            <w:tcW w:w="720" w:type="dxa"/>
            <w:tcBorders>
              <w:top w:val="nil"/>
              <w:left w:val="nil"/>
              <w:bottom w:val="single" w:sz="4" w:space="0" w:color="auto"/>
              <w:right w:val="single" w:sz="4" w:space="0" w:color="auto"/>
            </w:tcBorders>
            <w:shd w:val="clear" w:color="auto" w:fill="C6EFCE"/>
            <w:noWrap/>
            <w:vAlign w:val="center"/>
            <w:hideMark/>
          </w:tcPr>
          <w:p w14:paraId="7C5EBE76"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2026</w:t>
            </w:r>
          </w:p>
        </w:tc>
        <w:tc>
          <w:tcPr>
            <w:tcW w:w="3027" w:type="dxa"/>
            <w:tcBorders>
              <w:top w:val="single" w:sz="4" w:space="0" w:color="auto"/>
              <w:left w:val="nil"/>
              <w:bottom w:val="single" w:sz="4" w:space="0" w:color="auto"/>
              <w:right w:val="single" w:sz="4" w:space="0" w:color="auto"/>
            </w:tcBorders>
            <w:shd w:val="clear" w:color="auto" w:fill="C6EFCE"/>
            <w:noWrap/>
            <w:vAlign w:val="center"/>
          </w:tcPr>
          <w:p w14:paraId="59BDA077"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 of households (7.400 homes) in the German-speaking Community in fibre white zones receive access to very high-capacity fixed fibre networks.</w:t>
            </w:r>
          </w:p>
        </w:tc>
      </w:tr>
      <w:tr w:rsidR="009E4837" w:rsidRPr="001961AA" w14:paraId="46E141BA" w14:textId="77777777" w:rsidTr="00032373">
        <w:trPr>
          <w:trHeight w:val="309"/>
          <w:jc w:val="center"/>
        </w:trPr>
        <w:tc>
          <w:tcPr>
            <w:tcW w:w="715" w:type="dxa"/>
            <w:tcBorders>
              <w:top w:val="nil"/>
              <w:left w:val="single" w:sz="4" w:space="0" w:color="auto"/>
              <w:bottom w:val="single" w:sz="4" w:space="0" w:color="auto"/>
              <w:right w:val="single" w:sz="4" w:space="0" w:color="auto"/>
            </w:tcBorders>
            <w:shd w:val="clear" w:color="auto" w:fill="C6EFCE"/>
            <w:noWrap/>
            <w:vAlign w:val="center"/>
            <w:hideMark/>
          </w:tcPr>
          <w:p w14:paraId="57404213"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81</w:t>
            </w:r>
          </w:p>
        </w:tc>
        <w:tc>
          <w:tcPr>
            <w:tcW w:w="1832" w:type="dxa"/>
            <w:tcBorders>
              <w:top w:val="nil"/>
              <w:left w:val="nil"/>
              <w:bottom w:val="single" w:sz="4" w:space="0" w:color="auto"/>
              <w:right w:val="single" w:sz="4" w:space="0" w:color="auto"/>
            </w:tcBorders>
            <w:shd w:val="clear" w:color="auto" w:fill="C6EFCE"/>
            <w:noWrap/>
            <w:vAlign w:val="center"/>
            <w:hideMark/>
          </w:tcPr>
          <w:p w14:paraId="5733AD31"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Development of an AI institute in order to use this technology to meet societal challenges (I-2.14)</w:t>
            </w:r>
          </w:p>
        </w:tc>
        <w:tc>
          <w:tcPr>
            <w:tcW w:w="1168" w:type="dxa"/>
            <w:tcBorders>
              <w:top w:val="nil"/>
              <w:left w:val="nil"/>
              <w:bottom w:val="single" w:sz="4" w:space="0" w:color="auto"/>
              <w:right w:val="single" w:sz="4" w:space="0" w:color="auto"/>
            </w:tcBorders>
            <w:shd w:val="clear" w:color="auto" w:fill="C6EFCE"/>
            <w:noWrap/>
            <w:vAlign w:val="center"/>
          </w:tcPr>
          <w:p w14:paraId="748805EB" w14:textId="262F71E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M</w:t>
            </w:r>
          </w:p>
        </w:tc>
        <w:tc>
          <w:tcPr>
            <w:tcW w:w="1440" w:type="dxa"/>
            <w:tcBorders>
              <w:top w:val="nil"/>
              <w:left w:val="nil"/>
              <w:bottom w:val="single" w:sz="4" w:space="0" w:color="auto"/>
              <w:right w:val="single" w:sz="4" w:space="0" w:color="auto"/>
            </w:tcBorders>
            <w:shd w:val="clear" w:color="auto" w:fill="C6EFCE"/>
            <w:noWrap/>
            <w:vAlign w:val="center"/>
          </w:tcPr>
          <w:p w14:paraId="2157EF66"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Completion of pilot projects by the AI for the Common Good Institute</w:t>
            </w:r>
          </w:p>
        </w:tc>
        <w:tc>
          <w:tcPr>
            <w:tcW w:w="1920" w:type="dxa"/>
            <w:tcBorders>
              <w:top w:val="nil"/>
              <w:left w:val="nil"/>
              <w:bottom w:val="single" w:sz="4" w:space="0" w:color="auto"/>
              <w:right w:val="single" w:sz="4" w:space="0" w:color="auto"/>
            </w:tcBorders>
            <w:shd w:val="clear" w:color="auto" w:fill="C6EFCE"/>
            <w:noWrap/>
            <w:vAlign w:val="center"/>
          </w:tcPr>
          <w:p w14:paraId="4587EC9A"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 xml:space="preserve">Final report approved on pilot projects by the AI for the Common Good Institute </w:t>
            </w:r>
          </w:p>
        </w:tc>
        <w:tc>
          <w:tcPr>
            <w:tcW w:w="1320" w:type="dxa"/>
            <w:tcBorders>
              <w:top w:val="nil"/>
              <w:left w:val="nil"/>
              <w:bottom w:val="single" w:sz="4" w:space="0" w:color="auto"/>
              <w:right w:val="single" w:sz="4" w:space="0" w:color="auto"/>
            </w:tcBorders>
            <w:shd w:val="clear" w:color="auto" w:fill="C6EFCE"/>
            <w:noWrap/>
            <w:vAlign w:val="center"/>
          </w:tcPr>
          <w:p w14:paraId="0A8CB3E7" w14:textId="77777777"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1200" w:type="dxa"/>
            <w:tcBorders>
              <w:top w:val="nil"/>
              <w:left w:val="nil"/>
              <w:bottom w:val="single" w:sz="4" w:space="0" w:color="auto"/>
              <w:right w:val="single" w:sz="4" w:space="0" w:color="auto"/>
            </w:tcBorders>
            <w:shd w:val="clear" w:color="auto" w:fill="C6EFCE"/>
            <w:noWrap/>
            <w:vAlign w:val="center"/>
          </w:tcPr>
          <w:p w14:paraId="52DE643B" w14:textId="77777777"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1080" w:type="dxa"/>
            <w:tcBorders>
              <w:top w:val="nil"/>
              <w:left w:val="nil"/>
              <w:bottom w:val="single" w:sz="4" w:space="0" w:color="auto"/>
              <w:right w:val="single" w:sz="4" w:space="0" w:color="auto"/>
            </w:tcBorders>
            <w:shd w:val="clear" w:color="auto" w:fill="C6EFCE"/>
            <w:noWrap/>
            <w:vAlign w:val="center"/>
          </w:tcPr>
          <w:p w14:paraId="38B817EE" w14:textId="77777777"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1080" w:type="dxa"/>
            <w:tcBorders>
              <w:top w:val="nil"/>
              <w:left w:val="nil"/>
              <w:bottom w:val="single" w:sz="4" w:space="0" w:color="auto"/>
              <w:right w:val="single" w:sz="4" w:space="0" w:color="auto"/>
            </w:tcBorders>
            <w:shd w:val="clear" w:color="auto" w:fill="C6EFCE"/>
            <w:noWrap/>
            <w:vAlign w:val="center"/>
          </w:tcPr>
          <w:p w14:paraId="097ADFE7"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Q2</w:t>
            </w:r>
          </w:p>
        </w:tc>
        <w:tc>
          <w:tcPr>
            <w:tcW w:w="720" w:type="dxa"/>
            <w:tcBorders>
              <w:top w:val="nil"/>
              <w:left w:val="nil"/>
              <w:bottom w:val="single" w:sz="4" w:space="0" w:color="auto"/>
              <w:right w:val="single" w:sz="4" w:space="0" w:color="auto"/>
            </w:tcBorders>
            <w:shd w:val="clear" w:color="auto" w:fill="C6EFCE"/>
            <w:noWrap/>
            <w:vAlign w:val="center"/>
          </w:tcPr>
          <w:p w14:paraId="49EC5D9C"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2022</w:t>
            </w:r>
          </w:p>
        </w:tc>
        <w:tc>
          <w:tcPr>
            <w:tcW w:w="3027" w:type="dxa"/>
            <w:tcBorders>
              <w:top w:val="nil"/>
              <w:left w:val="nil"/>
              <w:bottom w:val="single" w:sz="4" w:space="0" w:color="auto"/>
              <w:right w:val="single" w:sz="4" w:space="0" w:color="auto"/>
            </w:tcBorders>
            <w:shd w:val="clear" w:color="auto" w:fill="C6EFCE"/>
            <w:noWrap/>
            <w:vAlign w:val="center"/>
          </w:tcPr>
          <w:p w14:paraId="0BD00876"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Four pilot projects of the AI for the Common Good Institute completed, providing support services (such as training, development of proof of concepts of software solutions) to profit or non-profit organisations or public organisations in areas such as education in AI, healthcare, and employment in the Brussels Region.</w:t>
            </w:r>
          </w:p>
        </w:tc>
      </w:tr>
      <w:tr w:rsidR="009E4837" w:rsidRPr="001961AA" w14:paraId="5976ECD3" w14:textId="77777777" w:rsidTr="00032373">
        <w:trPr>
          <w:trHeight w:val="309"/>
          <w:jc w:val="center"/>
        </w:trPr>
        <w:tc>
          <w:tcPr>
            <w:tcW w:w="715" w:type="dxa"/>
            <w:tcBorders>
              <w:top w:val="nil"/>
              <w:left w:val="single" w:sz="4" w:space="0" w:color="auto"/>
              <w:bottom w:val="single" w:sz="4" w:space="0" w:color="auto"/>
              <w:right w:val="single" w:sz="4" w:space="0" w:color="auto"/>
            </w:tcBorders>
            <w:shd w:val="clear" w:color="auto" w:fill="C6EFCE"/>
            <w:noWrap/>
            <w:vAlign w:val="center"/>
          </w:tcPr>
          <w:p w14:paraId="4AA35283"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82</w:t>
            </w:r>
          </w:p>
        </w:tc>
        <w:tc>
          <w:tcPr>
            <w:tcW w:w="1832" w:type="dxa"/>
            <w:tcBorders>
              <w:top w:val="nil"/>
              <w:left w:val="nil"/>
              <w:bottom w:val="single" w:sz="4" w:space="0" w:color="auto"/>
              <w:right w:val="single" w:sz="4" w:space="0" w:color="auto"/>
            </w:tcBorders>
            <w:shd w:val="clear" w:color="auto" w:fill="C6EFCE"/>
            <w:noWrap/>
            <w:vAlign w:val="center"/>
          </w:tcPr>
          <w:p w14:paraId="76A1528A"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Development of an AI institute in order to use this technology to meet societal challenges (I-2.14)</w:t>
            </w:r>
          </w:p>
        </w:tc>
        <w:tc>
          <w:tcPr>
            <w:tcW w:w="1168" w:type="dxa"/>
            <w:tcBorders>
              <w:top w:val="nil"/>
              <w:left w:val="nil"/>
              <w:bottom w:val="single" w:sz="4" w:space="0" w:color="auto"/>
              <w:right w:val="single" w:sz="4" w:space="0" w:color="auto"/>
            </w:tcBorders>
            <w:shd w:val="clear" w:color="auto" w:fill="C6EFCE"/>
            <w:noWrap/>
            <w:vAlign w:val="center"/>
          </w:tcPr>
          <w:p w14:paraId="25E86801" w14:textId="7A6412E0"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M</w:t>
            </w:r>
          </w:p>
        </w:tc>
        <w:tc>
          <w:tcPr>
            <w:tcW w:w="1440" w:type="dxa"/>
            <w:tcBorders>
              <w:top w:val="nil"/>
              <w:left w:val="nil"/>
              <w:bottom w:val="single" w:sz="4" w:space="0" w:color="auto"/>
              <w:right w:val="single" w:sz="4" w:space="0" w:color="auto"/>
            </w:tcBorders>
            <w:shd w:val="clear" w:color="auto" w:fill="C6EFCE"/>
            <w:noWrap/>
            <w:vAlign w:val="center"/>
          </w:tcPr>
          <w:p w14:paraId="5FEAA92E"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Team of experts created within the AI for the Common Good Institute</w:t>
            </w:r>
          </w:p>
        </w:tc>
        <w:tc>
          <w:tcPr>
            <w:tcW w:w="1920" w:type="dxa"/>
            <w:tcBorders>
              <w:top w:val="nil"/>
              <w:left w:val="nil"/>
              <w:bottom w:val="single" w:sz="4" w:space="0" w:color="auto"/>
              <w:right w:val="single" w:sz="4" w:space="0" w:color="auto"/>
            </w:tcBorders>
            <w:shd w:val="clear" w:color="auto" w:fill="C6EFCE"/>
            <w:noWrap/>
            <w:vAlign w:val="center"/>
          </w:tcPr>
          <w:p w14:paraId="48693A1A"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Multi-disciplinary team of experts on AI, Data &amp; Robotics created within the AI for the Common Good Institute</w:t>
            </w:r>
          </w:p>
        </w:tc>
        <w:tc>
          <w:tcPr>
            <w:tcW w:w="1320" w:type="dxa"/>
            <w:tcBorders>
              <w:top w:val="nil"/>
              <w:left w:val="nil"/>
              <w:bottom w:val="single" w:sz="4" w:space="0" w:color="auto"/>
              <w:right w:val="single" w:sz="4" w:space="0" w:color="auto"/>
            </w:tcBorders>
            <w:shd w:val="clear" w:color="auto" w:fill="C6EFCE"/>
            <w:noWrap/>
            <w:vAlign w:val="center"/>
          </w:tcPr>
          <w:p w14:paraId="07E6E2F9" w14:textId="77777777"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1200" w:type="dxa"/>
            <w:tcBorders>
              <w:top w:val="nil"/>
              <w:left w:val="nil"/>
              <w:bottom w:val="single" w:sz="4" w:space="0" w:color="auto"/>
              <w:right w:val="single" w:sz="4" w:space="0" w:color="auto"/>
            </w:tcBorders>
            <w:shd w:val="clear" w:color="auto" w:fill="C6EFCE"/>
            <w:noWrap/>
            <w:vAlign w:val="center"/>
          </w:tcPr>
          <w:p w14:paraId="3F9E10AC" w14:textId="77777777"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1080" w:type="dxa"/>
            <w:tcBorders>
              <w:top w:val="nil"/>
              <w:left w:val="nil"/>
              <w:bottom w:val="single" w:sz="4" w:space="0" w:color="auto"/>
              <w:right w:val="single" w:sz="4" w:space="0" w:color="auto"/>
            </w:tcBorders>
            <w:shd w:val="clear" w:color="auto" w:fill="C6EFCE"/>
            <w:noWrap/>
            <w:vAlign w:val="center"/>
          </w:tcPr>
          <w:p w14:paraId="2DF26263" w14:textId="77777777"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1080" w:type="dxa"/>
            <w:tcBorders>
              <w:top w:val="nil"/>
              <w:left w:val="nil"/>
              <w:bottom w:val="single" w:sz="4" w:space="0" w:color="auto"/>
              <w:right w:val="single" w:sz="4" w:space="0" w:color="auto"/>
            </w:tcBorders>
            <w:shd w:val="clear" w:color="auto" w:fill="C6EFCE"/>
            <w:noWrap/>
            <w:vAlign w:val="center"/>
          </w:tcPr>
          <w:p w14:paraId="46B549E1"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Q4</w:t>
            </w:r>
          </w:p>
        </w:tc>
        <w:tc>
          <w:tcPr>
            <w:tcW w:w="720" w:type="dxa"/>
            <w:tcBorders>
              <w:top w:val="nil"/>
              <w:left w:val="nil"/>
              <w:bottom w:val="single" w:sz="4" w:space="0" w:color="auto"/>
              <w:right w:val="single" w:sz="4" w:space="0" w:color="auto"/>
            </w:tcBorders>
            <w:shd w:val="clear" w:color="auto" w:fill="C6EFCE"/>
            <w:noWrap/>
            <w:vAlign w:val="center"/>
          </w:tcPr>
          <w:p w14:paraId="33E01561"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2023</w:t>
            </w:r>
          </w:p>
        </w:tc>
        <w:tc>
          <w:tcPr>
            <w:tcW w:w="3027" w:type="dxa"/>
            <w:tcBorders>
              <w:top w:val="nil"/>
              <w:left w:val="nil"/>
              <w:bottom w:val="single" w:sz="4" w:space="0" w:color="auto"/>
              <w:right w:val="single" w:sz="4" w:space="0" w:color="auto"/>
            </w:tcBorders>
            <w:shd w:val="clear" w:color="auto" w:fill="C6EFCE"/>
            <w:noWrap/>
            <w:vAlign w:val="center"/>
          </w:tcPr>
          <w:p w14:paraId="36A0FF82"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A multi-disciplinary team of experts on AI, Data &amp; Robotics within the AI for the Common Good Institute is created and shall be ready to support public services provided by the Brussels-Capital Region and to the digital transition of this region.</w:t>
            </w:r>
          </w:p>
        </w:tc>
      </w:tr>
      <w:tr w:rsidR="009E4837" w:rsidRPr="001961AA" w14:paraId="00850065" w14:textId="77777777" w:rsidTr="00032373">
        <w:trPr>
          <w:trHeight w:val="309"/>
          <w:jc w:val="center"/>
        </w:trPr>
        <w:tc>
          <w:tcPr>
            <w:tcW w:w="715" w:type="dxa"/>
            <w:tcBorders>
              <w:top w:val="nil"/>
              <w:left w:val="single" w:sz="4" w:space="0" w:color="auto"/>
              <w:bottom w:val="single" w:sz="4" w:space="0" w:color="auto"/>
              <w:right w:val="single" w:sz="4" w:space="0" w:color="auto"/>
            </w:tcBorders>
            <w:shd w:val="clear" w:color="auto" w:fill="C6EFCE"/>
            <w:noWrap/>
            <w:vAlign w:val="center"/>
          </w:tcPr>
          <w:p w14:paraId="4268493F"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83</w:t>
            </w:r>
          </w:p>
        </w:tc>
        <w:tc>
          <w:tcPr>
            <w:tcW w:w="1832" w:type="dxa"/>
            <w:tcBorders>
              <w:top w:val="nil"/>
              <w:left w:val="nil"/>
              <w:bottom w:val="single" w:sz="4" w:space="0" w:color="auto"/>
              <w:right w:val="single" w:sz="4" w:space="0" w:color="auto"/>
            </w:tcBorders>
            <w:shd w:val="clear" w:color="auto" w:fill="C6EFCE"/>
            <w:noWrap/>
            <w:vAlign w:val="center"/>
          </w:tcPr>
          <w:p w14:paraId="35CED39F"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Development of an AI institute in order to use this technology to meet societal challenges (I-2.14)</w:t>
            </w:r>
          </w:p>
        </w:tc>
        <w:tc>
          <w:tcPr>
            <w:tcW w:w="1168" w:type="dxa"/>
            <w:tcBorders>
              <w:top w:val="nil"/>
              <w:left w:val="nil"/>
              <w:bottom w:val="single" w:sz="4" w:space="0" w:color="auto"/>
              <w:right w:val="single" w:sz="4" w:space="0" w:color="auto"/>
            </w:tcBorders>
            <w:shd w:val="clear" w:color="auto" w:fill="C6EFCE"/>
            <w:noWrap/>
            <w:vAlign w:val="center"/>
          </w:tcPr>
          <w:p w14:paraId="5A995D84" w14:textId="163580CA"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T</w:t>
            </w:r>
          </w:p>
        </w:tc>
        <w:tc>
          <w:tcPr>
            <w:tcW w:w="1440" w:type="dxa"/>
            <w:tcBorders>
              <w:top w:val="nil"/>
              <w:left w:val="nil"/>
              <w:bottom w:val="single" w:sz="4" w:space="0" w:color="auto"/>
              <w:right w:val="single" w:sz="4" w:space="0" w:color="auto"/>
            </w:tcBorders>
            <w:shd w:val="clear" w:color="auto" w:fill="C6EFCE"/>
            <w:noWrap/>
            <w:vAlign w:val="center"/>
          </w:tcPr>
          <w:p w14:paraId="48A57A3A"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AI services delivered by the AI for the Common Good Institute</w:t>
            </w:r>
          </w:p>
        </w:tc>
        <w:tc>
          <w:tcPr>
            <w:tcW w:w="1920" w:type="dxa"/>
            <w:tcBorders>
              <w:top w:val="nil"/>
              <w:left w:val="nil"/>
              <w:bottom w:val="single" w:sz="4" w:space="0" w:color="auto"/>
              <w:right w:val="single" w:sz="4" w:space="0" w:color="auto"/>
            </w:tcBorders>
            <w:shd w:val="clear" w:color="auto" w:fill="C6EFCE"/>
            <w:noWrap/>
            <w:vAlign w:val="center"/>
          </w:tcPr>
          <w:p w14:paraId="0F4EE4C8" w14:textId="77777777"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1320" w:type="dxa"/>
            <w:tcBorders>
              <w:top w:val="nil"/>
              <w:left w:val="nil"/>
              <w:bottom w:val="single" w:sz="4" w:space="0" w:color="auto"/>
              <w:right w:val="single" w:sz="4" w:space="0" w:color="auto"/>
            </w:tcBorders>
            <w:shd w:val="clear" w:color="auto" w:fill="C6EFCE"/>
            <w:noWrap/>
            <w:vAlign w:val="center"/>
          </w:tcPr>
          <w:p w14:paraId="60AB7ABC"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Number</w:t>
            </w:r>
          </w:p>
        </w:tc>
        <w:tc>
          <w:tcPr>
            <w:tcW w:w="1200" w:type="dxa"/>
            <w:tcBorders>
              <w:top w:val="nil"/>
              <w:left w:val="nil"/>
              <w:bottom w:val="single" w:sz="4" w:space="0" w:color="auto"/>
              <w:right w:val="single" w:sz="4" w:space="0" w:color="auto"/>
            </w:tcBorders>
            <w:shd w:val="clear" w:color="auto" w:fill="C6EFCE"/>
            <w:noWrap/>
            <w:vAlign w:val="center"/>
          </w:tcPr>
          <w:p w14:paraId="2D907356"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0</w:t>
            </w:r>
          </w:p>
        </w:tc>
        <w:tc>
          <w:tcPr>
            <w:tcW w:w="1080" w:type="dxa"/>
            <w:tcBorders>
              <w:top w:val="nil"/>
              <w:left w:val="nil"/>
              <w:bottom w:val="single" w:sz="4" w:space="0" w:color="auto"/>
              <w:right w:val="single" w:sz="4" w:space="0" w:color="auto"/>
            </w:tcBorders>
            <w:shd w:val="clear" w:color="auto" w:fill="C6EFCE"/>
            <w:noWrap/>
            <w:vAlign w:val="center"/>
          </w:tcPr>
          <w:p w14:paraId="19A57972"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3</w:t>
            </w:r>
          </w:p>
        </w:tc>
        <w:tc>
          <w:tcPr>
            <w:tcW w:w="1080" w:type="dxa"/>
            <w:tcBorders>
              <w:top w:val="nil"/>
              <w:left w:val="nil"/>
              <w:bottom w:val="single" w:sz="4" w:space="0" w:color="auto"/>
              <w:right w:val="single" w:sz="4" w:space="0" w:color="auto"/>
            </w:tcBorders>
            <w:shd w:val="clear" w:color="auto" w:fill="C6EFCE"/>
            <w:noWrap/>
            <w:vAlign w:val="center"/>
          </w:tcPr>
          <w:p w14:paraId="7C30BDA9"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Q4</w:t>
            </w:r>
          </w:p>
        </w:tc>
        <w:tc>
          <w:tcPr>
            <w:tcW w:w="720" w:type="dxa"/>
            <w:tcBorders>
              <w:top w:val="nil"/>
              <w:left w:val="nil"/>
              <w:bottom w:val="single" w:sz="4" w:space="0" w:color="auto"/>
              <w:right w:val="single" w:sz="4" w:space="0" w:color="auto"/>
            </w:tcBorders>
            <w:shd w:val="clear" w:color="auto" w:fill="C6EFCE"/>
            <w:noWrap/>
            <w:vAlign w:val="center"/>
          </w:tcPr>
          <w:p w14:paraId="74E905E3"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2024</w:t>
            </w:r>
          </w:p>
        </w:tc>
        <w:tc>
          <w:tcPr>
            <w:tcW w:w="3027" w:type="dxa"/>
            <w:tcBorders>
              <w:top w:val="nil"/>
              <w:left w:val="nil"/>
              <w:bottom w:val="single" w:sz="4" w:space="0" w:color="auto"/>
              <w:right w:val="single" w:sz="4" w:space="0" w:color="auto"/>
            </w:tcBorders>
            <w:shd w:val="clear" w:color="auto" w:fill="C6EFCE"/>
            <w:noWrap/>
            <w:vAlign w:val="center"/>
          </w:tcPr>
          <w:p w14:paraId="2A93BB4B"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Three AI services by the AI for the Common Good Institute delivered to local authorities, i.e. digital twin support, trainings and advisory activities related to citizen services (such as engagement).</w:t>
            </w:r>
          </w:p>
        </w:tc>
      </w:tr>
      <w:tr w:rsidR="009E4837" w:rsidRPr="001961AA" w14:paraId="10A71E4D" w14:textId="77777777" w:rsidTr="00032373">
        <w:trPr>
          <w:trHeight w:val="309"/>
          <w:jc w:val="center"/>
        </w:trPr>
        <w:tc>
          <w:tcPr>
            <w:tcW w:w="715" w:type="dxa"/>
            <w:tcBorders>
              <w:top w:val="nil"/>
              <w:left w:val="single" w:sz="4" w:space="0" w:color="auto"/>
              <w:bottom w:val="single" w:sz="4" w:space="0" w:color="auto"/>
              <w:right w:val="single" w:sz="4" w:space="0" w:color="auto"/>
            </w:tcBorders>
            <w:shd w:val="clear" w:color="auto" w:fill="C6EFCE"/>
            <w:noWrap/>
            <w:vAlign w:val="center"/>
          </w:tcPr>
          <w:p w14:paraId="096CD57F"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84</w:t>
            </w:r>
          </w:p>
        </w:tc>
        <w:tc>
          <w:tcPr>
            <w:tcW w:w="1832" w:type="dxa"/>
            <w:tcBorders>
              <w:top w:val="nil"/>
              <w:left w:val="nil"/>
              <w:bottom w:val="single" w:sz="4" w:space="0" w:color="auto"/>
              <w:right w:val="single" w:sz="4" w:space="0" w:color="auto"/>
            </w:tcBorders>
            <w:shd w:val="clear" w:color="auto" w:fill="C6EFCE"/>
            <w:noWrap/>
            <w:vAlign w:val="center"/>
          </w:tcPr>
          <w:p w14:paraId="2F472276" w14:textId="748D6BF0"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Improving the connectivity of 35 business parks in Wallonia (I-2.15)</w:t>
            </w:r>
          </w:p>
        </w:tc>
        <w:tc>
          <w:tcPr>
            <w:tcW w:w="1168" w:type="dxa"/>
            <w:tcBorders>
              <w:top w:val="nil"/>
              <w:left w:val="nil"/>
              <w:bottom w:val="single" w:sz="4" w:space="0" w:color="auto"/>
              <w:right w:val="single" w:sz="4" w:space="0" w:color="auto"/>
            </w:tcBorders>
            <w:shd w:val="clear" w:color="auto" w:fill="C6EFCE"/>
            <w:noWrap/>
            <w:vAlign w:val="center"/>
          </w:tcPr>
          <w:p w14:paraId="5701C61F" w14:textId="263F6F9F"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T</w:t>
            </w:r>
          </w:p>
        </w:tc>
        <w:tc>
          <w:tcPr>
            <w:tcW w:w="1440" w:type="dxa"/>
            <w:tcBorders>
              <w:top w:val="nil"/>
              <w:left w:val="nil"/>
              <w:bottom w:val="single" w:sz="4" w:space="0" w:color="auto"/>
              <w:right w:val="single" w:sz="4" w:space="0" w:color="auto"/>
            </w:tcBorders>
            <w:shd w:val="clear" w:color="auto" w:fill="C6EFCE"/>
            <w:noWrap/>
            <w:vAlign w:val="center"/>
          </w:tcPr>
          <w:p w14:paraId="7A1A6CC3" w14:textId="44D64275"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Fibre connectivity for 35 business parks</w:t>
            </w:r>
          </w:p>
        </w:tc>
        <w:tc>
          <w:tcPr>
            <w:tcW w:w="1920" w:type="dxa"/>
            <w:tcBorders>
              <w:top w:val="nil"/>
              <w:left w:val="nil"/>
              <w:bottom w:val="single" w:sz="4" w:space="0" w:color="auto"/>
              <w:right w:val="single" w:sz="4" w:space="0" w:color="auto"/>
            </w:tcBorders>
            <w:shd w:val="clear" w:color="auto" w:fill="C6EFCE"/>
            <w:noWrap/>
            <w:vAlign w:val="center"/>
          </w:tcPr>
          <w:p w14:paraId="62CB60BC" w14:textId="77777777"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1320" w:type="dxa"/>
            <w:tcBorders>
              <w:top w:val="nil"/>
              <w:left w:val="nil"/>
              <w:bottom w:val="single" w:sz="4" w:space="0" w:color="auto"/>
              <w:right w:val="single" w:sz="4" w:space="0" w:color="auto"/>
            </w:tcBorders>
            <w:shd w:val="clear" w:color="auto" w:fill="C6EFCE"/>
            <w:noWrap/>
            <w:vAlign w:val="center"/>
          </w:tcPr>
          <w:p w14:paraId="2F4AFBB7"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Number</w:t>
            </w:r>
          </w:p>
        </w:tc>
        <w:tc>
          <w:tcPr>
            <w:tcW w:w="1200" w:type="dxa"/>
            <w:tcBorders>
              <w:top w:val="nil"/>
              <w:left w:val="nil"/>
              <w:bottom w:val="single" w:sz="4" w:space="0" w:color="auto"/>
              <w:right w:val="single" w:sz="4" w:space="0" w:color="auto"/>
            </w:tcBorders>
            <w:shd w:val="clear" w:color="auto" w:fill="C6EFCE"/>
            <w:noWrap/>
            <w:vAlign w:val="center"/>
          </w:tcPr>
          <w:p w14:paraId="6AA77923"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0</w:t>
            </w:r>
          </w:p>
        </w:tc>
        <w:tc>
          <w:tcPr>
            <w:tcW w:w="1080" w:type="dxa"/>
            <w:tcBorders>
              <w:top w:val="nil"/>
              <w:left w:val="nil"/>
              <w:bottom w:val="single" w:sz="4" w:space="0" w:color="auto"/>
              <w:right w:val="single" w:sz="4" w:space="0" w:color="auto"/>
            </w:tcBorders>
            <w:shd w:val="clear" w:color="auto" w:fill="C6EFCE"/>
            <w:noWrap/>
            <w:vAlign w:val="center"/>
          </w:tcPr>
          <w:p w14:paraId="35DF35DE"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35</w:t>
            </w:r>
          </w:p>
        </w:tc>
        <w:tc>
          <w:tcPr>
            <w:tcW w:w="1080" w:type="dxa"/>
            <w:tcBorders>
              <w:top w:val="nil"/>
              <w:left w:val="nil"/>
              <w:bottom w:val="single" w:sz="4" w:space="0" w:color="auto"/>
              <w:right w:val="single" w:sz="4" w:space="0" w:color="auto"/>
            </w:tcBorders>
            <w:shd w:val="clear" w:color="auto" w:fill="C6EFCE"/>
            <w:noWrap/>
            <w:vAlign w:val="center"/>
          </w:tcPr>
          <w:p w14:paraId="4F224CAE"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Q4</w:t>
            </w:r>
          </w:p>
        </w:tc>
        <w:tc>
          <w:tcPr>
            <w:tcW w:w="720" w:type="dxa"/>
            <w:tcBorders>
              <w:top w:val="nil"/>
              <w:left w:val="nil"/>
              <w:bottom w:val="single" w:sz="4" w:space="0" w:color="auto"/>
              <w:right w:val="single" w:sz="4" w:space="0" w:color="auto"/>
            </w:tcBorders>
            <w:shd w:val="clear" w:color="auto" w:fill="C6EFCE"/>
            <w:noWrap/>
            <w:vAlign w:val="center"/>
          </w:tcPr>
          <w:p w14:paraId="71E4908A"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2025</w:t>
            </w:r>
          </w:p>
        </w:tc>
        <w:tc>
          <w:tcPr>
            <w:tcW w:w="3027" w:type="dxa"/>
            <w:tcBorders>
              <w:top w:val="nil"/>
              <w:left w:val="nil"/>
              <w:bottom w:val="single" w:sz="4" w:space="0" w:color="auto"/>
              <w:right w:val="single" w:sz="4" w:space="0" w:color="auto"/>
            </w:tcBorders>
            <w:shd w:val="clear" w:color="auto" w:fill="C6EFCE"/>
            <w:noWrap/>
            <w:vAlign w:val="center"/>
          </w:tcPr>
          <w:p w14:paraId="6889FC76"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35 public regional business parks in Wallonia receive access to fixed very high-capacity fibre networks.</w:t>
            </w:r>
          </w:p>
        </w:tc>
      </w:tr>
      <w:tr w:rsidR="009E4837" w:rsidRPr="001961AA" w14:paraId="408F66A6" w14:textId="77777777" w:rsidTr="00032373">
        <w:trPr>
          <w:trHeight w:val="309"/>
          <w:jc w:val="center"/>
        </w:trPr>
        <w:tc>
          <w:tcPr>
            <w:tcW w:w="71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F250C7C"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89</w:t>
            </w:r>
          </w:p>
        </w:tc>
        <w:tc>
          <w:tcPr>
            <w:tcW w:w="1832" w:type="dxa"/>
            <w:tcBorders>
              <w:top w:val="single" w:sz="4" w:space="0" w:color="auto"/>
              <w:left w:val="nil"/>
              <w:bottom w:val="single" w:sz="4" w:space="0" w:color="auto"/>
              <w:right w:val="single" w:sz="4" w:space="0" w:color="auto"/>
            </w:tcBorders>
            <w:shd w:val="clear" w:color="auto" w:fill="C6EFCE"/>
            <w:noWrap/>
            <w:vAlign w:val="center"/>
          </w:tcPr>
          <w:p w14:paraId="1B5CB77B"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Introduction of 5G – National fixed and mobile broadband plan (R-2.03)</w:t>
            </w:r>
          </w:p>
        </w:tc>
        <w:tc>
          <w:tcPr>
            <w:tcW w:w="1168" w:type="dxa"/>
            <w:tcBorders>
              <w:top w:val="single" w:sz="4" w:space="0" w:color="auto"/>
              <w:left w:val="nil"/>
              <w:bottom w:val="single" w:sz="4" w:space="0" w:color="auto"/>
              <w:right w:val="single" w:sz="4" w:space="0" w:color="auto"/>
            </w:tcBorders>
            <w:shd w:val="clear" w:color="auto" w:fill="C6EFCE"/>
            <w:noWrap/>
            <w:vAlign w:val="center"/>
          </w:tcPr>
          <w:p w14:paraId="4EF7B9A2" w14:textId="48D517AA" w:rsidR="006A41D9" w:rsidRPr="001961AA" w:rsidRDefault="006A41D9" w:rsidP="00BD6DD1">
            <w:pPr>
              <w:spacing w:after="0"/>
              <w:rPr>
                <w:rFonts w:ascii="Times New Roman" w:eastAsia="Times New Roman" w:hAnsi="Times New Roman" w:cs="Times New Roman"/>
                <w:noProof/>
                <w:color w:val="006100"/>
                <w:highlight w:val="yellow"/>
                <w:lang w:val="en-GB"/>
              </w:rPr>
            </w:pPr>
            <w:r w:rsidRPr="001961AA">
              <w:rPr>
                <w:rFonts w:ascii="Times New Roman" w:hAnsi="Times New Roman"/>
                <w:noProof/>
                <w:color w:val="006100"/>
                <w:lang w:val="en-GB"/>
              </w:rPr>
              <w:t>M</w:t>
            </w:r>
          </w:p>
        </w:tc>
        <w:tc>
          <w:tcPr>
            <w:tcW w:w="1440" w:type="dxa"/>
            <w:tcBorders>
              <w:top w:val="single" w:sz="4" w:space="0" w:color="auto"/>
              <w:left w:val="nil"/>
              <w:bottom w:val="single" w:sz="4" w:space="0" w:color="auto"/>
              <w:right w:val="single" w:sz="4" w:space="0" w:color="auto"/>
            </w:tcBorders>
            <w:shd w:val="clear" w:color="auto" w:fill="C6EFCE"/>
            <w:noWrap/>
            <w:vAlign w:val="center"/>
          </w:tcPr>
          <w:p w14:paraId="10994E6D" w14:textId="3F15DD44"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EU Connectivity Toolbox</w:t>
            </w:r>
          </w:p>
        </w:tc>
        <w:tc>
          <w:tcPr>
            <w:tcW w:w="1920" w:type="dxa"/>
            <w:tcBorders>
              <w:top w:val="single" w:sz="4" w:space="0" w:color="auto"/>
              <w:left w:val="nil"/>
              <w:bottom w:val="single" w:sz="4" w:space="0" w:color="auto"/>
              <w:right w:val="single" w:sz="4" w:space="0" w:color="auto"/>
            </w:tcBorders>
            <w:shd w:val="clear" w:color="auto" w:fill="C6EFCE"/>
            <w:noWrap/>
            <w:vAlign w:val="center"/>
          </w:tcPr>
          <w:p w14:paraId="64626584"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EU Connectivity Toolbox implemented, including roadmap</w:t>
            </w:r>
          </w:p>
        </w:tc>
        <w:tc>
          <w:tcPr>
            <w:tcW w:w="1320" w:type="dxa"/>
            <w:tcBorders>
              <w:top w:val="single" w:sz="4" w:space="0" w:color="auto"/>
              <w:left w:val="nil"/>
              <w:bottom w:val="single" w:sz="4" w:space="0" w:color="auto"/>
              <w:right w:val="single" w:sz="4" w:space="0" w:color="auto"/>
            </w:tcBorders>
            <w:shd w:val="clear" w:color="auto" w:fill="C6EFCE"/>
            <w:noWrap/>
            <w:vAlign w:val="center"/>
          </w:tcPr>
          <w:p w14:paraId="2DDD6274" w14:textId="77777777"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1200" w:type="dxa"/>
            <w:tcBorders>
              <w:top w:val="single" w:sz="4" w:space="0" w:color="auto"/>
              <w:left w:val="nil"/>
              <w:bottom w:val="single" w:sz="4" w:space="0" w:color="auto"/>
              <w:right w:val="single" w:sz="4" w:space="0" w:color="auto"/>
            </w:tcBorders>
            <w:shd w:val="clear" w:color="auto" w:fill="C6EFCE"/>
            <w:noWrap/>
            <w:vAlign w:val="center"/>
          </w:tcPr>
          <w:p w14:paraId="2116CC64" w14:textId="77777777"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1080" w:type="dxa"/>
            <w:tcBorders>
              <w:top w:val="single" w:sz="4" w:space="0" w:color="auto"/>
              <w:left w:val="nil"/>
              <w:bottom w:val="single" w:sz="4" w:space="0" w:color="auto"/>
              <w:right w:val="single" w:sz="4" w:space="0" w:color="auto"/>
            </w:tcBorders>
            <w:shd w:val="clear" w:color="auto" w:fill="C6EFCE"/>
            <w:noWrap/>
            <w:vAlign w:val="center"/>
          </w:tcPr>
          <w:p w14:paraId="02ABE06A" w14:textId="77777777"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1080" w:type="dxa"/>
            <w:tcBorders>
              <w:top w:val="single" w:sz="4" w:space="0" w:color="auto"/>
              <w:left w:val="nil"/>
              <w:bottom w:val="single" w:sz="4" w:space="0" w:color="auto"/>
              <w:right w:val="single" w:sz="4" w:space="0" w:color="auto"/>
            </w:tcBorders>
            <w:shd w:val="clear" w:color="auto" w:fill="C6EFCE"/>
            <w:noWrap/>
            <w:vAlign w:val="center"/>
          </w:tcPr>
          <w:p w14:paraId="16CCEBF2"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Q2</w:t>
            </w:r>
          </w:p>
        </w:tc>
        <w:tc>
          <w:tcPr>
            <w:tcW w:w="720" w:type="dxa"/>
            <w:tcBorders>
              <w:top w:val="single" w:sz="4" w:space="0" w:color="auto"/>
              <w:left w:val="nil"/>
              <w:bottom w:val="single" w:sz="4" w:space="0" w:color="auto"/>
              <w:right w:val="single" w:sz="4" w:space="0" w:color="auto"/>
            </w:tcBorders>
            <w:shd w:val="clear" w:color="auto" w:fill="C6EFCE"/>
            <w:noWrap/>
            <w:vAlign w:val="center"/>
          </w:tcPr>
          <w:p w14:paraId="4E84678D"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2021</w:t>
            </w:r>
          </w:p>
        </w:tc>
        <w:tc>
          <w:tcPr>
            <w:tcW w:w="3027" w:type="dxa"/>
            <w:tcBorders>
              <w:top w:val="single" w:sz="4" w:space="0" w:color="auto"/>
              <w:left w:val="nil"/>
              <w:bottom w:val="single" w:sz="4" w:space="0" w:color="auto"/>
              <w:right w:val="single" w:sz="4" w:space="0" w:color="auto"/>
            </w:tcBorders>
            <w:shd w:val="clear" w:color="auto" w:fill="C6EFCE"/>
            <w:noWrap/>
            <w:vAlign w:val="center"/>
          </w:tcPr>
          <w:p w14:paraId="48856563"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Plan to implement EU Connectivity Toolbox best practices adopted, including the adoption of a roadmap towards simplifying the licensing and permitting procedures relevant for the rollout of 5G and very high capacity networks, such as fibre.</w:t>
            </w:r>
          </w:p>
        </w:tc>
      </w:tr>
      <w:tr w:rsidR="009E4837" w:rsidRPr="001961AA" w14:paraId="0808D025" w14:textId="77777777" w:rsidTr="00032373">
        <w:trPr>
          <w:trHeight w:val="309"/>
          <w:jc w:val="center"/>
        </w:trPr>
        <w:tc>
          <w:tcPr>
            <w:tcW w:w="71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861C66B"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90</w:t>
            </w:r>
          </w:p>
        </w:tc>
        <w:tc>
          <w:tcPr>
            <w:tcW w:w="1832" w:type="dxa"/>
            <w:tcBorders>
              <w:top w:val="single" w:sz="4" w:space="0" w:color="auto"/>
              <w:left w:val="nil"/>
              <w:bottom w:val="single" w:sz="4" w:space="0" w:color="auto"/>
              <w:right w:val="single" w:sz="4" w:space="0" w:color="auto"/>
            </w:tcBorders>
            <w:shd w:val="clear" w:color="auto" w:fill="C6EFCE"/>
            <w:noWrap/>
            <w:vAlign w:val="center"/>
          </w:tcPr>
          <w:p w14:paraId="3A05E817"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Introduction of 5G – National fixed and mobile broadband plan (R-2.03)</w:t>
            </w:r>
          </w:p>
        </w:tc>
        <w:tc>
          <w:tcPr>
            <w:tcW w:w="1168" w:type="dxa"/>
            <w:tcBorders>
              <w:top w:val="single" w:sz="4" w:space="0" w:color="auto"/>
              <w:left w:val="nil"/>
              <w:bottom w:val="single" w:sz="4" w:space="0" w:color="auto"/>
              <w:right w:val="single" w:sz="4" w:space="0" w:color="auto"/>
            </w:tcBorders>
            <w:shd w:val="clear" w:color="auto" w:fill="C6EFCE"/>
            <w:noWrap/>
            <w:vAlign w:val="center"/>
          </w:tcPr>
          <w:p w14:paraId="0FA57F71" w14:textId="74BB5AA5"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M</w:t>
            </w:r>
          </w:p>
        </w:tc>
        <w:tc>
          <w:tcPr>
            <w:tcW w:w="1440" w:type="dxa"/>
            <w:tcBorders>
              <w:top w:val="single" w:sz="4" w:space="0" w:color="auto"/>
              <w:left w:val="nil"/>
              <w:bottom w:val="single" w:sz="4" w:space="0" w:color="auto"/>
              <w:right w:val="single" w:sz="4" w:space="0" w:color="auto"/>
            </w:tcBorders>
            <w:shd w:val="clear" w:color="auto" w:fill="C6EFCE"/>
            <w:noWrap/>
            <w:vAlign w:val="center"/>
          </w:tcPr>
          <w:p w14:paraId="5B16D7A8"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 xml:space="preserve">Publication of 5G spectrum assignment legislative framework </w:t>
            </w:r>
          </w:p>
        </w:tc>
        <w:tc>
          <w:tcPr>
            <w:tcW w:w="1920" w:type="dxa"/>
            <w:tcBorders>
              <w:top w:val="single" w:sz="4" w:space="0" w:color="auto"/>
              <w:left w:val="nil"/>
              <w:bottom w:val="single" w:sz="4" w:space="0" w:color="auto"/>
              <w:right w:val="single" w:sz="4" w:space="0" w:color="auto"/>
            </w:tcBorders>
            <w:shd w:val="clear" w:color="auto" w:fill="C6EFCE"/>
            <w:noWrap/>
            <w:vAlign w:val="center"/>
          </w:tcPr>
          <w:p w14:paraId="165C3E6C"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Publication of the legislative framework for 5G spectrum assignment</w:t>
            </w:r>
          </w:p>
        </w:tc>
        <w:tc>
          <w:tcPr>
            <w:tcW w:w="1320" w:type="dxa"/>
            <w:tcBorders>
              <w:top w:val="single" w:sz="4" w:space="0" w:color="auto"/>
              <w:left w:val="nil"/>
              <w:bottom w:val="single" w:sz="4" w:space="0" w:color="auto"/>
              <w:right w:val="single" w:sz="4" w:space="0" w:color="auto"/>
            </w:tcBorders>
            <w:shd w:val="clear" w:color="auto" w:fill="C6EFCE"/>
            <w:noWrap/>
            <w:vAlign w:val="center"/>
          </w:tcPr>
          <w:p w14:paraId="6BD36868" w14:textId="77777777"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1200" w:type="dxa"/>
            <w:tcBorders>
              <w:top w:val="single" w:sz="4" w:space="0" w:color="auto"/>
              <w:left w:val="nil"/>
              <w:bottom w:val="single" w:sz="4" w:space="0" w:color="auto"/>
              <w:right w:val="single" w:sz="4" w:space="0" w:color="auto"/>
            </w:tcBorders>
            <w:shd w:val="clear" w:color="auto" w:fill="C6EFCE"/>
            <w:noWrap/>
            <w:vAlign w:val="center"/>
          </w:tcPr>
          <w:p w14:paraId="2859604F" w14:textId="77777777"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1080" w:type="dxa"/>
            <w:tcBorders>
              <w:top w:val="single" w:sz="4" w:space="0" w:color="auto"/>
              <w:left w:val="nil"/>
              <w:bottom w:val="single" w:sz="4" w:space="0" w:color="auto"/>
              <w:right w:val="single" w:sz="4" w:space="0" w:color="auto"/>
            </w:tcBorders>
            <w:shd w:val="clear" w:color="auto" w:fill="C6EFCE"/>
            <w:noWrap/>
            <w:vAlign w:val="center"/>
          </w:tcPr>
          <w:p w14:paraId="07D07A5D" w14:textId="77777777"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1080" w:type="dxa"/>
            <w:tcBorders>
              <w:top w:val="single" w:sz="4" w:space="0" w:color="auto"/>
              <w:left w:val="nil"/>
              <w:bottom w:val="single" w:sz="4" w:space="0" w:color="auto"/>
              <w:right w:val="single" w:sz="4" w:space="0" w:color="auto"/>
            </w:tcBorders>
            <w:shd w:val="clear" w:color="auto" w:fill="C6EFCE"/>
            <w:noWrap/>
            <w:vAlign w:val="center"/>
          </w:tcPr>
          <w:p w14:paraId="63F2F615"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Q4</w:t>
            </w:r>
          </w:p>
        </w:tc>
        <w:tc>
          <w:tcPr>
            <w:tcW w:w="720" w:type="dxa"/>
            <w:tcBorders>
              <w:top w:val="single" w:sz="4" w:space="0" w:color="auto"/>
              <w:left w:val="nil"/>
              <w:bottom w:val="single" w:sz="4" w:space="0" w:color="auto"/>
              <w:right w:val="single" w:sz="4" w:space="0" w:color="auto"/>
            </w:tcBorders>
            <w:shd w:val="clear" w:color="auto" w:fill="C6EFCE"/>
            <w:noWrap/>
            <w:vAlign w:val="center"/>
          </w:tcPr>
          <w:p w14:paraId="7AD77B96"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2021</w:t>
            </w:r>
          </w:p>
        </w:tc>
        <w:tc>
          <w:tcPr>
            <w:tcW w:w="3027" w:type="dxa"/>
            <w:tcBorders>
              <w:top w:val="single" w:sz="4" w:space="0" w:color="auto"/>
              <w:left w:val="nil"/>
              <w:bottom w:val="single" w:sz="4" w:space="0" w:color="auto"/>
              <w:right w:val="single" w:sz="4" w:space="0" w:color="auto"/>
            </w:tcBorders>
            <w:shd w:val="clear" w:color="auto" w:fill="C6EFCE"/>
            <w:noWrap/>
            <w:vAlign w:val="center"/>
          </w:tcPr>
          <w:p w14:paraId="37AD2247"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Publication of 5G law and Royal Decrees to assign EU pioneer radio spectrum bands as defined by the Radio Spectrum Policy Group for 5G networks under investment-friendly conditions.</w:t>
            </w:r>
          </w:p>
        </w:tc>
      </w:tr>
      <w:tr w:rsidR="009E4837" w:rsidRPr="001961AA" w14:paraId="08CF5AC0" w14:textId="77777777" w:rsidTr="00032373">
        <w:trPr>
          <w:trHeight w:val="309"/>
          <w:jc w:val="center"/>
        </w:trPr>
        <w:tc>
          <w:tcPr>
            <w:tcW w:w="71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525C074"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91</w:t>
            </w:r>
          </w:p>
        </w:tc>
        <w:tc>
          <w:tcPr>
            <w:tcW w:w="1832" w:type="dxa"/>
            <w:tcBorders>
              <w:top w:val="single" w:sz="4" w:space="0" w:color="auto"/>
              <w:left w:val="nil"/>
              <w:bottom w:val="single" w:sz="4" w:space="0" w:color="auto"/>
              <w:right w:val="single" w:sz="4" w:space="0" w:color="auto"/>
            </w:tcBorders>
            <w:shd w:val="clear" w:color="auto" w:fill="C6EFCE"/>
            <w:noWrap/>
            <w:vAlign w:val="center"/>
          </w:tcPr>
          <w:p w14:paraId="24551801"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Introduction of 5G – National fixed and mobile broadband plan (R-2.03)</w:t>
            </w:r>
          </w:p>
        </w:tc>
        <w:tc>
          <w:tcPr>
            <w:tcW w:w="1168" w:type="dxa"/>
            <w:tcBorders>
              <w:top w:val="single" w:sz="4" w:space="0" w:color="auto"/>
              <w:left w:val="nil"/>
              <w:bottom w:val="single" w:sz="4" w:space="0" w:color="auto"/>
              <w:right w:val="single" w:sz="4" w:space="0" w:color="auto"/>
            </w:tcBorders>
            <w:shd w:val="clear" w:color="auto" w:fill="C6EFCE"/>
            <w:noWrap/>
            <w:vAlign w:val="center"/>
          </w:tcPr>
          <w:p w14:paraId="6F86AD7C" w14:textId="3658CA31"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M</w:t>
            </w:r>
          </w:p>
        </w:tc>
        <w:tc>
          <w:tcPr>
            <w:tcW w:w="1440" w:type="dxa"/>
            <w:tcBorders>
              <w:top w:val="single" w:sz="4" w:space="0" w:color="auto"/>
              <w:left w:val="nil"/>
              <w:bottom w:val="single" w:sz="4" w:space="0" w:color="auto"/>
              <w:right w:val="single" w:sz="4" w:space="0" w:color="auto"/>
            </w:tcBorders>
            <w:shd w:val="clear" w:color="auto" w:fill="C6EFCE"/>
            <w:noWrap/>
            <w:vAlign w:val="center"/>
          </w:tcPr>
          <w:p w14:paraId="1CBA670F"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5G auction</w:t>
            </w:r>
          </w:p>
        </w:tc>
        <w:tc>
          <w:tcPr>
            <w:tcW w:w="1920" w:type="dxa"/>
            <w:tcBorders>
              <w:top w:val="single" w:sz="4" w:space="0" w:color="auto"/>
              <w:left w:val="nil"/>
              <w:bottom w:val="single" w:sz="4" w:space="0" w:color="auto"/>
              <w:right w:val="single" w:sz="4" w:space="0" w:color="auto"/>
            </w:tcBorders>
            <w:shd w:val="clear" w:color="auto" w:fill="C6EFCE"/>
            <w:noWrap/>
            <w:vAlign w:val="center"/>
          </w:tcPr>
          <w:p w14:paraId="36106B6A" w14:textId="6B1BCC2A" w:rsidR="006A41D9" w:rsidRPr="001961AA" w:rsidRDefault="006A41D9" w:rsidP="00BD6DD1">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 xml:space="preserve">Organisation and implementation of 5G auction by the Belgian Institute for postal services and telecommunications </w:t>
            </w:r>
          </w:p>
        </w:tc>
        <w:tc>
          <w:tcPr>
            <w:tcW w:w="1320" w:type="dxa"/>
            <w:tcBorders>
              <w:top w:val="single" w:sz="4" w:space="0" w:color="auto"/>
              <w:left w:val="nil"/>
              <w:bottom w:val="single" w:sz="4" w:space="0" w:color="auto"/>
              <w:right w:val="single" w:sz="4" w:space="0" w:color="auto"/>
            </w:tcBorders>
            <w:shd w:val="clear" w:color="auto" w:fill="C6EFCE"/>
            <w:noWrap/>
            <w:vAlign w:val="center"/>
          </w:tcPr>
          <w:p w14:paraId="2EF5877E" w14:textId="77777777"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1200" w:type="dxa"/>
            <w:tcBorders>
              <w:top w:val="single" w:sz="4" w:space="0" w:color="auto"/>
              <w:left w:val="nil"/>
              <w:bottom w:val="single" w:sz="4" w:space="0" w:color="auto"/>
              <w:right w:val="single" w:sz="4" w:space="0" w:color="auto"/>
            </w:tcBorders>
            <w:shd w:val="clear" w:color="auto" w:fill="C6EFCE"/>
            <w:noWrap/>
            <w:vAlign w:val="center"/>
          </w:tcPr>
          <w:p w14:paraId="1C5BB947" w14:textId="77777777"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1080" w:type="dxa"/>
            <w:tcBorders>
              <w:top w:val="single" w:sz="4" w:space="0" w:color="auto"/>
              <w:left w:val="nil"/>
              <w:bottom w:val="single" w:sz="4" w:space="0" w:color="auto"/>
              <w:right w:val="single" w:sz="4" w:space="0" w:color="auto"/>
            </w:tcBorders>
            <w:shd w:val="clear" w:color="auto" w:fill="C6EFCE"/>
            <w:noWrap/>
            <w:vAlign w:val="center"/>
          </w:tcPr>
          <w:p w14:paraId="05DF9DBB" w14:textId="77777777"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1080" w:type="dxa"/>
            <w:tcBorders>
              <w:top w:val="single" w:sz="4" w:space="0" w:color="auto"/>
              <w:left w:val="nil"/>
              <w:bottom w:val="single" w:sz="4" w:space="0" w:color="auto"/>
              <w:right w:val="single" w:sz="4" w:space="0" w:color="auto"/>
            </w:tcBorders>
            <w:shd w:val="clear" w:color="auto" w:fill="C6EFCE"/>
            <w:noWrap/>
            <w:vAlign w:val="center"/>
          </w:tcPr>
          <w:p w14:paraId="6EB2C69A"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Q2</w:t>
            </w:r>
          </w:p>
        </w:tc>
        <w:tc>
          <w:tcPr>
            <w:tcW w:w="720" w:type="dxa"/>
            <w:tcBorders>
              <w:top w:val="single" w:sz="4" w:space="0" w:color="auto"/>
              <w:left w:val="nil"/>
              <w:bottom w:val="single" w:sz="4" w:space="0" w:color="auto"/>
              <w:right w:val="single" w:sz="4" w:space="0" w:color="auto"/>
            </w:tcBorders>
            <w:shd w:val="clear" w:color="auto" w:fill="C6EFCE"/>
            <w:noWrap/>
            <w:vAlign w:val="center"/>
          </w:tcPr>
          <w:p w14:paraId="5B7A0093"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2022</w:t>
            </w:r>
          </w:p>
        </w:tc>
        <w:tc>
          <w:tcPr>
            <w:tcW w:w="3027" w:type="dxa"/>
            <w:tcBorders>
              <w:top w:val="single" w:sz="4" w:space="0" w:color="auto"/>
              <w:left w:val="nil"/>
              <w:bottom w:val="single" w:sz="4" w:space="0" w:color="auto"/>
              <w:right w:val="single" w:sz="4" w:space="0" w:color="auto"/>
            </w:tcBorders>
            <w:shd w:val="clear" w:color="auto" w:fill="C6EFCE"/>
            <w:noWrap/>
            <w:vAlign w:val="center"/>
          </w:tcPr>
          <w:p w14:paraId="7274E057" w14:textId="6D3D3F80"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Completion of 5G auction by the federal telecommunications regulator (Belgian Institute for Postal Services and Telecommunications), in particular: call for candidates,  licensing decision of Belgian Institute for Postal Services and Telecommunications.</w:t>
            </w:r>
          </w:p>
        </w:tc>
      </w:tr>
      <w:tr w:rsidR="009E4837" w:rsidRPr="001961AA" w14:paraId="1A557E6C" w14:textId="77777777" w:rsidTr="00032373">
        <w:trPr>
          <w:trHeight w:val="309"/>
          <w:jc w:val="center"/>
        </w:trPr>
        <w:tc>
          <w:tcPr>
            <w:tcW w:w="71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5D93605"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92</w:t>
            </w:r>
          </w:p>
        </w:tc>
        <w:tc>
          <w:tcPr>
            <w:tcW w:w="1832" w:type="dxa"/>
            <w:tcBorders>
              <w:top w:val="single" w:sz="4" w:space="0" w:color="auto"/>
              <w:left w:val="nil"/>
              <w:bottom w:val="single" w:sz="4" w:space="0" w:color="auto"/>
              <w:right w:val="single" w:sz="4" w:space="0" w:color="auto"/>
            </w:tcBorders>
            <w:shd w:val="clear" w:color="auto" w:fill="C6EFCE"/>
            <w:noWrap/>
            <w:vAlign w:val="center"/>
          </w:tcPr>
          <w:p w14:paraId="48FA0F1E"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Introduction of 5G – National fixed and mobile broadband plan (R-2.03)</w:t>
            </w:r>
          </w:p>
        </w:tc>
        <w:tc>
          <w:tcPr>
            <w:tcW w:w="1168" w:type="dxa"/>
            <w:tcBorders>
              <w:top w:val="single" w:sz="4" w:space="0" w:color="auto"/>
              <w:left w:val="nil"/>
              <w:bottom w:val="single" w:sz="4" w:space="0" w:color="auto"/>
              <w:right w:val="single" w:sz="4" w:space="0" w:color="auto"/>
            </w:tcBorders>
            <w:shd w:val="clear" w:color="auto" w:fill="C6EFCE"/>
            <w:noWrap/>
            <w:vAlign w:val="center"/>
          </w:tcPr>
          <w:p w14:paraId="3C22DFAB" w14:textId="7892F934"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M</w:t>
            </w:r>
          </w:p>
        </w:tc>
        <w:tc>
          <w:tcPr>
            <w:tcW w:w="1440" w:type="dxa"/>
            <w:tcBorders>
              <w:top w:val="single" w:sz="4" w:space="0" w:color="auto"/>
              <w:left w:val="nil"/>
              <w:bottom w:val="single" w:sz="4" w:space="0" w:color="auto"/>
              <w:right w:val="single" w:sz="4" w:space="0" w:color="auto"/>
            </w:tcBorders>
            <w:shd w:val="clear" w:color="auto" w:fill="C6EFCE"/>
            <w:noWrap/>
            <w:vAlign w:val="center"/>
          </w:tcPr>
          <w:p w14:paraId="20EB80EF"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Status Connectivi-ty Toolbox implementation</w:t>
            </w:r>
          </w:p>
        </w:tc>
        <w:tc>
          <w:tcPr>
            <w:tcW w:w="1920" w:type="dxa"/>
            <w:tcBorders>
              <w:top w:val="single" w:sz="4" w:space="0" w:color="auto"/>
              <w:left w:val="nil"/>
              <w:bottom w:val="single" w:sz="4" w:space="0" w:color="auto"/>
              <w:right w:val="single" w:sz="4" w:space="0" w:color="auto"/>
            </w:tcBorders>
            <w:shd w:val="clear" w:color="auto" w:fill="C6EFCE"/>
            <w:noWrap/>
            <w:vAlign w:val="center"/>
          </w:tcPr>
          <w:p w14:paraId="05BE1430"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Publication of a report on the state of play of implementation of the Connectivity Toolbox</w:t>
            </w:r>
          </w:p>
        </w:tc>
        <w:tc>
          <w:tcPr>
            <w:tcW w:w="1320" w:type="dxa"/>
            <w:tcBorders>
              <w:top w:val="single" w:sz="4" w:space="0" w:color="auto"/>
              <w:left w:val="nil"/>
              <w:bottom w:val="single" w:sz="4" w:space="0" w:color="auto"/>
              <w:right w:val="single" w:sz="4" w:space="0" w:color="auto"/>
            </w:tcBorders>
            <w:shd w:val="clear" w:color="auto" w:fill="C6EFCE"/>
            <w:noWrap/>
            <w:vAlign w:val="center"/>
          </w:tcPr>
          <w:p w14:paraId="6819343A" w14:textId="77777777"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1200" w:type="dxa"/>
            <w:tcBorders>
              <w:top w:val="single" w:sz="4" w:space="0" w:color="auto"/>
              <w:left w:val="nil"/>
              <w:bottom w:val="single" w:sz="4" w:space="0" w:color="auto"/>
              <w:right w:val="single" w:sz="4" w:space="0" w:color="auto"/>
            </w:tcBorders>
            <w:shd w:val="clear" w:color="auto" w:fill="C6EFCE"/>
            <w:noWrap/>
            <w:vAlign w:val="center"/>
          </w:tcPr>
          <w:p w14:paraId="29F57727" w14:textId="77777777"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1080" w:type="dxa"/>
            <w:tcBorders>
              <w:top w:val="single" w:sz="4" w:space="0" w:color="auto"/>
              <w:left w:val="nil"/>
              <w:bottom w:val="single" w:sz="4" w:space="0" w:color="auto"/>
              <w:right w:val="single" w:sz="4" w:space="0" w:color="auto"/>
            </w:tcBorders>
            <w:shd w:val="clear" w:color="auto" w:fill="C6EFCE"/>
            <w:noWrap/>
            <w:vAlign w:val="center"/>
          </w:tcPr>
          <w:p w14:paraId="48E8E417" w14:textId="77777777"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1080" w:type="dxa"/>
            <w:tcBorders>
              <w:top w:val="single" w:sz="4" w:space="0" w:color="auto"/>
              <w:left w:val="nil"/>
              <w:bottom w:val="single" w:sz="4" w:space="0" w:color="auto"/>
              <w:right w:val="single" w:sz="4" w:space="0" w:color="auto"/>
            </w:tcBorders>
            <w:shd w:val="clear" w:color="auto" w:fill="C6EFCE"/>
            <w:noWrap/>
            <w:vAlign w:val="center"/>
          </w:tcPr>
          <w:p w14:paraId="298326CA"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Q2</w:t>
            </w:r>
          </w:p>
        </w:tc>
        <w:tc>
          <w:tcPr>
            <w:tcW w:w="720" w:type="dxa"/>
            <w:tcBorders>
              <w:top w:val="single" w:sz="4" w:space="0" w:color="auto"/>
              <w:left w:val="nil"/>
              <w:bottom w:val="single" w:sz="4" w:space="0" w:color="auto"/>
              <w:right w:val="single" w:sz="4" w:space="0" w:color="auto"/>
            </w:tcBorders>
            <w:shd w:val="clear" w:color="auto" w:fill="C6EFCE"/>
            <w:noWrap/>
            <w:vAlign w:val="center"/>
          </w:tcPr>
          <w:p w14:paraId="2773E475"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2022</w:t>
            </w:r>
          </w:p>
        </w:tc>
        <w:tc>
          <w:tcPr>
            <w:tcW w:w="3027" w:type="dxa"/>
            <w:tcBorders>
              <w:top w:val="single" w:sz="4" w:space="0" w:color="auto"/>
              <w:left w:val="nil"/>
              <w:bottom w:val="single" w:sz="4" w:space="0" w:color="auto"/>
              <w:right w:val="single" w:sz="4" w:space="0" w:color="auto"/>
            </w:tcBorders>
            <w:shd w:val="clear" w:color="auto" w:fill="C6EFCE"/>
            <w:noWrap/>
            <w:vAlign w:val="center"/>
          </w:tcPr>
          <w:p w14:paraId="24102483"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Report published by the federal Ministry of Telecommunications on state of play of implementation of the Connectivity Toolbox in accordance with the scope and process outlined in the Belgian Connectivity Toolbox implementation roadmap.</w:t>
            </w:r>
          </w:p>
        </w:tc>
      </w:tr>
      <w:tr w:rsidR="009E4837" w:rsidRPr="001961AA" w14:paraId="63218DC2" w14:textId="77777777" w:rsidTr="00032373">
        <w:trPr>
          <w:trHeight w:val="309"/>
          <w:jc w:val="center"/>
        </w:trPr>
        <w:tc>
          <w:tcPr>
            <w:tcW w:w="71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CDFBDFD"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93</w:t>
            </w:r>
          </w:p>
        </w:tc>
        <w:tc>
          <w:tcPr>
            <w:tcW w:w="1832" w:type="dxa"/>
            <w:tcBorders>
              <w:top w:val="single" w:sz="4" w:space="0" w:color="auto"/>
              <w:left w:val="nil"/>
              <w:bottom w:val="single" w:sz="4" w:space="0" w:color="auto"/>
              <w:right w:val="single" w:sz="4" w:space="0" w:color="auto"/>
            </w:tcBorders>
            <w:shd w:val="clear" w:color="auto" w:fill="C6EFCE"/>
            <w:noWrap/>
            <w:vAlign w:val="center"/>
          </w:tcPr>
          <w:p w14:paraId="0E887B10"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Introduction of 5G – National fixed and mobile broadband plan (R-2.03)</w:t>
            </w:r>
          </w:p>
        </w:tc>
        <w:tc>
          <w:tcPr>
            <w:tcW w:w="1168" w:type="dxa"/>
            <w:tcBorders>
              <w:top w:val="single" w:sz="4" w:space="0" w:color="auto"/>
              <w:left w:val="nil"/>
              <w:bottom w:val="single" w:sz="4" w:space="0" w:color="auto"/>
              <w:right w:val="single" w:sz="4" w:space="0" w:color="auto"/>
            </w:tcBorders>
            <w:shd w:val="clear" w:color="auto" w:fill="C6EFCE"/>
            <w:noWrap/>
            <w:vAlign w:val="center"/>
          </w:tcPr>
          <w:p w14:paraId="24E5DAB9" w14:textId="004B6CC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M</w:t>
            </w:r>
          </w:p>
        </w:tc>
        <w:tc>
          <w:tcPr>
            <w:tcW w:w="1440" w:type="dxa"/>
            <w:tcBorders>
              <w:top w:val="single" w:sz="4" w:space="0" w:color="auto"/>
              <w:left w:val="nil"/>
              <w:bottom w:val="single" w:sz="4" w:space="0" w:color="auto"/>
              <w:right w:val="single" w:sz="4" w:space="0" w:color="auto"/>
            </w:tcBorders>
            <w:shd w:val="clear" w:color="auto" w:fill="C6EFCE"/>
            <w:noWrap/>
            <w:vAlign w:val="center"/>
          </w:tcPr>
          <w:p w14:paraId="2104B0BE"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Revision of the legislative framework of the three regions on radiation standards</w:t>
            </w:r>
          </w:p>
        </w:tc>
        <w:tc>
          <w:tcPr>
            <w:tcW w:w="1920" w:type="dxa"/>
            <w:tcBorders>
              <w:top w:val="single" w:sz="4" w:space="0" w:color="auto"/>
              <w:left w:val="nil"/>
              <w:bottom w:val="single" w:sz="4" w:space="0" w:color="auto"/>
              <w:right w:val="single" w:sz="4" w:space="0" w:color="auto"/>
            </w:tcBorders>
            <w:shd w:val="clear" w:color="auto" w:fill="C6EFCE"/>
            <w:noWrap/>
            <w:vAlign w:val="center"/>
          </w:tcPr>
          <w:p w14:paraId="4BFD3214" w14:textId="61BA0E8E"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Revision of the regional legislative frameworks on radiation standards</w:t>
            </w:r>
          </w:p>
        </w:tc>
        <w:tc>
          <w:tcPr>
            <w:tcW w:w="1320" w:type="dxa"/>
            <w:tcBorders>
              <w:top w:val="single" w:sz="4" w:space="0" w:color="auto"/>
              <w:left w:val="nil"/>
              <w:bottom w:val="single" w:sz="4" w:space="0" w:color="auto"/>
              <w:right w:val="single" w:sz="4" w:space="0" w:color="auto"/>
            </w:tcBorders>
            <w:shd w:val="clear" w:color="auto" w:fill="C6EFCE"/>
            <w:noWrap/>
            <w:vAlign w:val="center"/>
          </w:tcPr>
          <w:p w14:paraId="4B7706ED" w14:textId="77777777"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1200" w:type="dxa"/>
            <w:tcBorders>
              <w:top w:val="single" w:sz="4" w:space="0" w:color="auto"/>
              <w:left w:val="nil"/>
              <w:bottom w:val="single" w:sz="4" w:space="0" w:color="auto"/>
              <w:right w:val="single" w:sz="4" w:space="0" w:color="auto"/>
            </w:tcBorders>
            <w:shd w:val="clear" w:color="auto" w:fill="C6EFCE"/>
            <w:noWrap/>
            <w:vAlign w:val="center"/>
          </w:tcPr>
          <w:p w14:paraId="30518DE3" w14:textId="77777777"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1080" w:type="dxa"/>
            <w:tcBorders>
              <w:top w:val="single" w:sz="4" w:space="0" w:color="auto"/>
              <w:left w:val="nil"/>
              <w:bottom w:val="single" w:sz="4" w:space="0" w:color="auto"/>
              <w:right w:val="single" w:sz="4" w:space="0" w:color="auto"/>
            </w:tcBorders>
            <w:shd w:val="clear" w:color="auto" w:fill="C6EFCE"/>
            <w:noWrap/>
            <w:vAlign w:val="center"/>
          </w:tcPr>
          <w:p w14:paraId="43BD047F" w14:textId="77777777"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1080" w:type="dxa"/>
            <w:tcBorders>
              <w:top w:val="single" w:sz="4" w:space="0" w:color="auto"/>
              <w:left w:val="nil"/>
              <w:bottom w:val="single" w:sz="4" w:space="0" w:color="auto"/>
              <w:right w:val="single" w:sz="4" w:space="0" w:color="auto"/>
            </w:tcBorders>
            <w:shd w:val="clear" w:color="auto" w:fill="C6EFCE"/>
            <w:noWrap/>
            <w:vAlign w:val="center"/>
          </w:tcPr>
          <w:p w14:paraId="45625D78"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Q3</w:t>
            </w:r>
          </w:p>
        </w:tc>
        <w:tc>
          <w:tcPr>
            <w:tcW w:w="720" w:type="dxa"/>
            <w:tcBorders>
              <w:top w:val="single" w:sz="4" w:space="0" w:color="auto"/>
              <w:left w:val="nil"/>
              <w:bottom w:val="single" w:sz="4" w:space="0" w:color="auto"/>
              <w:right w:val="single" w:sz="4" w:space="0" w:color="auto"/>
            </w:tcBorders>
            <w:shd w:val="clear" w:color="auto" w:fill="C6EFCE"/>
            <w:noWrap/>
            <w:vAlign w:val="center"/>
          </w:tcPr>
          <w:p w14:paraId="69A89C8F"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2022</w:t>
            </w:r>
          </w:p>
        </w:tc>
        <w:tc>
          <w:tcPr>
            <w:tcW w:w="3027" w:type="dxa"/>
            <w:tcBorders>
              <w:top w:val="single" w:sz="4" w:space="0" w:color="auto"/>
              <w:left w:val="nil"/>
              <w:bottom w:val="single" w:sz="4" w:space="0" w:color="auto"/>
              <w:right w:val="single" w:sz="4" w:space="0" w:color="auto"/>
            </w:tcBorders>
            <w:shd w:val="clear" w:color="auto" w:fill="C6EFCE"/>
            <w:noWrap/>
            <w:vAlign w:val="center"/>
          </w:tcPr>
          <w:p w14:paraId="048AFD3C" w14:textId="07C1757E" w:rsidR="006A41D9" w:rsidRPr="001961AA" w:rsidRDefault="00387404"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Adaptation and entry into force of the respective legislative frameworks of the Flemish Region, Brussels Capital Region and Walloon Region, amending radiation standards to allow for effective 5G spectrum deployment.</w:t>
            </w:r>
          </w:p>
        </w:tc>
      </w:tr>
    </w:tbl>
    <w:p w14:paraId="362E9E0B" w14:textId="77777777" w:rsidR="00AA6BBB" w:rsidRPr="001961AA" w:rsidRDefault="00AA6BBB" w:rsidP="00AA6BBB">
      <w:pPr>
        <w:pStyle w:val="Text1"/>
        <w:rPr>
          <w:noProof/>
          <w:lang w:val="en-GB"/>
        </w:rPr>
      </w:pPr>
    </w:p>
    <w:p w14:paraId="3571DFC4" w14:textId="77777777" w:rsidR="00AA6BBB" w:rsidRPr="001961AA" w:rsidRDefault="00AA6BBB" w:rsidP="00AA6BBB">
      <w:pPr>
        <w:pStyle w:val="Text1"/>
        <w:ind w:left="0"/>
        <w:rPr>
          <w:noProof/>
          <w:lang w:val="en-GB"/>
        </w:rPr>
        <w:sectPr w:rsidR="00AA6BBB" w:rsidRPr="001961AA" w:rsidSect="007F56C3">
          <w:headerReference w:type="even" r:id="rId96"/>
          <w:headerReference w:type="default" r:id="rId97"/>
          <w:footerReference w:type="even" r:id="rId98"/>
          <w:footerReference w:type="default" r:id="rId99"/>
          <w:headerReference w:type="first" r:id="rId100"/>
          <w:footerReference w:type="first" r:id="rId101"/>
          <w:pgSz w:w="16839" w:h="11907" w:orient="landscape"/>
          <w:pgMar w:top="1134" w:right="1134" w:bottom="1134" w:left="1134" w:header="567" w:footer="567" w:gutter="0"/>
          <w:cols w:space="720"/>
          <w:docGrid w:linePitch="360"/>
        </w:sectPr>
      </w:pPr>
    </w:p>
    <w:p w14:paraId="5F76CD87" w14:textId="22D7B764" w:rsidR="006A41D9" w:rsidRPr="001961AA" w:rsidRDefault="006A41D9" w:rsidP="00143925">
      <w:pPr>
        <w:pStyle w:val="ManualHeading1"/>
        <w:spacing w:before="120"/>
        <w:ind w:left="0" w:firstLine="0"/>
        <w:rPr>
          <w:noProof/>
          <w:szCs w:val="24"/>
          <w:lang w:val="en-GB"/>
        </w:rPr>
      </w:pPr>
      <w:r w:rsidRPr="001961AA">
        <w:rPr>
          <w:noProof/>
          <w:lang w:val="en-GB"/>
        </w:rPr>
        <w:t>G. COMPONENT 3.1: Cycling and walking infrastructure</w:t>
      </w:r>
    </w:p>
    <w:p w14:paraId="6BB7AA34" w14:textId="77777777" w:rsidR="006A41D9" w:rsidRPr="001961AA" w:rsidRDefault="006A41D9" w:rsidP="00BD6DD1">
      <w:pPr>
        <w:spacing w:before="120" w:after="120" w:line="240" w:lineRule="auto"/>
        <w:jc w:val="both"/>
        <w:rPr>
          <w:rFonts w:ascii="Times New Roman" w:hAnsi="Times New Roman" w:cs="Times New Roman"/>
          <w:noProof/>
          <w:sz w:val="24"/>
          <w:szCs w:val="24"/>
          <w:lang w:val="en-GB"/>
        </w:rPr>
      </w:pPr>
      <w:r w:rsidRPr="001961AA">
        <w:rPr>
          <w:rFonts w:ascii="Times New Roman" w:hAnsi="Times New Roman"/>
          <w:noProof/>
          <w:sz w:val="24"/>
          <w:lang w:val="en-GB"/>
        </w:rPr>
        <w:t>The measures proposed under this component of the Belgian recovery and resilience plan aim at extending and upgrading cycling and walking infrastructure throughout Belgium.</w:t>
      </w:r>
    </w:p>
    <w:p w14:paraId="000977E4" w14:textId="77777777" w:rsidR="006A41D9" w:rsidRPr="001961AA" w:rsidRDefault="006A41D9" w:rsidP="00BD6DD1">
      <w:pPr>
        <w:spacing w:before="120" w:after="120" w:line="240" w:lineRule="auto"/>
        <w:jc w:val="both"/>
        <w:rPr>
          <w:rFonts w:ascii="Times New Roman" w:eastAsia="Times New Roman" w:hAnsi="Times New Roman" w:cs="Times New Roman"/>
          <w:noProof/>
          <w:sz w:val="24"/>
          <w:szCs w:val="24"/>
          <w:lang w:val="en-GB"/>
        </w:rPr>
      </w:pPr>
      <w:r w:rsidRPr="001961AA">
        <w:rPr>
          <w:rFonts w:ascii="Times New Roman" w:hAnsi="Times New Roman"/>
          <w:noProof/>
          <w:sz w:val="24"/>
          <w:lang w:val="en-GB"/>
        </w:rPr>
        <w:t>The component contributes to addressing Country Specific Recommendation 2020.3 calling on Belgium to focus investment on the green and digital transition, in particular on infrastructure for sustainable transport.</w:t>
      </w:r>
    </w:p>
    <w:p w14:paraId="064927FE" w14:textId="55B71F0B" w:rsidR="006A41D9" w:rsidRPr="001961AA" w:rsidRDefault="006A41D9" w:rsidP="00BD6DD1">
      <w:pPr>
        <w:spacing w:before="120" w:after="120" w:line="240" w:lineRule="auto"/>
        <w:jc w:val="both"/>
        <w:rPr>
          <w:rFonts w:ascii="Times New Roman" w:hAnsi="Times New Roman" w:cs="Times New Roman"/>
          <w:noProof/>
          <w:sz w:val="24"/>
          <w:szCs w:val="24"/>
          <w:lang w:val="en-GB"/>
        </w:rPr>
      </w:pPr>
      <w:r w:rsidRPr="001961AA">
        <w:rPr>
          <w:rFonts w:ascii="Times New Roman" w:hAnsi="Times New Roman"/>
          <w:noProof/>
          <w:sz w:val="24"/>
          <w:lang w:val="en-GB"/>
        </w:rPr>
        <w:t>It is expected that no measure in this component does significant harm to environmental objectives within the meaning of Article 17 of Regulation (EU) 2020/852, taking into account the description of the measures and the mitigating steps set out in the recovery and resilience plan in accordance with the DNSH Technical Guidance (2021/C58/01).</w:t>
      </w:r>
    </w:p>
    <w:p w14:paraId="3F8FFDA9" w14:textId="77777777" w:rsidR="006A41D9" w:rsidRPr="001961AA" w:rsidRDefault="006A41D9" w:rsidP="00BD6DD1">
      <w:pPr>
        <w:spacing w:before="120" w:after="120"/>
        <w:jc w:val="both"/>
        <w:rPr>
          <w:rFonts w:ascii="Times New Roman" w:hAnsi="Times New Roman" w:cs="Times New Roman"/>
          <w:b/>
          <w:bCs/>
          <w:noProof/>
          <w:sz w:val="24"/>
          <w:szCs w:val="24"/>
          <w:u w:val="single"/>
          <w:lang w:val="en-GB"/>
        </w:rPr>
      </w:pPr>
      <w:r w:rsidRPr="001961AA">
        <w:rPr>
          <w:rFonts w:ascii="Times New Roman" w:hAnsi="Times New Roman"/>
          <w:b/>
          <w:noProof/>
          <w:sz w:val="24"/>
          <w:u w:val="single"/>
          <w:lang w:val="en-GB"/>
        </w:rPr>
        <w:t xml:space="preserve">G.1. </w:t>
      </w:r>
      <w:r w:rsidRPr="001961AA">
        <w:rPr>
          <w:noProof/>
          <w:lang w:val="en-GB"/>
        </w:rPr>
        <w:tab/>
      </w:r>
      <w:r w:rsidRPr="001961AA">
        <w:rPr>
          <w:rFonts w:ascii="Times New Roman" w:hAnsi="Times New Roman"/>
          <w:b/>
          <w:noProof/>
          <w:sz w:val="24"/>
          <w:u w:val="single"/>
          <w:lang w:val="en-GB"/>
        </w:rPr>
        <w:t>Description of the reforms and investments for non-repayable financial support</w:t>
      </w:r>
    </w:p>
    <w:p w14:paraId="12032158" w14:textId="77777777" w:rsidR="006A41D9" w:rsidRPr="001961AA" w:rsidRDefault="006A41D9" w:rsidP="00BD6DD1">
      <w:pPr>
        <w:pStyle w:val="Text1"/>
        <w:ind w:left="0"/>
        <w:rPr>
          <w:noProof/>
          <w:szCs w:val="24"/>
          <w:u w:val="single"/>
          <w:lang w:val="en-GB"/>
        </w:rPr>
      </w:pPr>
      <w:r w:rsidRPr="001961AA">
        <w:rPr>
          <w:noProof/>
          <w:u w:val="single"/>
          <w:lang w:val="en-GB"/>
        </w:rPr>
        <w:t>Investment I-3A: ‘Cycling infrastructure’</w:t>
      </w:r>
    </w:p>
    <w:p w14:paraId="1D22F248" w14:textId="2A895CBD" w:rsidR="006A41D9" w:rsidRPr="001961AA" w:rsidRDefault="006A41D9" w:rsidP="00BD6DD1">
      <w:pPr>
        <w:pStyle w:val="Text1"/>
        <w:ind w:left="0"/>
        <w:rPr>
          <w:noProof/>
          <w:color w:val="000000"/>
          <w:szCs w:val="24"/>
          <w:lang w:val="en-GB"/>
        </w:rPr>
      </w:pPr>
      <w:r w:rsidRPr="001961AA">
        <w:rPr>
          <w:noProof/>
          <w:color w:val="000000"/>
          <w:lang w:val="en-GB"/>
        </w:rPr>
        <w:t xml:space="preserve">The objectives of the investment is to create additional cycling infrastructure and improve existing infrastructure. This measure is composed of the following </w:t>
      </w:r>
      <w:r w:rsidRPr="001961AA">
        <w:rPr>
          <w:rStyle w:val="normaltextrun"/>
          <w:strike/>
          <w:noProof/>
          <w:color w:val="881798"/>
          <w:shd w:val="clear" w:color="auto" w:fill="FFFFFF"/>
          <w:lang w:val="en-GB"/>
        </w:rPr>
        <w:t>four</w:t>
      </w:r>
      <w:r w:rsidRPr="001961AA">
        <w:rPr>
          <w:rStyle w:val="normaltextrun"/>
          <w:noProof/>
          <w:color w:val="881798"/>
          <w:u w:val="single"/>
          <w:shd w:val="clear" w:color="auto" w:fill="FFFFFF"/>
          <w:lang w:val="en-GB"/>
        </w:rPr>
        <w:t xml:space="preserve">three </w:t>
      </w:r>
      <w:r w:rsidRPr="001961AA">
        <w:rPr>
          <w:noProof/>
          <w:color w:val="000000"/>
          <w:lang w:val="en-GB"/>
        </w:rPr>
        <w:t>sub-measures.</w:t>
      </w:r>
    </w:p>
    <w:p w14:paraId="60B5684E" w14:textId="77777777" w:rsidR="006A41D9" w:rsidRPr="001961AA" w:rsidRDefault="006A41D9" w:rsidP="009E6286">
      <w:pPr>
        <w:pStyle w:val="Text1"/>
        <w:numPr>
          <w:ilvl w:val="0"/>
          <w:numId w:val="46"/>
        </w:numPr>
        <w:tabs>
          <w:tab w:val="left" w:pos="426"/>
        </w:tabs>
        <w:contextualSpacing/>
        <w:rPr>
          <w:noProof/>
          <w:szCs w:val="24"/>
          <w:lang w:val="en-GB"/>
        </w:rPr>
      </w:pPr>
      <w:r w:rsidRPr="001961AA">
        <w:rPr>
          <w:noProof/>
          <w:lang w:val="en-GB"/>
        </w:rPr>
        <w:t>Investment I-3.01: ‘Cycling infrastructure’ of the Flemish Region</w:t>
      </w:r>
    </w:p>
    <w:p w14:paraId="2A6F625C" w14:textId="77777777" w:rsidR="006A41D9" w:rsidRPr="001961AA" w:rsidRDefault="006A41D9" w:rsidP="009E6286">
      <w:pPr>
        <w:pStyle w:val="Text1"/>
        <w:numPr>
          <w:ilvl w:val="0"/>
          <w:numId w:val="46"/>
        </w:numPr>
        <w:tabs>
          <w:tab w:val="left" w:pos="426"/>
        </w:tabs>
        <w:contextualSpacing/>
        <w:rPr>
          <w:noProof/>
          <w:szCs w:val="24"/>
          <w:lang w:val="en-GB"/>
        </w:rPr>
      </w:pPr>
      <w:r w:rsidRPr="001961AA">
        <w:rPr>
          <w:noProof/>
          <w:lang w:val="en-GB"/>
        </w:rPr>
        <w:t>Investment I-3.02: ‘Cycling infrastructure – Corridors Vélo’ of the Walloon Region</w:t>
      </w:r>
    </w:p>
    <w:p w14:paraId="0E1D3E17" w14:textId="25003E17" w:rsidR="006A41D9" w:rsidRPr="001961AA" w:rsidRDefault="006A41D9" w:rsidP="009E6286">
      <w:pPr>
        <w:pStyle w:val="Text1"/>
        <w:numPr>
          <w:ilvl w:val="0"/>
          <w:numId w:val="46"/>
        </w:numPr>
        <w:tabs>
          <w:tab w:val="left" w:pos="426"/>
        </w:tabs>
        <w:rPr>
          <w:noProof/>
          <w:szCs w:val="24"/>
          <w:lang w:val="en-GB"/>
        </w:rPr>
      </w:pPr>
      <w:r w:rsidRPr="001961AA">
        <w:rPr>
          <w:noProof/>
          <w:lang w:val="en-GB"/>
        </w:rPr>
        <w:t>Investment I-3.03a: ‘Cycling infrastructure – Vélo Plus - RBC’ of the Brussels-Capital Region</w:t>
      </w:r>
    </w:p>
    <w:p w14:paraId="4207AA47" w14:textId="77777777" w:rsidR="006A41D9" w:rsidRPr="001961AA" w:rsidRDefault="006A41D9" w:rsidP="00BD6DD1">
      <w:pPr>
        <w:pStyle w:val="Text1"/>
        <w:ind w:left="0"/>
        <w:rPr>
          <w:noProof/>
          <w:szCs w:val="24"/>
          <w:u w:val="single"/>
          <w:lang w:val="en-GB"/>
        </w:rPr>
      </w:pPr>
      <w:r w:rsidRPr="001961AA">
        <w:rPr>
          <w:noProof/>
          <w:u w:val="single"/>
          <w:lang w:val="en-GB"/>
        </w:rPr>
        <w:t>Investment I-3.01: ‘Cycling infrastructure’ of the Flemish Region</w:t>
      </w:r>
    </w:p>
    <w:p w14:paraId="3B1C3824" w14:textId="69348A57" w:rsidR="006A41D9" w:rsidRPr="001961AA" w:rsidRDefault="006A41D9" w:rsidP="00BD6DD1">
      <w:pPr>
        <w:spacing w:before="120" w:after="120" w:line="240" w:lineRule="auto"/>
        <w:jc w:val="both"/>
        <w:rPr>
          <w:rFonts w:ascii="Times New Roman" w:hAnsi="Times New Roman" w:cs="Times New Roman"/>
          <w:noProof/>
          <w:sz w:val="24"/>
          <w:szCs w:val="24"/>
          <w:lang w:val="en-GB"/>
        </w:rPr>
      </w:pPr>
      <w:r w:rsidRPr="001961AA">
        <w:rPr>
          <w:rFonts w:ascii="Times New Roman" w:hAnsi="Times New Roman"/>
          <w:noProof/>
          <w:sz w:val="24"/>
          <w:lang w:val="en-GB"/>
        </w:rPr>
        <w:t>This investment consists in building 40 km new cycling paths and refurbishing 365 km of cycling paths. The implementation of the investment shall be completed by 30 June 2026.</w:t>
      </w:r>
    </w:p>
    <w:p w14:paraId="44A28875" w14:textId="77777777" w:rsidR="006A41D9" w:rsidRPr="001961AA" w:rsidRDefault="006A41D9" w:rsidP="00BD6DD1">
      <w:pPr>
        <w:pStyle w:val="Text1"/>
        <w:ind w:left="0"/>
        <w:rPr>
          <w:noProof/>
          <w:szCs w:val="24"/>
          <w:u w:val="single"/>
          <w:lang w:val="en-GB"/>
        </w:rPr>
      </w:pPr>
      <w:r w:rsidRPr="001961AA">
        <w:rPr>
          <w:noProof/>
          <w:u w:val="single"/>
          <w:lang w:val="en-GB"/>
        </w:rPr>
        <w:t>Investment I-3.02: ‘Cycling infrastructure – Corridors Vélo’ of the Walloon Region</w:t>
      </w:r>
    </w:p>
    <w:p w14:paraId="2A59C001" w14:textId="56C6531C" w:rsidR="006A41D9" w:rsidRPr="001961AA" w:rsidRDefault="2DF8951B" w:rsidP="00BD6DD1">
      <w:pPr>
        <w:spacing w:before="120" w:after="120" w:line="240" w:lineRule="auto"/>
        <w:jc w:val="both"/>
        <w:rPr>
          <w:rFonts w:ascii="Times New Roman" w:hAnsi="Times New Roman" w:cs="Times New Roman"/>
          <w:noProof/>
          <w:sz w:val="24"/>
          <w:szCs w:val="24"/>
          <w:lang w:val="en-GB"/>
        </w:rPr>
      </w:pPr>
      <w:r w:rsidRPr="001961AA">
        <w:rPr>
          <w:rFonts w:ascii="Times New Roman" w:hAnsi="Times New Roman"/>
          <w:noProof/>
          <w:sz w:val="24"/>
          <w:lang w:val="en-GB"/>
        </w:rPr>
        <w:t>This investment consists in building at least 11.57 km of cycling paths through two cycling corridors along motorway E411 and route N275. The implementation of the investment shall be completed by 30 June 2026.</w:t>
      </w:r>
    </w:p>
    <w:p w14:paraId="5027B57D" w14:textId="6EEA13A3" w:rsidR="006A41D9" w:rsidRPr="001961AA" w:rsidRDefault="006A41D9" w:rsidP="00BD6DD1">
      <w:pPr>
        <w:pStyle w:val="Text1"/>
        <w:ind w:left="0"/>
        <w:rPr>
          <w:noProof/>
          <w:szCs w:val="24"/>
          <w:u w:val="single"/>
          <w:lang w:val="en-GB"/>
        </w:rPr>
      </w:pPr>
      <w:r w:rsidRPr="001961AA">
        <w:rPr>
          <w:noProof/>
          <w:u w:val="single"/>
          <w:lang w:val="en-GB"/>
        </w:rPr>
        <w:t>Investment I-3.03a: ‘Cycling infrastructure – Vélo Plus - RBC’ of the Brussels-Capital Region</w:t>
      </w:r>
    </w:p>
    <w:p w14:paraId="1C89A9A6" w14:textId="60D4D603" w:rsidR="0092644D" w:rsidRPr="001961AA" w:rsidRDefault="006A41D9" w:rsidP="00BD6DD1">
      <w:pPr>
        <w:spacing w:before="120" w:after="120" w:line="240" w:lineRule="auto"/>
        <w:jc w:val="both"/>
        <w:rPr>
          <w:rFonts w:ascii="Times New Roman" w:hAnsi="Times New Roman" w:cs="Times New Roman"/>
          <w:noProof/>
          <w:sz w:val="24"/>
          <w:szCs w:val="24"/>
          <w:lang w:val="en-GB"/>
        </w:rPr>
        <w:sectPr w:rsidR="0092644D" w:rsidRPr="001961AA" w:rsidSect="0092644D">
          <w:headerReference w:type="even" r:id="rId102"/>
          <w:headerReference w:type="default" r:id="rId103"/>
          <w:footerReference w:type="even" r:id="rId104"/>
          <w:footerReference w:type="default" r:id="rId105"/>
          <w:headerReference w:type="first" r:id="rId106"/>
          <w:footerReference w:type="first" r:id="rId107"/>
          <w:pgSz w:w="11907" w:h="16839"/>
          <w:pgMar w:top="1134" w:right="1134" w:bottom="1134" w:left="1134" w:header="567" w:footer="567" w:gutter="0"/>
          <w:cols w:space="720"/>
          <w:docGrid w:linePitch="360"/>
        </w:sectPr>
      </w:pPr>
      <w:r w:rsidRPr="001961AA">
        <w:rPr>
          <w:rFonts w:ascii="Times New Roman" w:hAnsi="Times New Roman"/>
          <w:noProof/>
          <w:sz w:val="24"/>
          <w:lang w:val="en-GB"/>
        </w:rPr>
        <w:t>This investment consists in building at least 7</w:t>
      </w:r>
      <w:r w:rsidRPr="001961AA">
        <w:rPr>
          <w:rFonts w:ascii="Times New Roman" w:hAnsi="Times New Roman"/>
          <w:noProof/>
          <w:color w:val="006100"/>
          <w:lang w:val="en-GB"/>
        </w:rPr>
        <w:t xml:space="preserve"> </w:t>
      </w:r>
      <w:r w:rsidRPr="001961AA">
        <w:rPr>
          <w:rFonts w:ascii="Times New Roman" w:hAnsi="Times New Roman"/>
          <w:noProof/>
          <w:sz w:val="24"/>
          <w:lang w:val="en-GB"/>
        </w:rPr>
        <w:t>000 bicycle parking spaces and at least 11.7 km of cycling paths, and upgrading 4.5 km of cycling paths in Brussels. The implementation of the investment shall be completed by 30 June 202</w:t>
      </w:r>
    </w:p>
    <w:p w14:paraId="6D534F9B" w14:textId="72953310" w:rsidR="006A41D9" w:rsidRPr="001961AA" w:rsidRDefault="006A41D9" w:rsidP="0092644D">
      <w:pPr>
        <w:pStyle w:val="Text1"/>
        <w:ind w:left="0"/>
        <w:rPr>
          <w:b/>
          <w:bCs/>
          <w:noProof/>
          <w:szCs w:val="24"/>
          <w:u w:val="single"/>
          <w:lang w:val="en-GB"/>
        </w:rPr>
      </w:pPr>
      <w:r w:rsidRPr="001961AA">
        <w:rPr>
          <w:b/>
          <w:noProof/>
          <w:u w:val="single"/>
          <w:lang w:val="en-GB"/>
        </w:rPr>
        <w:t xml:space="preserve">G.2. </w:t>
      </w:r>
      <w:r w:rsidRPr="001961AA">
        <w:rPr>
          <w:noProof/>
          <w:lang w:val="en-GB"/>
        </w:rPr>
        <w:tab/>
      </w:r>
      <w:r w:rsidRPr="001961AA">
        <w:rPr>
          <w:b/>
          <w:noProof/>
          <w:u w:val="single"/>
          <w:lang w:val="en-GB"/>
        </w:rPr>
        <w:t>Milestones, targets, indicators, and timetable for monitoring and implementation for non-repayable financial support</w:t>
      </w:r>
    </w:p>
    <w:tbl>
      <w:tblPr>
        <w:tblW w:w="15502" w:type="dxa"/>
        <w:jc w:val="center"/>
        <w:tblLayout w:type="fixed"/>
        <w:tblLook w:val="04A0" w:firstRow="1" w:lastRow="0" w:firstColumn="1" w:lastColumn="0" w:noHBand="0" w:noVBand="1"/>
      </w:tblPr>
      <w:tblGrid>
        <w:gridCol w:w="595"/>
        <w:gridCol w:w="1560"/>
        <w:gridCol w:w="1200"/>
        <w:gridCol w:w="1680"/>
        <w:gridCol w:w="1680"/>
        <w:gridCol w:w="1320"/>
        <w:gridCol w:w="1080"/>
        <w:gridCol w:w="840"/>
        <w:gridCol w:w="1080"/>
        <w:gridCol w:w="720"/>
        <w:gridCol w:w="3747"/>
      </w:tblGrid>
      <w:tr w:rsidR="00B17CA5" w:rsidRPr="001961AA" w14:paraId="40935581" w14:textId="77777777" w:rsidTr="00032373">
        <w:trPr>
          <w:trHeight w:val="927"/>
          <w:tblHeader/>
          <w:jc w:val="center"/>
        </w:trPr>
        <w:tc>
          <w:tcPr>
            <w:tcW w:w="59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10EC76D" w14:textId="04396236" w:rsidR="006A41D9" w:rsidRPr="001961AA" w:rsidRDefault="006A41D9" w:rsidP="00BD6DD1">
            <w:pPr>
              <w:spacing w:after="0"/>
              <w:jc w:val="center"/>
              <w:rPr>
                <w:rFonts w:ascii="Times New Roman" w:eastAsia="Times New Roman" w:hAnsi="Times New Roman" w:cs="Times New Roman"/>
                <w:b/>
                <w:bCs/>
                <w:noProof/>
                <w:lang w:val="en-GB"/>
              </w:rPr>
            </w:pPr>
            <w:r w:rsidRPr="001961AA">
              <w:rPr>
                <w:rFonts w:ascii="Times New Roman" w:hAnsi="Times New Roman"/>
                <w:b/>
                <w:noProof/>
                <w:lang w:val="en-GB"/>
              </w:rPr>
              <w:t>Seq. Nb.</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4F055772" w14:textId="77777777" w:rsidR="006A41D9" w:rsidRPr="001961AA" w:rsidRDefault="006A41D9" w:rsidP="00BD6DD1">
            <w:pPr>
              <w:spacing w:after="0"/>
              <w:jc w:val="center"/>
              <w:rPr>
                <w:rFonts w:ascii="Times New Roman" w:eastAsia="Times New Roman" w:hAnsi="Times New Roman" w:cs="Times New Roman"/>
                <w:b/>
                <w:bCs/>
                <w:noProof/>
                <w:lang w:val="en-GB"/>
              </w:rPr>
            </w:pPr>
            <w:r w:rsidRPr="001961AA">
              <w:rPr>
                <w:rFonts w:ascii="Times New Roman" w:hAnsi="Times New Roman"/>
                <w:b/>
                <w:noProof/>
                <w:lang w:val="en-GB"/>
              </w:rPr>
              <w:t>Related Measure (Reform or Investment)</w:t>
            </w:r>
          </w:p>
        </w:tc>
        <w:tc>
          <w:tcPr>
            <w:tcW w:w="120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AF888C2" w14:textId="77777777" w:rsidR="006A41D9" w:rsidRPr="001961AA" w:rsidRDefault="006A41D9" w:rsidP="00BD6DD1">
            <w:pPr>
              <w:spacing w:after="0"/>
              <w:jc w:val="center"/>
              <w:rPr>
                <w:rFonts w:ascii="Times New Roman" w:eastAsia="Times New Roman" w:hAnsi="Times New Roman" w:cs="Times New Roman"/>
                <w:b/>
                <w:bCs/>
                <w:noProof/>
                <w:lang w:val="en-GB"/>
              </w:rPr>
            </w:pPr>
            <w:r w:rsidRPr="001961AA">
              <w:rPr>
                <w:rFonts w:ascii="Times New Roman" w:hAnsi="Times New Roman"/>
                <w:b/>
                <w:noProof/>
                <w:lang w:val="en-GB"/>
              </w:rPr>
              <w:t>Milestone / Target</w:t>
            </w:r>
          </w:p>
        </w:tc>
        <w:tc>
          <w:tcPr>
            <w:tcW w:w="168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4BA333DF" w14:textId="77777777" w:rsidR="006A41D9" w:rsidRPr="001961AA" w:rsidRDefault="006A41D9" w:rsidP="00BD6DD1">
            <w:pPr>
              <w:spacing w:after="0"/>
              <w:jc w:val="center"/>
              <w:rPr>
                <w:rFonts w:ascii="Times New Roman" w:eastAsia="Times New Roman" w:hAnsi="Times New Roman" w:cs="Times New Roman"/>
                <w:b/>
                <w:bCs/>
                <w:noProof/>
                <w:lang w:val="en-GB"/>
              </w:rPr>
            </w:pPr>
            <w:r w:rsidRPr="001961AA">
              <w:rPr>
                <w:rFonts w:ascii="Times New Roman" w:hAnsi="Times New Roman"/>
                <w:b/>
                <w:noProof/>
                <w:lang w:val="en-GB"/>
              </w:rPr>
              <w:t>Name</w:t>
            </w:r>
          </w:p>
        </w:tc>
        <w:tc>
          <w:tcPr>
            <w:tcW w:w="168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4F09D118" w14:textId="77777777" w:rsidR="006A41D9" w:rsidRPr="001961AA" w:rsidRDefault="006A41D9" w:rsidP="00BD6DD1">
            <w:pPr>
              <w:spacing w:after="0"/>
              <w:jc w:val="center"/>
              <w:rPr>
                <w:rFonts w:ascii="Times New Roman" w:eastAsia="Times New Roman" w:hAnsi="Times New Roman" w:cs="Times New Roman"/>
                <w:b/>
                <w:bCs/>
                <w:noProof/>
                <w:lang w:val="en-GB"/>
              </w:rPr>
            </w:pPr>
            <w:r w:rsidRPr="001961AA">
              <w:rPr>
                <w:rFonts w:ascii="Times New Roman" w:hAnsi="Times New Roman"/>
                <w:b/>
                <w:noProof/>
                <w:lang w:val="en-GB"/>
              </w:rPr>
              <w:t xml:space="preserve">Qualitative indicators </w:t>
            </w:r>
            <w:r w:rsidRPr="001961AA">
              <w:rPr>
                <w:noProof/>
                <w:lang w:val="en-GB"/>
              </w:rPr>
              <w:t xml:space="preserve"> </w:t>
            </w:r>
            <w:r w:rsidRPr="001961AA">
              <w:rPr>
                <w:noProof/>
                <w:lang w:val="en-GB"/>
              </w:rPr>
              <w:br/>
            </w:r>
            <w:r w:rsidRPr="001961AA">
              <w:rPr>
                <w:rFonts w:ascii="Times New Roman" w:hAnsi="Times New Roman"/>
                <w:b/>
                <w:noProof/>
                <w:lang w:val="en-GB"/>
              </w:rPr>
              <w:t>(for milestones)</w:t>
            </w:r>
          </w:p>
        </w:tc>
        <w:tc>
          <w:tcPr>
            <w:tcW w:w="3240" w:type="dxa"/>
            <w:gridSpan w:val="3"/>
            <w:tcBorders>
              <w:top w:val="single" w:sz="4" w:space="0" w:color="auto"/>
              <w:left w:val="single" w:sz="4" w:space="0" w:color="auto"/>
              <w:bottom w:val="single" w:sz="4" w:space="0" w:color="auto"/>
              <w:right w:val="single" w:sz="4" w:space="0" w:color="auto"/>
            </w:tcBorders>
            <w:shd w:val="clear" w:color="auto" w:fill="BDD7EE"/>
            <w:vAlign w:val="center"/>
            <w:hideMark/>
          </w:tcPr>
          <w:p w14:paraId="46A772D0" w14:textId="77777777" w:rsidR="006A41D9" w:rsidRPr="001961AA" w:rsidRDefault="006A41D9" w:rsidP="00BD6DD1">
            <w:pPr>
              <w:spacing w:after="0"/>
              <w:jc w:val="center"/>
              <w:rPr>
                <w:rFonts w:ascii="Times New Roman" w:eastAsia="Times New Roman" w:hAnsi="Times New Roman" w:cs="Times New Roman"/>
                <w:b/>
                <w:bCs/>
                <w:noProof/>
                <w:lang w:val="en-GB"/>
              </w:rPr>
            </w:pPr>
            <w:r w:rsidRPr="001961AA">
              <w:rPr>
                <w:rFonts w:ascii="Times New Roman" w:hAnsi="Times New Roman"/>
                <w:b/>
                <w:noProof/>
                <w:lang w:val="en-GB"/>
              </w:rPr>
              <w:t xml:space="preserve">Quantitative indicators </w:t>
            </w:r>
            <w:r w:rsidRPr="001961AA">
              <w:rPr>
                <w:noProof/>
                <w:lang w:val="en-GB"/>
              </w:rPr>
              <w:t xml:space="preserve"> </w:t>
            </w:r>
            <w:r w:rsidRPr="001961AA">
              <w:rPr>
                <w:noProof/>
                <w:lang w:val="en-GB"/>
              </w:rPr>
              <w:br/>
            </w:r>
            <w:r w:rsidRPr="001961AA">
              <w:rPr>
                <w:rFonts w:ascii="Times New Roman" w:hAnsi="Times New Roman"/>
                <w:b/>
                <w:noProof/>
                <w:lang w:val="en-GB"/>
              </w:rPr>
              <w:t>(for targets)</w:t>
            </w:r>
          </w:p>
        </w:tc>
        <w:tc>
          <w:tcPr>
            <w:tcW w:w="1800" w:type="dxa"/>
            <w:gridSpan w:val="2"/>
            <w:tcBorders>
              <w:top w:val="single" w:sz="4" w:space="0" w:color="auto"/>
              <w:left w:val="nil"/>
              <w:bottom w:val="single" w:sz="4" w:space="0" w:color="auto"/>
              <w:right w:val="single" w:sz="4" w:space="0" w:color="auto"/>
            </w:tcBorders>
            <w:shd w:val="clear" w:color="auto" w:fill="BDD7EE"/>
            <w:vAlign w:val="center"/>
            <w:hideMark/>
          </w:tcPr>
          <w:p w14:paraId="20EC8163" w14:textId="77777777" w:rsidR="006A41D9" w:rsidRPr="001961AA" w:rsidRDefault="006A41D9" w:rsidP="00BD6DD1">
            <w:pPr>
              <w:spacing w:after="0"/>
              <w:jc w:val="center"/>
              <w:rPr>
                <w:rFonts w:ascii="Times New Roman" w:eastAsia="Times New Roman" w:hAnsi="Times New Roman" w:cs="Times New Roman"/>
                <w:b/>
                <w:bCs/>
                <w:noProof/>
                <w:lang w:val="en-GB"/>
              </w:rPr>
            </w:pPr>
            <w:r w:rsidRPr="001961AA">
              <w:rPr>
                <w:rFonts w:ascii="Times New Roman" w:hAnsi="Times New Roman"/>
                <w:b/>
                <w:noProof/>
                <w:lang w:val="en-GB"/>
              </w:rPr>
              <w:t xml:space="preserve">Indicative timeline for completion </w:t>
            </w:r>
          </w:p>
        </w:tc>
        <w:tc>
          <w:tcPr>
            <w:tcW w:w="3747"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C2C750E" w14:textId="77777777" w:rsidR="006A41D9" w:rsidRPr="001961AA" w:rsidRDefault="006A41D9" w:rsidP="00BD6DD1">
            <w:pPr>
              <w:spacing w:after="0"/>
              <w:jc w:val="center"/>
              <w:rPr>
                <w:rFonts w:ascii="Times New Roman" w:eastAsia="Times New Roman" w:hAnsi="Times New Roman" w:cs="Times New Roman"/>
                <w:b/>
                <w:bCs/>
                <w:noProof/>
                <w:lang w:val="en-GB"/>
              </w:rPr>
            </w:pPr>
            <w:r w:rsidRPr="001961AA">
              <w:rPr>
                <w:rFonts w:ascii="Times New Roman" w:hAnsi="Times New Roman"/>
                <w:b/>
                <w:noProof/>
                <w:lang w:val="en-GB"/>
              </w:rPr>
              <w:t>Description of each milestone and target</w:t>
            </w:r>
          </w:p>
        </w:tc>
      </w:tr>
      <w:tr w:rsidR="00B17CA5" w:rsidRPr="001961AA" w14:paraId="389332F0" w14:textId="77777777" w:rsidTr="00032373">
        <w:trPr>
          <w:trHeight w:val="1013"/>
          <w:tblHeader/>
          <w:jc w:val="center"/>
        </w:trPr>
        <w:tc>
          <w:tcPr>
            <w:tcW w:w="595" w:type="dxa"/>
            <w:vMerge/>
            <w:tcBorders>
              <w:top w:val="single" w:sz="4" w:space="0" w:color="auto"/>
              <w:left w:val="single" w:sz="4" w:space="0" w:color="auto"/>
              <w:bottom w:val="single" w:sz="4" w:space="0" w:color="auto"/>
              <w:right w:val="single" w:sz="4" w:space="0" w:color="auto"/>
            </w:tcBorders>
            <w:vAlign w:val="center"/>
            <w:hideMark/>
          </w:tcPr>
          <w:p w14:paraId="6F441146" w14:textId="77777777" w:rsidR="006A41D9" w:rsidRPr="001961AA" w:rsidRDefault="006A41D9" w:rsidP="00BD6DD1">
            <w:pPr>
              <w:spacing w:after="0"/>
              <w:rPr>
                <w:rFonts w:ascii="Times New Roman" w:eastAsia="Times New Roman" w:hAnsi="Times New Roman" w:cs="Times New Roman"/>
                <w:b/>
                <w:bCs/>
                <w:noProof/>
                <w:szCs w:val="24"/>
                <w:lang w:val="en-GB" w:eastAsia="en-GB"/>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1579B59" w14:textId="77777777" w:rsidR="006A41D9" w:rsidRPr="001961AA" w:rsidRDefault="006A41D9" w:rsidP="00BD6DD1">
            <w:pPr>
              <w:spacing w:after="0"/>
              <w:rPr>
                <w:rFonts w:ascii="Times New Roman" w:eastAsia="Times New Roman" w:hAnsi="Times New Roman" w:cs="Times New Roman"/>
                <w:b/>
                <w:bCs/>
                <w:noProof/>
                <w:szCs w:val="24"/>
                <w:lang w:val="en-GB" w:eastAsia="en-GB"/>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14:paraId="38EF74FB" w14:textId="77777777" w:rsidR="006A41D9" w:rsidRPr="001961AA" w:rsidRDefault="006A41D9" w:rsidP="00BD6DD1">
            <w:pPr>
              <w:spacing w:after="0"/>
              <w:rPr>
                <w:rFonts w:ascii="Times New Roman" w:eastAsia="Times New Roman" w:hAnsi="Times New Roman" w:cs="Times New Roman"/>
                <w:b/>
                <w:bCs/>
                <w:noProof/>
                <w:szCs w:val="24"/>
                <w:lang w:val="en-GB" w:eastAsia="en-GB"/>
              </w:rPr>
            </w:pPr>
          </w:p>
        </w:tc>
        <w:tc>
          <w:tcPr>
            <w:tcW w:w="1680" w:type="dxa"/>
            <w:vMerge/>
            <w:tcBorders>
              <w:top w:val="single" w:sz="4" w:space="0" w:color="auto"/>
              <w:left w:val="single" w:sz="4" w:space="0" w:color="auto"/>
              <w:bottom w:val="single" w:sz="4" w:space="0" w:color="auto"/>
              <w:right w:val="single" w:sz="4" w:space="0" w:color="auto"/>
            </w:tcBorders>
            <w:vAlign w:val="center"/>
            <w:hideMark/>
          </w:tcPr>
          <w:p w14:paraId="55679E3E" w14:textId="77777777" w:rsidR="006A41D9" w:rsidRPr="001961AA" w:rsidRDefault="006A41D9" w:rsidP="00BD6DD1">
            <w:pPr>
              <w:spacing w:after="0"/>
              <w:rPr>
                <w:rFonts w:ascii="Times New Roman" w:eastAsia="Times New Roman" w:hAnsi="Times New Roman" w:cs="Times New Roman"/>
                <w:b/>
                <w:bCs/>
                <w:noProof/>
                <w:szCs w:val="24"/>
                <w:lang w:val="en-GB" w:eastAsia="en-GB"/>
              </w:rPr>
            </w:pPr>
          </w:p>
        </w:tc>
        <w:tc>
          <w:tcPr>
            <w:tcW w:w="1680" w:type="dxa"/>
            <w:vMerge/>
            <w:tcBorders>
              <w:top w:val="single" w:sz="4" w:space="0" w:color="auto"/>
              <w:left w:val="single" w:sz="4" w:space="0" w:color="auto"/>
              <w:bottom w:val="single" w:sz="4" w:space="0" w:color="auto"/>
              <w:right w:val="single" w:sz="4" w:space="0" w:color="auto"/>
            </w:tcBorders>
            <w:vAlign w:val="center"/>
            <w:hideMark/>
          </w:tcPr>
          <w:p w14:paraId="032EA14B" w14:textId="77777777" w:rsidR="006A41D9" w:rsidRPr="001961AA" w:rsidRDefault="006A41D9" w:rsidP="00BD6DD1">
            <w:pPr>
              <w:spacing w:after="0"/>
              <w:rPr>
                <w:rFonts w:ascii="Times New Roman" w:eastAsia="Times New Roman" w:hAnsi="Times New Roman" w:cs="Times New Roman"/>
                <w:b/>
                <w:bCs/>
                <w:noProof/>
                <w:szCs w:val="24"/>
                <w:lang w:val="en-GB" w:eastAsia="en-GB"/>
              </w:rPr>
            </w:pPr>
          </w:p>
        </w:tc>
        <w:tc>
          <w:tcPr>
            <w:tcW w:w="1320" w:type="dxa"/>
            <w:tcBorders>
              <w:top w:val="nil"/>
              <w:left w:val="single" w:sz="4" w:space="0" w:color="auto"/>
              <w:bottom w:val="single" w:sz="4" w:space="0" w:color="auto"/>
              <w:right w:val="single" w:sz="4" w:space="0" w:color="auto"/>
            </w:tcBorders>
            <w:shd w:val="clear" w:color="auto" w:fill="BDD7EE"/>
            <w:vAlign w:val="center"/>
            <w:hideMark/>
          </w:tcPr>
          <w:p w14:paraId="2EEE7BE2" w14:textId="77777777" w:rsidR="006A41D9" w:rsidRPr="001961AA" w:rsidRDefault="006A41D9" w:rsidP="00BD6DD1">
            <w:pPr>
              <w:spacing w:after="0"/>
              <w:jc w:val="center"/>
              <w:rPr>
                <w:rFonts w:ascii="Times New Roman" w:eastAsia="Times New Roman" w:hAnsi="Times New Roman" w:cs="Times New Roman"/>
                <w:b/>
                <w:noProof/>
                <w:lang w:val="en-GB"/>
              </w:rPr>
            </w:pPr>
            <w:r w:rsidRPr="001961AA">
              <w:rPr>
                <w:rFonts w:ascii="Times New Roman" w:hAnsi="Times New Roman"/>
                <w:b/>
                <w:noProof/>
                <w:lang w:val="en-GB"/>
              </w:rPr>
              <w:t>Unit of measure</w:t>
            </w:r>
          </w:p>
        </w:tc>
        <w:tc>
          <w:tcPr>
            <w:tcW w:w="1080" w:type="dxa"/>
            <w:tcBorders>
              <w:top w:val="nil"/>
              <w:left w:val="nil"/>
              <w:bottom w:val="single" w:sz="4" w:space="0" w:color="auto"/>
              <w:right w:val="single" w:sz="4" w:space="0" w:color="auto"/>
            </w:tcBorders>
            <w:shd w:val="clear" w:color="auto" w:fill="BDD7EE"/>
            <w:vAlign w:val="center"/>
            <w:hideMark/>
          </w:tcPr>
          <w:p w14:paraId="0E136B71" w14:textId="77777777" w:rsidR="006A41D9" w:rsidRPr="001961AA" w:rsidRDefault="006A41D9" w:rsidP="00BD6DD1">
            <w:pPr>
              <w:spacing w:after="0"/>
              <w:jc w:val="center"/>
              <w:rPr>
                <w:rFonts w:ascii="Times New Roman" w:eastAsia="Times New Roman" w:hAnsi="Times New Roman" w:cs="Times New Roman"/>
                <w:b/>
                <w:noProof/>
                <w:lang w:val="en-GB"/>
              </w:rPr>
            </w:pPr>
            <w:r w:rsidRPr="001961AA">
              <w:rPr>
                <w:rFonts w:ascii="Times New Roman" w:hAnsi="Times New Roman"/>
                <w:b/>
                <w:noProof/>
                <w:lang w:val="en-GB"/>
              </w:rPr>
              <w:t xml:space="preserve">Baseline </w:t>
            </w:r>
          </w:p>
        </w:tc>
        <w:tc>
          <w:tcPr>
            <w:tcW w:w="840" w:type="dxa"/>
            <w:tcBorders>
              <w:top w:val="nil"/>
              <w:left w:val="nil"/>
              <w:bottom w:val="single" w:sz="4" w:space="0" w:color="auto"/>
              <w:right w:val="single" w:sz="4" w:space="0" w:color="auto"/>
            </w:tcBorders>
            <w:shd w:val="clear" w:color="auto" w:fill="BDD7EE"/>
            <w:vAlign w:val="center"/>
            <w:hideMark/>
          </w:tcPr>
          <w:p w14:paraId="1A0D8C78" w14:textId="77777777" w:rsidR="006A41D9" w:rsidRPr="001961AA" w:rsidRDefault="006A41D9" w:rsidP="00BD6DD1">
            <w:pPr>
              <w:spacing w:after="0"/>
              <w:jc w:val="center"/>
              <w:rPr>
                <w:rFonts w:ascii="Times New Roman" w:eastAsia="Times New Roman" w:hAnsi="Times New Roman" w:cs="Times New Roman"/>
                <w:b/>
                <w:noProof/>
                <w:lang w:val="en-GB"/>
              </w:rPr>
            </w:pPr>
            <w:r w:rsidRPr="001961AA">
              <w:rPr>
                <w:rFonts w:ascii="Times New Roman" w:hAnsi="Times New Roman"/>
                <w:b/>
                <w:noProof/>
                <w:lang w:val="en-GB"/>
              </w:rPr>
              <w:t xml:space="preserve">Goal </w:t>
            </w:r>
          </w:p>
        </w:tc>
        <w:tc>
          <w:tcPr>
            <w:tcW w:w="1080" w:type="dxa"/>
            <w:tcBorders>
              <w:top w:val="nil"/>
              <w:left w:val="nil"/>
              <w:bottom w:val="single" w:sz="4" w:space="0" w:color="auto"/>
              <w:right w:val="single" w:sz="4" w:space="0" w:color="auto"/>
            </w:tcBorders>
            <w:shd w:val="clear" w:color="auto" w:fill="BDD7EE"/>
            <w:vAlign w:val="center"/>
            <w:hideMark/>
          </w:tcPr>
          <w:p w14:paraId="14D296D6" w14:textId="77777777" w:rsidR="006A41D9" w:rsidRPr="001961AA" w:rsidRDefault="006A41D9" w:rsidP="00BD6DD1">
            <w:pPr>
              <w:spacing w:after="0"/>
              <w:jc w:val="center"/>
              <w:rPr>
                <w:rFonts w:ascii="Times New Roman" w:eastAsia="Times New Roman" w:hAnsi="Times New Roman" w:cs="Times New Roman"/>
                <w:b/>
                <w:noProof/>
                <w:lang w:val="en-GB"/>
              </w:rPr>
            </w:pPr>
            <w:r w:rsidRPr="001961AA">
              <w:rPr>
                <w:rFonts w:ascii="Times New Roman" w:hAnsi="Times New Roman"/>
                <w:b/>
                <w:noProof/>
                <w:lang w:val="en-GB"/>
              </w:rPr>
              <w:t>Quarter</w:t>
            </w:r>
          </w:p>
        </w:tc>
        <w:tc>
          <w:tcPr>
            <w:tcW w:w="720" w:type="dxa"/>
            <w:tcBorders>
              <w:top w:val="nil"/>
              <w:left w:val="nil"/>
              <w:bottom w:val="single" w:sz="4" w:space="0" w:color="auto"/>
              <w:right w:val="single" w:sz="4" w:space="0" w:color="auto"/>
            </w:tcBorders>
            <w:shd w:val="clear" w:color="auto" w:fill="BDD7EE"/>
            <w:vAlign w:val="center"/>
            <w:hideMark/>
          </w:tcPr>
          <w:p w14:paraId="6DF14EE7" w14:textId="77777777" w:rsidR="006A41D9" w:rsidRPr="001961AA" w:rsidRDefault="006A41D9" w:rsidP="00BD6DD1">
            <w:pPr>
              <w:spacing w:after="0"/>
              <w:jc w:val="center"/>
              <w:rPr>
                <w:rFonts w:ascii="Times New Roman" w:eastAsia="Times New Roman" w:hAnsi="Times New Roman" w:cs="Times New Roman"/>
                <w:b/>
                <w:noProof/>
                <w:lang w:val="en-GB"/>
              </w:rPr>
            </w:pPr>
            <w:r w:rsidRPr="001961AA">
              <w:rPr>
                <w:rFonts w:ascii="Times New Roman" w:hAnsi="Times New Roman"/>
                <w:b/>
                <w:noProof/>
                <w:lang w:val="en-GB"/>
              </w:rPr>
              <w:t>Year</w:t>
            </w:r>
          </w:p>
        </w:tc>
        <w:tc>
          <w:tcPr>
            <w:tcW w:w="3747" w:type="dxa"/>
            <w:vMerge/>
            <w:tcBorders>
              <w:top w:val="single" w:sz="4" w:space="0" w:color="auto"/>
              <w:bottom w:val="single" w:sz="4" w:space="0" w:color="auto"/>
              <w:right w:val="single" w:sz="4" w:space="0" w:color="auto"/>
            </w:tcBorders>
            <w:vAlign w:val="center"/>
            <w:hideMark/>
          </w:tcPr>
          <w:p w14:paraId="5D6CF8D7" w14:textId="77777777" w:rsidR="006A41D9" w:rsidRPr="001961AA" w:rsidRDefault="006A41D9" w:rsidP="00BD6DD1">
            <w:pPr>
              <w:spacing w:after="0"/>
              <w:rPr>
                <w:rFonts w:ascii="Times New Roman" w:eastAsia="Times New Roman" w:hAnsi="Times New Roman" w:cs="Times New Roman"/>
                <w:b/>
                <w:bCs/>
                <w:noProof/>
                <w:szCs w:val="24"/>
                <w:lang w:val="en-GB" w:eastAsia="en-GB"/>
              </w:rPr>
            </w:pPr>
          </w:p>
        </w:tc>
      </w:tr>
      <w:tr w:rsidR="00032373" w:rsidRPr="001961AA" w14:paraId="4119EDED" w14:textId="77777777" w:rsidTr="00032373">
        <w:trPr>
          <w:trHeight w:val="309"/>
          <w:jc w:val="center"/>
        </w:trPr>
        <w:tc>
          <w:tcPr>
            <w:tcW w:w="595"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0215EB12"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94</w:t>
            </w:r>
          </w:p>
        </w:tc>
        <w:tc>
          <w:tcPr>
            <w:tcW w:w="1560"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1DE7C8C3"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Cycling infrastructure (I-3A)</w:t>
            </w:r>
          </w:p>
        </w:tc>
        <w:tc>
          <w:tcPr>
            <w:tcW w:w="1200" w:type="dxa"/>
            <w:tcBorders>
              <w:top w:val="single" w:sz="4" w:space="0" w:color="auto"/>
              <w:left w:val="nil"/>
              <w:bottom w:val="single" w:sz="4" w:space="0" w:color="auto"/>
              <w:right w:val="single" w:sz="4" w:space="0" w:color="auto"/>
            </w:tcBorders>
            <w:shd w:val="clear" w:color="auto" w:fill="C6EFCE"/>
            <w:noWrap/>
            <w:vAlign w:val="center"/>
            <w:hideMark/>
          </w:tcPr>
          <w:p w14:paraId="600DB5A9" w14:textId="2C330D49"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M</w:t>
            </w:r>
          </w:p>
        </w:tc>
        <w:tc>
          <w:tcPr>
            <w:tcW w:w="1680" w:type="dxa"/>
            <w:tcBorders>
              <w:top w:val="single" w:sz="4" w:space="0" w:color="auto"/>
              <w:left w:val="nil"/>
              <w:bottom w:val="single" w:sz="4" w:space="0" w:color="auto"/>
              <w:right w:val="single" w:sz="4" w:space="0" w:color="auto"/>
            </w:tcBorders>
            <w:shd w:val="clear" w:color="auto" w:fill="C6EFCE"/>
            <w:noWrap/>
            <w:vAlign w:val="center"/>
            <w:hideMark/>
          </w:tcPr>
          <w:p w14:paraId="08FEF68E"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Start of all cycling and walking projects</w:t>
            </w:r>
          </w:p>
        </w:tc>
        <w:tc>
          <w:tcPr>
            <w:tcW w:w="1680" w:type="dxa"/>
            <w:tcBorders>
              <w:top w:val="single" w:sz="4" w:space="0" w:color="auto"/>
              <w:left w:val="nil"/>
              <w:bottom w:val="single" w:sz="4" w:space="0" w:color="auto"/>
              <w:right w:val="single" w:sz="4" w:space="0" w:color="auto"/>
            </w:tcBorders>
            <w:shd w:val="clear" w:color="auto" w:fill="C6EFCE"/>
            <w:noWrap/>
            <w:vAlign w:val="center"/>
          </w:tcPr>
          <w:p w14:paraId="3845571D"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Adoption of the decision or contract award</w:t>
            </w:r>
          </w:p>
        </w:tc>
        <w:tc>
          <w:tcPr>
            <w:tcW w:w="1320" w:type="dxa"/>
            <w:tcBorders>
              <w:top w:val="nil"/>
              <w:left w:val="nil"/>
              <w:bottom w:val="single" w:sz="4" w:space="0" w:color="auto"/>
              <w:right w:val="single" w:sz="4" w:space="0" w:color="auto"/>
            </w:tcBorders>
            <w:shd w:val="clear" w:color="auto" w:fill="C6EFCE"/>
            <w:noWrap/>
            <w:vAlign w:val="center"/>
            <w:hideMark/>
          </w:tcPr>
          <w:p w14:paraId="572BCFD9" w14:textId="77777777"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1080"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46D18947" w14:textId="77777777" w:rsidR="006A41D9" w:rsidRPr="001961AA" w:rsidRDefault="006A41D9" w:rsidP="00BD6DD1">
            <w:pPr>
              <w:spacing w:after="0"/>
              <w:jc w:val="right"/>
              <w:rPr>
                <w:rFonts w:ascii="Times New Roman" w:eastAsia="Times New Roman" w:hAnsi="Times New Roman" w:cs="Times New Roman"/>
                <w:noProof/>
                <w:color w:val="006100"/>
                <w:lang w:val="en-GB" w:eastAsia="en-GB"/>
              </w:rPr>
            </w:pPr>
          </w:p>
        </w:tc>
        <w:tc>
          <w:tcPr>
            <w:tcW w:w="840" w:type="dxa"/>
            <w:tcBorders>
              <w:top w:val="single" w:sz="4" w:space="0" w:color="auto"/>
              <w:left w:val="nil"/>
              <w:bottom w:val="single" w:sz="4" w:space="0" w:color="auto"/>
              <w:right w:val="single" w:sz="4" w:space="0" w:color="auto"/>
            </w:tcBorders>
            <w:shd w:val="clear" w:color="auto" w:fill="C6EFCE"/>
            <w:noWrap/>
            <w:vAlign w:val="center"/>
            <w:hideMark/>
          </w:tcPr>
          <w:p w14:paraId="6F8C53A3" w14:textId="77777777" w:rsidR="006A41D9" w:rsidRPr="001961AA" w:rsidRDefault="006A41D9" w:rsidP="00BD6DD1">
            <w:pPr>
              <w:spacing w:after="0"/>
              <w:jc w:val="right"/>
              <w:rPr>
                <w:rFonts w:ascii="Times New Roman" w:eastAsia="Times New Roman" w:hAnsi="Times New Roman" w:cs="Times New Roman"/>
                <w:noProof/>
                <w:color w:val="006100"/>
                <w:lang w:val="en-GB" w:eastAsia="en-GB"/>
              </w:rPr>
            </w:pPr>
          </w:p>
        </w:tc>
        <w:tc>
          <w:tcPr>
            <w:tcW w:w="1080" w:type="dxa"/>
            <w:tcBorders>
              <w:top w:val="single" w:sz="4" w:space="0" w:color="auto"/>
              <w:left w:val="nil"/>
              <w:bottom w:val="single" w:sz="4" w:space="0" w:color="auto"/>
              <w:right w:val="single" w:sz="4" w:space="0" w:color="auto"/>
            </w:tcBorders>
            <w:shd w:val="clear" w:color="auto" w:fill="C6EFCE"/>
            <w:noWrap/>
            <w:vAlign w:val="center"/>
            <w:hideMark/>
          </w:tcPr>
          <w:p w14:paraId="7571952A"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Q2</w:t>
            </w:r>
          </w:p>
        </w:tc>
        <w:tc>
          <w:tcPr>
            <w:tcW w:w="720" w:type="dxa"/>
            <w:tcBorders>
              <w:top w:val="single" w:sz="4" w:space="0" w:color="auto"/>
              <w:left w:val="nil"/>
              <w:bottom w:val="single" w:sz="4" w:space="0" w:color="auto"/>
              <w:right w:val="single" w:sz="4" w:space="0" w:color="auto"/>
            </w:tcBorders>
            <w:shd w:val="clear" w:color="auto" w:fill="C6EFCE"/>
            <w:noWrap/>
            <w:vAlign w:val="center"/>
            <w:hideMark/>
          </w:tcPr>
          <w:p w14:paraId="21745D54"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2024</w:t>
            </w:r>
          </w:p>
        </w:tc>
        <w:tc>
          <w:tcPr>
            <w:tcW w:w="3747"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44CE257B" w14:textId="25A24293" w:rsidR="006A41D9" w:rsidRPr="001961AA" w:rsidRDefault="006A41D9" w:rsidP="00B17CA5">
            <w:pPr>
              <w:spacing w:after="120"/>
              <w:rPr>
                <w:rFonts w:ascii="Times New Roman" w:hAnsi="Times New Roman" w:cs="Times New Roman"/>
                <w:noProof/>
                <w:color w:val="006100"/>
                <w:lang w:val="en-GB"/>
              </w:rPr>
            </w:pPr>
            <w:r w:rsidRPr="001961AA">
              <w:rPr>
                <w:rFonts w:ascii="Times New Roman" w:hAnsi="Times New Roman"/>
                <w:noProof/>
                <w:color w:val="006100"/>
                <w:u w:val="single"/>
                <w:lang w:val="en-GB"/>
              </w:rPr>
              <w:t>Cycling infrastructure – VLA (I-3.01)</w:t>
            </w:r>
            <w:r w:rsidRPr="001961AA">
              <w:rPr>
                <w:rFonts w:ascii="Times New Roman" w:hAnsi="Times New Roman"/>
                <w:noProof/>
                <w:color w:val="006100"/>
                <w:lang w:val="en-GB"/>
              </w:rPr>
              <w:t>: Adoption of the decisions on budget and/or subsidy modalities for the program of the Beleidsdomein Mobiliteit en Openbare Werken.</w:t>
            </w:r>
          </w:p>
          <w:p w14:paraId="69EF1283" w14:textId="65FD20AB" w:rsidR="006A41D9" w:rsidRPr="001961AA" w:rsidRDefault="006A41D9" w:rsidP="00B17CA5">
            <w:pPr>
              <w:spacing w:after="120"/>
              <w:rPr>
                <w:rFonts w:ascii="Times New Roman" w:hAnsi="Times New Roman" w:cs="Times New Roman"/>
                <w:noProof/>
                <w:color w:val="006100"/>
                <w:lang w:val="en-GB"/>
              </w:rPr>
            </w:pPr>
            <w:r w:rsidRPr="001961AA">
              <w:rPr>
                <w:rFonts w:ascii="Times New Roman" w:hAnsi="Times New Roman"/>
                <w:noProof/>
                <w:color w:val="006100"/>
                <w:u w:val="single"/>
                <w:lang w:val="en-GB"/>
              </w:rPr>
              <w:t>Cycling infrastructure – corridors vélo – WAL (I-3.02)</w:t>
            </w:r>
            <w:r w:rsidRPr="001961AA">
              <w:rPr>
                <w:rFonts w:ascii="Times New Roman" w:hAnsi="Times New Roman"/>
                <w:noProof/>
                <w:color w:val="006100"/>
                <w:lang w:val="en-GB"/>
              </w:rPr>
              <w:t>: Award of contracts on four stretches in Wallonia</w:t>
            </w:r>
          </w:p>
          <w:p w14:paraId="00FE9154" w14:textId="5A56A368" w:rsidR="006A41D9" w:rsidRPr="001961AA" w:rsidRDefault="006A41D9" w:rsidP="00B17CA5">
            <w:pPr>
              <w:spacing w:after="120"/>
              <w:rPr>
                <w:rFonts w:ascii="Times New Roman" w:eastAsia="Times New Roman" w:hAnsi="Times New Roman" w:cs="Times New Roman"/>
                <w:noProof/>
                <w:color w:val="006100"/>
                <w:highlight w:val="cyan"/>
                <w:lang w:val="en-GB"/>
              </w:rPr>
            </w:pPr>
            <w:r w:rsidRPr="001961AA">
              <w:rPr>
                <w:rFonts w:ascii="Times New Roman" w:hAnsi="Times New Roman"/>
                <w:noProof/>
                <w:color w:val="006100"/>
                <w:u w:val="single"/>
                <w:lang w:val="en-GB"/>
              </w:rPr>
              <w:t>Cycling infrastructure – VeloPlus – RBC (I-3.03a)</w:t>
            </w:r>
            <w:r w:rsidRPr="001961AA">
              <w:rPr>
                <w:rFonts w:ascii="Times New Roman" w:hAnsi="Times New Roman"/>
                <w:noProof/>
                <w:color w:val="006100"/>
                <w:lang w:val="en-GB"/>
              </w:rPr>
              <w:t>: Adoption of decision on cycling itineraries in Brussels (RBC)</w:t>
            </w:r>
          </w:p>
        </w:tc>
      </w:tr>
      <w:tr w:rsidR="00032373" w:rsidRPr="001961AA" w14:paraId="4B4938D1" w14:textId="77777777" w:rsidTr="00032373">
        <w:trPr>
          <w:trHeight w:val="309"/>
          <w:jc w:val="center"/>
        </w:trPr>
        <w:tc>
          <w:tcPr>
            <w:tcW w:w="595" w:type="dxa"/>
            <w:tcBorders>
              <w:top w:val="nil"/>
              <w:left w:val="single" w:sz="4" w:space="0" w:color="auto"/>
              <w:bottom w:val="single" w:sz="4" w:space="0" w:color="auto"/>
              <w:right w:val="single" w:sz="4" w:space="0" w:color="auto"/>
            </w:tcBorders>
            <w:shd w:val="clear" w:color="auto" w:fill="C6EFCE"/>
            <w:noWrap/>
            <w:vAlign w:val="center"/>
            <w:hideMark/>
          </w:tcPr>
          <w:p w14:paraId="1AC96F99"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95</w:t>
            </w:r>
          </w:p>
        </w:tc>
        <w:tc>
          <w:tcPr>
            <w:tcW w:w="1560"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3CCAFEFF"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Cycling infrastructure (I-3A)</w:t>
            </w:r>
          </w:p>
        </w:tc>
        <w:tc>
          <w:tcPr>
            <w:tcW w:w="1200" w:type="dxa"/>
            <w:tcBorders>
              <w:top w:val="single" w:sz="4" w:space="0" w:color="auto"/>
              <w:left w:val="nil"/>
              <w:bottom w:val="single" w:sz="4" w:space="0" w:color="auto"/>
              <w:right w:val="single" w:sz="4" w:space="0" w:color="auto"/>
            </w:tcBorders>
            <w:shd w:val="clear" w:color="auto" w:fill="C6EFCE"/>
            <w:noWrap/>
            <w:vAlign w:val="center"/>
            <w:hideMark/>
          </w:tcPr>
          <w:p w14:paraId="52A5623D" w14:textId="3D83E24A"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T</w:t>
            </w:r>
          </w:p>
        </w:tc>
        <w:tc>
          <w:tcPr>
            <w:tcW w:w="1680" w:type="dxa"/>
            <w:tcBorders>
              <w:top w:val="single" w:sz="4" w:space="0" w:color="auto"/>
              <w:left w:val="nil"/>
              <w:bottom w:val="single" w:sz="4" w:space="0" w:color="auto"/>
              <w:right w:val="single" w:sz="4" w:space="0" w:color="auto"/>
            </w:tcBorders>
            <w:shd w:val="clear" w:color="auto" w:fill="C6EFCE"/>
            <w:noWrap/>
            <w:vAlign w:val="center"/>
            <w:hideMark/>
          </w:tcPr>
          <w:p w14:paraId="2DB6A3B0"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New and refurbished cycling roads</w:t>
            </w:r>
          </w:p>
        </w:tc>
        <w:tc>
          <w:tcPr>
            <w:tcW w:w="1680" w:type="dxa"/>
            <w:tcBorders>
              <w:top w:val="single" w:sz="4" w:space="0" w:color="auto"/>
              <w:left w:val="nil"/>
              <w:bottom w:val="single" w:sz="4" w:space="0" w:color="auto"/>
              <w:right w:val="single" w:sz="4" w:space="0" w:color="auto"/>
            </w:tcBorders>
            <w:shd w:val="clear" w:color="auto" w:fill="C6EFCE"/>
            <w:noWrap/>
            <w:vAlign w:val="center"/>
            <w:hideMark/>
          </w:tcPr>
          <w:p w14:paraId="52B2757F" w14:textId="77777777"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1320" w:type="dxa"/>
            <w:tcBorders>
              <w:top w:val="single" w:sz="4" w:space="0" w:color="auto"/>
              <w:left w:val="nil"/>
              <w:bottom w:val="single" w:sz="4" w:space="0" w:color="auto"/>
              <w:right w:val="single" w:sz="4" w:space="0" w:color="auto"/>
            </w:tcBorders>
            <w:shd w:val="clear" w:color="auto" w:fill="C6EFCE"/>
            <w:noWrap/>
            <w:vAlign w:val="center"/>
            <w:hideMark/>
          </w:tcPr>
          <w:p w14:paraId="23526BD2"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km</w:t>
            </w:r>
          </w:p>
        </w:tc>
        <w:tc>
          <w:tcPr>
            <w:tcW w:w="1080" w:type="dxa"/>
            <w:tcBorders>
              <w:top w:val="nil"/>
              <w:left w:val="single" w:sz="4" w:space="0" w:color="auto"/>
              <w:bottom w:val="single" w:sz="4" w:space="0" w:color="auto"/>
              <w:right w:val="single" w:sz="4" w:space="0" w:color="auto"/>
            </w:tcBorders>
            <w:shd w:val="clear" w:color="auto" w:fill="C6EFCE"/>
            <w:noWrap/>
            <w:vAlign w:val="center"/>
            <w:hideMark/>
          </w:tcPr>
          <w:p w14:paraId="2BFF133C" w14:textId="77777777" w:rsidR="006A41D9" w:rsidRPr="001961AA" w:rsidRDefault="006A41D9" w:rsidP="00B17CA5">
            <w:pPr>
              <w:spacing w:after="0"/>
              <w:jc w:val="right"/>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0</w:t>
            </w:r>
          </w:p>
        </w:tc>
        <w:tc>
          <w:tcPr>
            <w:tcW w:w="840" w:type="dxa"/>
            <w:tcBorders>
              <w:top w:val="nil"/>
              <w:left w:val="nil"/>
              <w:bottom w:val="single" w:sz="4" w:space="0" w:color="auto"/>
              <w:right w:val="single" w:sz="4" w:space="0" w:color="auto"/>
            </w:tcBorders>
            <w:shd w:val="clear" w:color="auto" w:fill="C6EFCE"/>
            <w:noWrap/>
            <w:vAlign w:val="center"/>
            <w:hideMark/>
          </w:tcPr>
          <w:p w14:paraId="7391A442" w14:textId="1DD1601B" w:rsidR="006A41D9" w:rsidRPr="001961AA" w:rsidRDefault="006A41D9" w:rsidP="00B17CA5">
            <w:pPr>
              <w:spacing w:after="0"/>
              <w:jc w:val="right"/>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6.3</w:t>
            </w:r>
          </w:p>
        </w:tc>
        <w:tc>
          <w:tcPr>
            <w:tcW w:w="1080" w:type="dxa"/>
            <w:tcBorders>
              <w:top w:val="nil"/>
              <w:left w:val="nil"/>
              <w:bottom w:val="single" w:sz="4" w:space="0" w:color="auto"/>
              <w:right w:val="single" w:sz="4" w:space="0" w:color="auto"/>
            </w:tcBorders>
            <w:shd w:val="clear" w:color="auto" w:fill="C6EFCE"/>
            <w:noWrap/>
            <w:vAlign w:val="center"/>
            <w:hideMark/>
          </w:tcPr>
          <w:p w14:paraId="35577269"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Q1</w:t>
            </w:r>
          </w:p>
        </w:tc>
        <w:tc>
          <w:tcPr>
            <w:tcW w:w="720" w:type="dxa"/>
            <w:tcBorders>
              <w:top w:val="nil"/>
              <w:left w:val="nil"/>
              <w:bottom w:val="single" w:sz="4" w:space="0" w:color="auto"/>
              <w:right w:val="single" w:sz="4" w:space="0" w:color="auto"/>
            </w:tcBorders>
            <w:shd w:val="clear" w:color="auto" w:fill="C6EFCE"/>
            <w:noWrap/>
            <w:vAlign w:val="center"/>
            <w:hideMark/>
          </w:tcPr>
          <w:p w14:paraId="76CCF87D"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2024</w:t>
            </w:r>
          </w:p>
        </w:tc>
        <w:tc>
          <w:tcPr>
            <w:tcW w:w="3747" w:type="dxa"/>
            <w:tcBorders>
              <w:top w:val="nil"/>
              <w:left w:val="single" w:sz="4" w:space="0" w:color="auto"/>
              <w:bottom w:val="single" w:sz="4" w:space="0" w:color="auto"/>
              <w:right w:val="single" w:sz="4" w:space="0" w:color="auto"/>
            </w:tcBorders>
            <w:shd w:val="clear" w:color="auto" w:fill="C6EFCE"/>
            <w:noWrap/>
            <w:vAlign w:val="center"/>
            <w:hideMark/>
          </w:tcPr>
          <w:p w14:paraId="33D8A490" w14:textId="4B3BEC78" w:rsidR="006A41D9" w:rsidRPr="001961AA" w:rsidRDefault="006A41D9" w:rsidP="00B17CA5">
            <w:pPr>
              <w:spacing w:after="120"/>
              <w:rPr>
                <w:rFonts w:ascii="Times New Roman" w:hAnsi="Times New Roman" w:cs="Times New Roman"/>
                <w:noProof/>
                <w:color w:val="006100"/>
                <w:lang w:val="en-GB"/>
              </w:rPr>
            </w:pPr>
            <w:r w:rsidRPr="001961AA">
              <w:rPr>
                <w:rFonts w:ascii="Times New Roman" w:hAnsi="Times New Roman"/>
                <w:noProof/>
                <w:color w:val="006100"/>
                <w:lang w:val="en-GB"/>
              </w:rPr>
              <w:t>6.3 km of new and refurbished cycling paths.</w:t>
            </w:r>
          </w:p>
          <w:p w14:paraId="279EA139" w14:textId="53D46B0E" w:rsidR="00F44318" w:rsidRPr="001961AA" w:rsidRDefault="00F44318" w:rsidP="00F44318">
            <w:pPr>
              <w:spacing w:after="0"/>
              <w:rPr>
                <w:rFonts w:ascii="Times New Roman" w:hAnsi="Times New Roman" w:cs="Times New Roman"/>
                <w:noProof/>
                <w:color w:val="006100"/>
                <w:lang w:val="en-GB"/>
              </w:rPr>
            </w:pPr>
            <w:r w:rsidRPr="001961AA">
              <w:rPr>
                <w:rFonts w:ascii="Times New Roman" w:hAnsi="Times New Roman"/>
                <w:noProof/>
                <w:color w:val="006100"/>
                <w:lang w:val="en-GB"/>
              </w:rPr>
              <w:t xml:space="preserve">This target is indicatively broken down into the following sub-targets, which do not have to be reached individually provided that the above kilometers of cycling paths are achieved: </w:t>
            </w:r>
          </w:p>
          <w:p w14:paraId="3065C527" w14:textId="7F4453E7" w:rsidR="00B12516" w:rsidRPr="001961AA" w:rsidRDefault="00F44318" w:rsidP="00B17CA5">
            <w:pPr>
              <w:spacing w:after="0"/>
              <w:rPr>
                <w:rFonts w:ascii="Times New Roman" w:hAnsi="Times New Roman" w:cs="Times New Roman"/>
                <w:noProof/>
                <w:color w:val="006100"/>
                <w:lang w:val="en-GB"/>
              </w:rPr>
            </w:pPr>
            <w:r w:rsidRPr="001961AA">
              <w:rPr>
                <w:rFonts w:ascii="Times New Roman" w:hAnsi="Times New Roman"/>
                <w:noProof/>
                <w:color w:val="006100"/>
                <w:lang w:val="en-GB"/>
              </w:rPr>
              <w:t>(i) Brussels-Capital Region (related to I-3.03a): 6.3 refurbished and new km</w:t>
            </w:r>
          </w:p>
        </w:tc>
      </w:tr>
      <w:tr w:rsidR="00032373" w:rsidRPr="001961AA" w14:paraId="5A07D63A" w14:textId="77777777" w:rsidTr="00032373">
        <w:trPr>
          <w:trHeight w:val="309"/>
          <w:jc w:val="center"/>
        </w:trPr>
        <w:tc>
          <w:tcPr>
            <w:tcW w:w="595" w:type="dxa"/>
            <w:tcBorders>
              <w:top w:val="nil"/>
              <w:left w:val="single" w:sz="4" w:space="0" w:color="auto"/>
              <w:bottom w:val="single" w:sz="4" w:space="0" w:color="auto"/>
              <w:right w:val="single" w:sz="4" w:space="0" w:color="auto"/>
            </w:tcBorders>
            <w:shd w:val="clear" w:color="auto" w:fill="C6EFCE"/>
            <w:noWrap/>
            <w:vAlign w:val="center"/>
            <w:hideMark/>
          </w:tcPr>
          <w:p w14:paraId="531586FC"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96</w:t>
            </w:r>
          </w:p>
        </w:tc>
        <w:tc>
          <w:tcPr>
            <w:tcW w:w="1560" w:type="dxa"/>
            <w:tcBorders>
              <w:top w:val="nil"/>
              <w:left w:val="single" w:sz="4" w:space="0" w:color="auto"/>
              <w:bottom w:val="single" w:sz="4" w:space="0" w:color="auto"/>
              <w:right w:val="single" w:sz="4" w:space="0" w:color="auto"/>
            </w:tcBorders>
            <w:shd w:val="clear" w:color="auto" w:fill="C6EFCE"/>
            <w:noWrap/>
            <w:vAlign w:val="center"/>
            <w:hideMark/>
          </w:tcPr>
          <w:p w14:paraId="7BE86250"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Cycling infrastructure (I-3A)</w:t>
            </w:r>
          </w:p>
        </w:tc>
        <w:tc>
          <w:tcPr>
            <w:tcW w:w="1200" w:type="dxa"/>
            <w:tcBorders>
              <w:top w:val="nil"/>
              <w:left w:val="nil"/>
              <w:bottom w:val="single" w:sz="4" w:space="0" w:color="auto"/>
              <w:right w:val="single" w:sz="4" w:space="0" w:color="auto"/>
            </w:tcBorders>
            <w:shd w:val="clear" w:color="auto" w:fill="C6EFCE"/>
            <w:noWrap/>
            <w:vAlign w:val="center"/>
            <w:hideMark/>
          </w:tcPr>
          <w:p w14:paraId="1D107F11" w14:textId="5868106D"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T</w:t>
            </w:r>
          </w:p>
        </w:tc>
        <w:tc>
          <w:tcPr>
            <w:tcW w:w="1680" w:type="dxa"/>
            <w:tcBorders>
              <w:top w:val="nil"/>
              <w:left w:val="nil"/>
              <w:bottom w:val="single" w:sz="4" w:space="0" w:color="auto"/>
              <w:right w:val="single" w:sz="4" w:space="0" w:color="auto"/>
            </w:tcBorders>
            <w:shd w:val="clear" w:color="auto" w:fill="C6EFCE"/>
            <w:noWrap/>
            <w:vAlign w:val="center"/>
            <w:hideMark/>
          </w:tcPr>
          <w:p w14:paraId="1CE76726"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New and refurbished cycling roads</w:t>
            </w:r>
          </w:p>
        </w:tc>
        <w:tc>
          <w:tcPr>
            <w:tcW w:w="1680" w:type="dxa"/>
            <w:tcBorders>
              <w:top w:val="nil"/>
              <w:left w:val="nil"/>
              <w:bottom w:val="single" w:sz="4" w:space="0" w:color="auto"/>
              <w:right w:val="single" w:sz="4" w:space="0" w:color="auto"/>
            </w:tcBorders>
            <w:shd w:val="clear" w:color="auto" w:fill="C6EFCE"/>
            <w:noWrap/>
            <w:vAlign w:val="center"/>
            <w:hideMark/>
          </w:tcPr>
          <w:p w14:paraId="746CEA94" w14:textId="77777777" w:rsidR="006A41D9" w:rsidRPr="001961AA" w:rsidRDefault="006A41D9" w:rsidP="00BD6DD1">
            <w:pPr>
              <w:spacing w:after="0"/>
              <w:rPr>
                <w:rFonts w:ascii="Times New Roman" w:hAnsi="Times New Roman" w:cs="Times New Roman"/>
                <w:noProof/>
                <w:color w:val="006100"/>
                <w:lang w:val="en-GB" w:eastAsia="en-GB"/>
              </w:rPr>
            </w:pPr>
          </w:p>
        </w:tc>
        <w:tc>
          <w:tcPr>
            <w:tcW w:w="1320" w:type="dxa"/>
            <w:tcBorders>
              <w:top w:val="nil"/>
              <w:left w:val="nil"/>
              <w:bottom w:val="single" w:sz="4" w:space="0" w:color="auto"/>
              <w:right w:val="single" w:sz="4" w:space="0" w:color="auto"/>
            </w:tcBorders>
            <w:shd w:val="clear" w:color="auto" w:fill="C6EFCE"/>
            <w:noWrap/>
            <w:vAlign w:val="center"/>
            <w:hideMark/>
          </w:tcPr>
          <w:p w14:paraId="11701E70"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km</w:t>
            </w:r>
          </w:p>
        </w:tc>
        <w:tc>
          <w:tcPr>
            <w:tcW w:w="1080" w:type="dxa"/>
            <w:tcBorders>
              <w:top w:val="nil"/>
              <w:left w:val="single" w:sz="4" w:space="0" w:color="auto"/>
              <w:bottom w:val="single" w:sz="4" w:space="0" w:color="auto"/>
              <w:right w:val="single" w:sz="4" w:space="0" w:color="auto"/>
            </w:tcBorders>
            <w:shd w:val="clear" w:color="auto" w:fill="C6EFCE"/>
            <w:noWrap/>
            <w:vAlign w:val="center"/>
            <w:hideMark/>
          </w:tcPr>
          <w:p w14:paraId="154C6D1B" w14:textId="02F36D15" w:rsidR="006A41D9" w:rsidRPr="001961AA" w:rsidRDefault="006A41D9" w:rsidP="00B17CA5">
            <w:pPr>
              <w:spacing w:after="0"/>
              <w:jc w:val="right"/>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6.3</w:t>
            </w:r>
          </w:p>
        </w:tc>
        <w:tc>
          <w:tcPr>
            <w:tcW w:w="840" w:type="dxa"/>
            <w:tcBorders>
              <w:top w:val="nil"/>
              <w:left w:val="nil"/>
              <w:bottom w:val="single" w:sz="4" w:space="0" w:color="auto"/>
              <w:right w:val="single" w:sz="4" w:space="0" w:color="auto"/>
            </w:tcBorders>
            <w:shd w:val="clear" w:color="auto" w:fill="C6EFCE"/>
            <w:noWrap/>
            <w:vAlign w:val="center"/>
            <w:hideMark/>
          </w:tcPr>
          <w:p w14:paraId="3002640D" w14:textId="0E0FD40D" w:rsidR="006A41D9" w:rsidRPr="001961AA" w:rsidRDefault="00461F99" w:rsidP="00B17CA5">
            <w:pPr>
              <w:spacing w:after="0"/>
              <w:jc w:val="right"/>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432.77</w:t>
            </w:r>
          </w:p>
        </w:tc>
        <w:tc>
          <w:tcPr>
            <w:tcW w:w="1080" w:type="dxa"/>
            <w:tcBorders>
              <w:top w:val="nil"/>
              <w:left w:val="nil"/>
              <w:bottom w:val="single" w:sz="4" w:space="0" w:color="auto"/>
              <w:right w:val="single" w:sz="4" w:space="0" w:color="auto"/>
            </w:tcBorders>
            <w:shd w:val="clear" w:color="auto" w:fill="C6EFCE"/>
            <w:noWrap/>
            <w:vAlign w:val="center"/>
            <w:hideMark/>
          </w:tcPr>
          <w:p w14:paraId="66C505E3"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Q2</w:t>
            </w:r>
          </w:p>
        </w:tc>
        <w:tc>
          <w:tcPr>
            <w:tcW w:w="720" w:type="dxa"/>
            <w:tcBorders>
              <w:top w:val="nil"/>
              <w:left w:val="nil"/>
              <w:bottom w:val="single" w:sz="4" w:space="0" w:color="auto"/>
              <w:right w:val="single" w:sz="4" w:space="0" w:color="auto"/>
            </w:tcBorders>
            <w:shd w:val="clear" w:color="auto" w:fill="C6EFCE"/>
            <w:noWrap/>
            <w:vAlign w:val="center"/>
            <w:hideMark/>
          </w:tcPr>
          <w:p w14:paraId="2F7FB407"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2026</w:t>
            </w:r>
          </w:p>
        </w:tc>
        <w:tc>
          <w:tcPr>
            <w:tcW w:w="3747" w:type="dxa"/>
            <w:tcBorders>
              <w:top w:val="nil"/>
              <w:left w:val="single" w:sz="4" w:space="0" w:color="auto"/>
              <w:bottom w:val="single" w:sz="4" w:space="0" w:color="auto"/>
              <w:right w:val="single" w:sz="4" w:space="0" w:color="auto"/>
            </w:tcBorders>
            <w:shd w:val="clear" w:color="auto" w:fill="C6EFCE"/>
            <w:noWrap/>
            <w:vAlign w:val="center"/>
            <w:hideMark/>
          </w:tcPr>
          <w:p w14:paraId="7E75B6DC" w14:textId="2432580A" w:rsidR="006A41D9" w:rsidRPr="001961AA" w:rsidRDefault="00FD04F1" w:rsidP="00B17CA5">
            <w:pPr>
              <w:spacing w:after="120"/>
              <w:rPr>
                <w:rFonts w:ascii="Times New Roman" w:hAnsi="Times New Roman" w:cs="Times New Roman"/>
                <w:noProof/>
                <w:color w:val="006100"/>
                <w:lang w:val="en-GB"/>
              </w:rPr>
            </w:pPr>
            <w:r w:rsidRPr="001961AA">
              <w:rPr>
                <w:rFonts w:ascii="Times New Roman" w:hAnsi="Times New Roman"/>
                <w:noProof/>
                <w:color w:val="006100"/>
                <w:lang w:val="en-GB"/>
              </w:rPr>
              <w:t>432.77 km of new and refurbished cycling paths.</w:t>
            </w:r>
          </w:p>
          <w:p w14:paraId="01D38CCC" w14:textId="778FB325" w:rsidR="00E513B4" w:rsidRPr="001961AA" w:rsidRDefault="00E513B4" w:rsidP="00B17CA5">
            <w:pPr>
              <w:spacing w:after="120"/>
              <w:rPr>
                <w:rFonts w:ascii="Times New Roman" w:hAnsi="Times New Roman" w:cs="Times New Roman"/>
                <w:noProof/>
                <w:color w:val="006100"/>
                <w:lang w:val="en-GB"/>
              </w:rPr>
            </w:pPr>
            <w:r w:rsidRPr="001961AA">
              <w:rPr>
                <w:rFonts w:ascii="Times New Roman" w:hAnsi="Times New Roman"/>
                <w:noProof/>
                <w:color w:val="006100"/>
                <w:lang w:val="en-GB"/>
              </w:rPr>
              <w:t xml:space="preserve">This target is indicatively broken down into the following sub-targets, which do not have to be reached individually provided that the above kilometers of cycling paths are achieved: </w:t>
            </w:r>
          </w:p>
          <w:p w14:paraId="78A7FC7D" w14:textId="59962A9D" w:rsidR="00E513B4" w:rsidRPr="001961AA" w:rsidRDefault="00E513B4" w:rsidP="00E513B4">
            <w:pPr>
              <w:spacing w:after="0"/>
              <w:rPr>
                <w:rFonts w:ascii="Times New Roman" w:hAnsi="Times New Roman" w:cs="Times New Roman"/>
                <w:noProof/>
                <w:color w:val="006100"/>
                <w:lang w:val="en-GB"/>
              </w:rPr>
            </w:pPr>
            <w:r w:rsidRPr="001961AA">
              <w:rPr>
                <w:rFonts w:ascii="Times New Roman" w:hAnsi="Times New Roman"/>
                <w:noProof/>
                <w:color w:val="006100"/>
                <w:lang w:val="en-GB"/>
              </w:rPr>
              <w:t>(i) Brussels-Capital Region (related to I-3.03a): 4.5 refurbished and 11.7 new km</w:t>
            </w:r>
          </w:p>
          <w:p w14:paraId="5F8E49EF" w14:textId="7891A611" w:rsidR="00E513B4" w:rsidRPr="001961AA" w:rsidRDefault="00E513B4" w:rsidP="00E513B4">
            <w:pPr>
              <w:spacing w:after="0"/>
              <w:rPr>
                <w:rFonts w:ascii="Times New Roman" w:hAnsi="Times New Roman" w:cs="Times New Roman"/>
                <w:noProof/>
                <w:color w:val="006100"/>
                <w:lang w:val="en-GB"/>
              </w:rPr>
            </w:pPr>
            <w:r w:rsidRPr="001961AA">
              <w:rPr>
                <w:rFonts w:ascii="Times New Roman" w:hAnsi="Times New Roman"/>
                <w:noProof/>
                <w:color w:val="006100"/>
                <w:lang w:val="en-GB"/>
              </w:rPr>
              <w:t>(ii) Flemish Region (related to I-3.01): 365.0 refurbished and 40.0 new km</w:t>
            </w:r>
          </w:p>
          <w:p w14:paraId="512A2CDC" w14:textId="0D613667" w:rsidR="00E513B4" w:rsidRPr="001961AA" w:rsidRDefault="00E513B4" w:rsidP="00E513B4">
            <w:pPr>
              <w:spacing w:after="0"/>
              <w:rPr>
                <w:rFonts w:ascii="Times New Roman" w:hAnsi="Times New Roman" w:cs="Times New Roman"/>
                <w:noProof/>
                <w:color w:val="006100"/>
                <w:lang w:val="en-GB"/>
              </w:rPr>
            </w:pPr>
            <w:r w:rsidRPr="001961AA">
              <w:rPr>
                <w:rFonts w:ascii="Times New Roman" w:hAnsi="Times New Roman"/>
                <w:noProof/>
                <w:color w:val="006100"/>
                <w:lang w:val="en-GB"/>
              </w:rPr>
              <w:t>(iii) Walloon Region (related to I-3.02): 11.57 new km</w:t>
            </w:r>
          </w:p>
        </w:tc>
      </w:tr>
      <w:tr w:rsidR="00032373" w:rsidRPr="001961AA" w14:paraId="113BAB51" w14:textId="77777777" w:rsidTr="00032373">
        <w:trPr>
          <w:trHeight w:val="309"/>
          <w:jc w:val="center"/>
        </w:trPr>
        <w:tc>
          <w:tcPr>
            <w:tcW w:w="595" w:type="dxa"/>
            <w:tcBorders>
              <w:top w:val="nil"/>
              <w:left w:val="single" w:sz="4" w:space="0" w:color="auto"/>
              <w:bottom w:val="single" w:sz="4" w:space="0" w:color="auto"/>
              <w:right w:val="single" w:sz="4" w:space="0" w:color="auto"/>
            </w:tcBorders>
            <w:shd w:val="clear" w:color="auto" w:fill="C6EFCE"/>
            <w:noWrap/>
            <w:vAlign w:val="center"/>
            <w:hideMark/>
          </w:tcPr>
          <w:p w14:paraId="79B254E5"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97</w:t>
            </w:r>
          </w:p>
        </w:tc>
        <w:tc>
          <w:tcPr>
            <w:tcW w:w="1560" w:type="dxa"/>
            <w:tcBorders>
              <w:top w:val="nil"/>
              <w:left w:val="single" w:sz="4" w:space="0" w:color="auto"/>
              <w:bottom w:val="single" w:sz="4" w:space="0" w:color="auto"/>
              <w:right w:val="single" w:sz="4" w:space="0" w:color="auto"/>
            </w:tcBorders>
            <w:shd w:val="clear" w:color="auto" w:fill="C6EFCE"/>
            <w:noWrap/>
            <w:vAlign w:val="center"/>
            <w:hideMark/>
          </w:tcPr>
          <w:p w14:paraId="496FCFA0" w14:textId="155AC529"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Cycling infrastructure – VeloPlus – RBC (I-3.03a)</w:t>
            </w:r>
          </w:p>
        </w:tc>
        <w:tc>
          <w:tcPr>
            <w:tcW w:w="1200" w:type="dxa"/>
            <w:tcBorders>
              <w:top w:val="nil"/>
              <w:left w:val="nil"/>
              <w:bottom w:val="single" w:sz="4" w:space="0" w:color="auto"/>
              <w:right w:val="single" w:sz="4" w:space="0" w:color="auto"/>
            </w:tcBorders>
            <w:shd w:val="clear" w:color="auto" w:fill="C6EFCE"/>
            <w:noWrap/>
            <w:vAlign w:val="center"/>
            <w:hideMark/>
          </w:tcPr>
          <w:p w14:paraId="617CFF78" w14:textId="2EF49FA2"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T</w:t>
            </w:r>
          </w:p>
        </w:tc>
        <w:tc>
          <w:tcPr>
            <w:tcW w:w="1680" w:type="dxa"/>
            <w:tcBorders>
              <w:top w:val="nil"/>
              <w:left w:val="nil"/>
              <w:bottom w:val="single" w:sz="4" w:space="0" w:color="auto"/>
              <w:right w:val="single" w:sz="4" w:space="0" w:color="auto"/>
            </w:tcBorders>
            <w:shd w:val="clear" w:color="auto" w:fill="C6EFCE"/>
            <w:noWrap/>
            <w:vAlign w:val="center"/>
            <w:hideMark/>
          </w:tcPr>
          <w:p w14:paraId="13619057"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New public cycling parking for residents</w:t>
            </w:r>
          </w:p>
        </w:tc>
        <w:tc>
          <w:tcPr>
            <w:tcW w:w="1680" w:type="dxa"/>
            <w:tcBorders>
              <w:top w:val="nil"/>
              <w:left w:val="nil"/>
              <w:bottom w:val="single" w:sz="4" w:space="0" w:color="auto"/>
              <w:right w:val="single" w:sz="4" w:space="0" w:color="auto"/>
            </w:tcBorders>
            <w:shd w:val="clear" w:color="auto" w:fill="C6EFCE"/>
            <w:noWrap/>
            <w:vAlign w:val="center"/>
            <w:hideMark/>
          </w:tcPr>
          <w:p w14:paraId="20EB02BE" w14:textId="77777777" w:rsidR="006A41D9" w:rsidRPr="001961AA" w:rsidRDefault="006A41D9" w:rsidP="00BD6DD1">
            <w:pPr>
              <w:spacing w:after="0"/>
              <w:rPr>
                <w:rFonts w:ascii="Times New Roman" w:hAnsi="Times New Roman" w:cs="Times New Roman"/>
                <w:noProof/>
                <w:color w:val="006100"/>
                <w:lang w:val="en-GB"/>
              </w:rPr>
            </w:pPr>
          </w:p>
        </w:tc>
        <w:tc>
          <w:tcPr>
            <w:tcW w:w="1320" w:type="dxa"/>
            <w:tcBorders>
              <w:top w:val="nil"/>
              <w:left w:val="nil"/>
              <w:bottom w:val="single" w:sz="4" w:space="0" w:color="auto"/>
              <w:right w:val="single" w:sz="4" w:space="0" w:color="auto"/>
            </w:tcBorders>
            <w:shd w:val="clear" w:color="auto" w:fill="C6EFCE"/>
            <w:noWrap/>
            <w:vAlign w:val="center"/>
            <w:hideMark/>
          </w:tcPr>
          <w:p w14:paraId="72D50225"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Cycling parking places</w:t>
            </w:r>
          </w:p>
        </w:tc>
        <w:tc>
          <w:tcPr>
            <w:tcW w:w="1080" w:type="dxa"/>
            <w:tcBorders>
              <w:top w:val="nil"/>
              <w:left w:val="single" w:sz="4" w:space="0" w:color="auto"/>
              <w:bottom w:val="single" w:sz="4" w:space="0" w:color="auto"/>
              <w:right w:val="single" w:sz="4" w:space="0" w:color="auto"/>
            </w:tcBorders>
            <w:shd w:val="clear" w:color="auto" w:fill="C6EFCE"/>
            <w:noWrap/>
            <w:vAlign w:val="center"/>
            <w:hideMark/>
          </w:tcPr>
          <w:p w14:paraId="70C03E73"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0</w:t>
            </w:r>
          </w:p>
        </w:tc>
        <w:tc>
          <w:tcPr>
            <w:tcW w:w="840" w:type="dxa"/>
            <w:tcBorders>
              <w:top w:val="nil"/>
              <w:left w:val="nil"/>
              <w:bottom w:val="single" w:sz="4" w:space="0" w:color="auto"/>
              <w:right w:val="single" w:sz="4" w:space="0" w:color="auto"/>
            </w:tcBorders>
            <w:shd w:val="clear" w:color="auto" w:fill="C6EFCE"/>
            <w:noWrap/>
            <w:vAlign w:val="center"/>
            <w:hideMark/>
          </w:tcPr>
          <w:p w14:paraId="1A28A91B" w14:textId="1AC837C4"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7 000</w:t>
            </w:r>
          </w:p>
        </w:tc>
        <w:tc>
          <w:tcPr>
            <w:tcW w:w="1080" w:type="dxa"/>
            <w:tcBorders>
              <w:top w:val="nil"/>
              <w:left w:val="nil"/>
              <w:bottom w:val="single" w:sz="4" w:space="0" w:color="auto"/>
              <w:right w:val="single" w:sz="4" w:space="0" w:color="auto"/>
            </w:tcBorders>
            <w:shd w:val="clear" w:color="auto" w:fill="C6EFCE"/>
            <w:noWrap/>
            <w:vAlign w:val="center"/>
            <w:hideMark/>
          </w:tcPr>
          <w:p w14:paraId="24EC36DE"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Q2</w:t>
            </w:r>
          </w:p>
        </w:tc>
        <w:tc>
          <w:tcPr>
            <w:tcW w:w="720" w:type="dxa"/>
            <w:tcBorders>
              <w:top w:val="nil"/>
              <w:left w:val="nil"/>
              <w:bottom w:val="single" w:sz="4" w:space="0" w:color="auto"/>
              <w:right w:val="single" w:sz="4" w:space="0" w:color="auto"/>
            </w:tcBorders>
            <w:shd w:val="clear" w:color="auto" w:fill="C6EFCE"/>
            <w:noWrap/>
            <w:vAlign w:val="center"/>
            <w:hideMark/>
          </w:tcPr>
          <w:p w14:paraId="1501B61F"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2026</w:t>
            </w:r>
          </w:p>
        </w:tc>
        <w:tc>
          <w:tcPr>
            <w:tcW w:w="3747" w:type="dxa"/>
            <w:tcBorders>
              <w:top w:val="nil"/>
              <w:left w:val="single" w:sz="4" w:space="0" w:color="auto"/>
              <w:bottom w:val="single" w:sz="4" w:space="0" w:color="auto"/>
              <w:right w:val="single" w:sz="4" w:space="0" w:color="auto"/>
            </w:tcBorders>
            <w:shd w:val="clear" w:color="auto" w:fill="C6EFCE"/>
            <w:noWrap/>
            <w:vAlign w:val="center"/>
            <w:hideMark/>
          </w:tcPr>
          <w:p w14:paraId="7DB48412" w14:textId="602C33B3" w:rsidR="006A41D9" w:rsidRPr="001961AA" w:rsidRDefault="006A41D9" w:rsidP="00BD6DD1">
            <w:pPr>
              <w:spacing w:after="0"/>
              <w:rPr>
                <w:rFonts w:ascii="Times New Roman" w:eastAsia="Times New Roman" w:hAnsi="Times New Roman" w:cs="Times New Roman"/>
                <w:noProof/>
                <w:color w:val="006100"/>
                <w:highlight w:val="cyan"/>
                <w:lang w:val="en-GB"/>
              </w:rPr>
            </w:pPr>
            <w:r w:rsidRPr="001961AA">
              <w:rPr>
                <w:rFonts w:ascii="Times New Roman" w:hAnsi="Times New Roman"/>
                <w:noProof/>
                <w:color w:val="006100"/>
                <w:lang w:val="en-GB"/>
              </w:rPr>
              <w:t>7 000 new public cycling parking spaces.</w:t>
            </w:r>
          </w:p>
        </w:tc>
      </w:tr>
    </w:tbl>
    <w:p w14:paraId="01EC916C" w14:textId="77777777" w:rsidR="006A41D9" w:rsidRPr="001961AA" w:rsidRDefault="006A41D9" w:rsidP="00BD6DD1">
      <w:pPr>
        <w:pStyle w:val="Text1"/>
        <w:ind w:left="709"/>
        <w:rPr>
          <w:noProof/>
          <w:szCs w:val="24"/>
          <w:lang w:val="en-GB"/>
        </w:rPr>
      </w:pPr>
    </w:p>
    <w:p w14:paraId="6B93831F" w14:textId="77777777" w:rsidR="006A41D9" w:rsidRPr="001961AA" w:rsidRDefault="006A41D9" w:rsidP="00BD6DD1">
      <w:pPr>
        <w:ind w:left="709"/>
        <w:rPr>
          <w:rFonts w:ascii="Times New Roman" w:hAnsi="Times New Roman" w:cs="Times New Roman"/>
          <w:noProof/>
          <w:lang w:val="en-GB"/>
        </w:rPr>
        <w:sectPr w:rsidR="006A41D9" w:rsidRPr="001961AA" w:rsidSect="007F56C3">
          <w:headerReference w:type="even" r:id="rId108"/>
          <w:headerReference w:type="default" r:id="rId109"/>
          <w:footerReference w:type="even" r:id="rId110"/>
          <w:footerReference w:type="default" r:id="rId111"/>
          <w:headerReference w:type="first" r:id="rId112"/>
          <w:footerReference w:type="first" r:id="rId113"/>
          <w:pgSz w:w="16839" w:h="11907" w:orient="landscape"/>
          <w:pgMar w:top="1134" w:right="1134" w:bottom="1134" w:left="1134" w:header="567" w:footer="567" w:gutter="0"/>
          <w:cols w:space="720"/>
          <w:docGrid w:linePitch="360"/>
        </w:sectPr>
      </w:pPr>
    </w:p>
    <w:p w14:paraId="151A2085" w14:textId="2FA17AE7" w:rsidR="006A41D9" w:rsidRPr="001961AA" w:rsidRDefault="006A41D9" w:rsidP="00BD6DD1">
      <w:pPr>
        <w:pStyle w:val="paragraph"/>
        <w:spacing w:before="0" w:beforeAutospacing="0" w:after="120" w:afterAutospacing="0"/>
        <w:textAlignment w:val="baseline"/>
        <w:rPr>
          <w:noProof/>
          <w:lang w:val="en-GB"/>
        </w:rPr>
      </w:pPr>
      <w:r w:rsidRPr="001961AA">
        <w:rPr>
          <w:rStyle w:val="normaltextrun"/>
          <w:b/>
          <w:noProof/>
          <w:u w:val="single"/>
          <w:lang w:val="en-GB"/>
        </w:rPr>
        <w:t>G.3. Description of the reforms and investments for the loan</w:t>
      </w:r>
    </w:p>
    <w:p w14:paraId="265E5A38" w14:textId="48BCB4D6" w:rsidR="006A41D9" w:rsidRPr="001961AA" w:rsidRDefault="006A41D9" w:rsidP="00BD6DD1">
      <w:pPr>
        <w:spacing w:before="120" w:after="120" w:line="240" w:lineRule="auto"/>
        <w:jc w:val="both"/>
        <w:rPr>
          <w:rFonts w:ascii="Times New Roman" w:hAnsi="Times New Roman" w:cs="Times New Roman"/>
          <w:noProof/>
          <w:sz w:val="24"/>
          <w:szCs w:val="24"/>
          <w:u w:val="single"/>
          <w:lang w:val="en-GB"/>
        </w:rPr>
      </w:pPr>
      <w:r w:rsidRPr="001961AA">
        <w:rPr>
          <w:rFonts w:ascii="Times New Roman" w:hAnsi="Times New Roman"/>
          <w:noProof/>
          <w:sz w:val="24"/>
          <w:u w:val="single"/>
          <w:lang w:val="en-GB"/>
        </w:rPr>
        <w:t>Investment I-3.03b: ‘Cycling infrastructure – Vélo Plus - FED’ of the Federal State</w:t>
      </w:r>
    </w:p>
    <w:p w14:paraId="0CB7F043" w14:textId="77777777" w:rsidR="006A41D9" w:rsidRPr="001961AA" w:rsidRDefault="006A41D9" w:rsidP="00BD6DD1">
      <w:pPr>
        <w:spacing w:before="120" w:after="120" w:line="240" w:lineRule="auto"/>
        <w:jc w:val="both"/>
        <w:rPr>
          <w:rFonts w:ascii="Times New Roman" w:hAnsi="Times New Roman" w:cs="Times New Roman"/>
          <w:noProof/>
          <w:sz w:val="24"/>
          <w:szCs w:val="24"/>
          <w:lang w:val="en-GB"/>
        </w:rPr>
      </w:pPr>
      <w:r w:rsidRPr="001961AA">
        <w:rPr>
          <w:rFonts w:ascii="Times New Roman" w:hAnsi="Times New Roman"/>
          <w:noProof/>
          <w:sz w:val="24"/>
          <w:lang w:val="en-GB"/>
        </w:rPr>
        <w:t>This investment consists in building at least 4.8 km of cycling paths in Brussels. The implementation of the investment shall be completed by 30 June 2026.</w:t>
      </w:r>
    </w:p>
    <w:p w14:paraId="0788EC9F" w14:textId="2811AA3D" w:rsidR="006A41D9" w:rsidRPr="001961AA" w:rsidRDefault="006A41D9" w:rsidP="00BD6DD1">
      <w:pPr>
        <w:pStyle w:val="Text1"/>
        <w:ind w:left="0"/>
        <w:rPr>
          <w:noProof/>
          <w:u w:val="single"/>
          <w:lang w:val="en-GB"/>
        </w:rPr>
      </w:pPr>
      <w:r w:rsidRPr="001961AA">
        <w:rPr>
          <w:noProof/>
          <w:u w:val="single"/>
          <w:lang w:val="en-GB"/>
        </w:rPr>
        <w:t>Investment I-3.04: ‘Cycling and walking infrastructure – Schuman’ of the Federal State</w:t>
      </w:r>
    </w:p>
    <w:p w14:paraId="0B19B357" w14:textId="7FB0E6B8" w:rsidR="008A4840" w:rsidRPr="001961AA" w:rsidRDefault="006A41D9" w:rsidP="00BD6DD1">
      <w:pPr>
        <w:spacing w:before="120" w:after="120" w:line="240" w:lineRule="auto"/>
        <w:jc w:val="both"/>
        <w:rPr>
          <w:rFonts w:ascii="Times New Roman" w:hAnsi="Times New Roman" w:cs="Times New Roman"/>
          <w:noProof/>
          <w:sz w:val="24"/>
          <w:szCs w:val="24"/>
          <w:lang w:val="en-GB"/>
        </w:rPr>
        <w:sectPr w:rsidR="008A4840" w:rsidRPr="001961AA" w:rsidSect="008A4840">
          <w:headerReference w:type="even" r:id="rId114"/>
          <w:headerReference w:type="default" r:id="rId115"/>
          <w:footerReference w:type="even" r:id="rId116"/>
          <w:footerReference w:type="default" r:id="rId117"/>
          <w:headerReference w:type="first" r:id="rId118"/>
          <w:footerReference w:type="first" r:id="rId119"/>
          <w:pgSz w:w="11907" w:h="16839"/>
          <w:pgMar w:top="1134" w:right="1134" w:bottom="1134" w:left="1134" w:header="567" w:footer="567" w:gutter="0"/>
          <w:cols w:space="720"/>
          <w:docGrid w:linePitch="360"/>
        </w:sectPr>
      </w:pPr>
      <w:r w:rsidRPr="001961AA">
        <w:rPr>
          <w:rFonts w:ascii="Times New Roman" w:hAnsi="Times New Roman"/>
          <w:noProof/>
          <w:sz w:val="24"/>
          <w:lang w:val="en-GB"/>
        </w:rPr>
        <w:t>This investment consists in building at least 25</w:t>
      </w:r>
      <w:r w:rsidRPr="001961AA">
        <w:rPr>
          <w:rFonts w:ascii="Times New Roman" w:hAnsi="Times New Roman"/>
          <w:noProof/>
          <w:color w:val="006100"/>
          <w:lang w:val="en-GB"/>
        </w:rPr>
        <w:t xml:space="preserve"> </w:t>
      </w:r>
      <w:r w:rsidRPr="001961AA">
        <w:rPr>
          <w:rFonts w:ascii="Times New Roman" w:hAnsi="Times New Roman"/>
          <w:noProof/>
          <w:sz w:val="24"/>
          <w:lang w:val="en-GB"/>
        </w:rPr>
        <w:t>000 m² of cycling and walking infrastructure around the Schuman square in Brussels. The implementation of the investment shall be completed by 30 June 2026</w:t>
      </w:r>
    </w:p>
    <w:p w14:paraId="14832261" w14:textId="3E8B43B2" w:rsidR="005531F9" w:rsidRPr="001961AA" w:rsidRDefault="008A4840" w:rsidP="00BD6DD1">
      <w:pPr>
        <w:pStyle w:val="paragraph"/>
        <w:spacing w:before="0" w:beforeAutospacing="0" w:after="120" w:afterAutospacing="0"/>
        <w:jc w:val="both"/>
        <w:textAlignment w:val="baseline"/>
        <w:rPr>
          <w:b/>
          <w:bCs/>
          <w:noProof/>
          <w:color w:val="000000" w:themeColor="text1"/>
          <w:lang w:val="en-GB"/>
        </w:rPr>
      </w:pPr>
      <w:r w:rsidRPr="001961AA">
        <w:rPr>
          <w:rStyle w:val="normaltextrun"/>
          <w:b/>
          <w:noProof/>
          <w:color w:val="000000" w:themeColor="text1"/>
          <w:u w:val="single"/>
          <w:lang w:val="en-GB"/>
        </w:rPr>
        <w:t>G.4. Milestones, targets, indicators, and timetable for monitoring and implementation for the loan</w:t>
      </w:r>
    </w:p>
    <w:tbl>
      <w:tblPr>
        <w:tblW w:w="15502" w:type="dxa"/>
        <w:jc w:val="center"/>
        <w:tblLayout w:type="fixed"/>
        <w:tblLook w:val="04A0" w:firstRow="1" w:lastRow="0" w:firstColumn="1" w:lastColumn="0" w:noHBand="0" w:noVBand="1"/>
      </w:tblPr>
      <w:tblGrid>
        <w:gridCol w:w="704"/>
        <w:gridCol w:w="1418"/>
        <w:gridCol w:w="1417"/>
        <w:gridCol w:w="1559"/>
        <w:gridCol w:w="1560"/>
        <w:gridCol w:w="1137"/>
        <w:gridCol w:w="1080"/>
        <w:gridCol w:w="840"/>
        <w:gridCol w:w="1080"/>
        <w:gridCol w:w="960"/>
        <w:gridCol w:w="3747"/>
      </w:tblGrid>
      <w:tr w:rsidR="00324CC6" w:rsidRPr="001961AA" w14:paraId="0D2A8688" w14:textId="77777777" w:rsidTr="00287CA5">
        <w:trPr>
          <w:trHeight w:val="927"/>
          <w:jc w:val="center"/>
        </w:trPr>
        <w:tc>
          <w:tcPr>
            <w:tcW w:w="70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1B50F30" w14:textId="4F8C5470" w:rsidR="006A41D9" w:rsidRPr="001961AA" w:rsidRDefault="006A41D9" w:rsidP="00BD6DD1">
            <w:pPr>
              <w:spacing w:after="0"/>
              <w:jc w:val="center"/>
              <w:rPr>
                <w:rFonts w:ascii="Times New Roman" w:eastAsia="Times New Roman" w:hAnsi="Times New Roman" w:cs="Times New Roman"/>
                <w:b/>
                <w:bCs/>
                <w:noProof/>
                <w:lang w:val="en-GB"/>
              </w:rPr>
            </w:pPr>
            <w:r w:rsidRPr="001961AA">
              <w:rPr>
                <w:rFonts w:ascii="Times New Roman" w:hAnsi="Times New Roman"/>
                <w:b/>
                <w:noProof/>
                <w:lang w:val="en-GB"/>
              </w:rPr>
              <w:t>Seq.Nb.</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A145FC7" w14:textId="77777777" w:rsidR="006A41D9" w:rsidRPr="001961AA" w:rsidRDefault="006A41D9" w:rsidP="00BD6DD1">
            <w:pPr>
              <w:spacing w:after="0"/>
              <w:jc w:val="center"/>
              <w:rPr>
                <w:rFonts w:ascii="Times New Roman" w:eastAsia="Times New Roman" w:hAnsi="Times New Roman" w:cs="Times New Roman"/>
                <w:b/>
                <w:bCs/>
                <w:noProof/>
                <w:lang w:val="en-GB"/>
              </w:rPr>
            </w:pPr>
            <w:r w:rsidRPr="001961AA">
              <w:rPr>
                <w:rFonts w:ascii="Times New Roman" w:hAnsi="Times New Roman"/>
                <w:b/>
                <w:noProof/>
                <w:lang w:val="en-GB"/>
              </w:rPr>
              <w:t>Related Measure (Reform or Investment)</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AAB501A" w14:textId="77777777" w:rsidR="006A41D9" w:rsidRPr="001961AA" w:rsidRDefault="006A41D9" w:rsidP="00BD6DD1">
            <w:pPr>
              <w:spacing w:after="0"/>
              <w:jc w:val="center"/>
              <w:rPr>
                <w:rFonts w:ascii="Times New Roman" w:eastAsia="Times New Roman" w:hAnsi="Times New Roman" w:cs="Times New Roman"/>
                <w:b/>
                <w:bCs/>
                <w:noProof/>
                <w:lang w:val="en-GB"/>
              </w:rPr>
            </w:pPr>
            <w:r w:rsidRPr="001961AA">
              <w:rPr>
                <w:rFonts w:ascii="Times New Roman" w:hAnsi="Times New Roman"/>
                <w:b/>
                <w:noProof/>
                <w:lang w:val="en-GB"/>
              </w:rPr>
              <w:t>Milestone / Target</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92CC420" w14:textId="77777777" w:rsidR="006A41D9" w:rsidRPr="001961AA" w:rsidRDefault="006A41D9" w:rsidP="00BD6DD1">
            <w:pPr>
              <w:spacing w:after="0"/>
              <w:jc w:val="center"/>
              <w:rPr>
                <w:rFonts w:ascii="Times New Roman" w:eastAsia="Times New Roman" w:hAnsi="Times New Roman" w:cs="Times New Roman"/>
                <w:b/>
                <w:bCs/>
                <w:noProof/>
                <w:lang w:val="en-GB"/>
              </w:rPr>
            </w:pPr>
            <w:r w:rsidRPr="001961AA">
              <w:rPr>
                <w:rFonts w:ascii="Times New Roman" w:hAnsi="Times New Roman"/>
                <w:b/>
                <w:noProof/>
                <w:lang w:val="en-GB"/>
              </w:rPr>
              <w:t>Name</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56CA877" w14:textId="77777777" w:rsidR="006A41D9" w:rsidRPr="001961AA" w:rsidRDefault="006A41D9" w:rsidP="00BD6DD1">
            <w:pPr>
              <w:spacing w:after="0"/>
              <w:jc w:val="center"/>
              <w:rPr>
                <w:rFonts w:ascii="Times New Roman" w:eastAsia="Times New Roman" w:hAnsi="Times New Roman" w:cs="Times New Roman"/>
                <w:b/>
                <w:bCs/>
                <w:noProof/>
                <w:lang w:val="en-GB"/>
              </w:rPr>
            </w:pPr>
            <w:r w:rsidRPr="001961AA">
              <w:rPr>
                <w:rFonts w:ascii="Times New Roman" w:hAnsi="Times New Roman"/>
                <w:b/>
                <w:noProof/>
                <w:lang w:val="en-GB"/>
              </w:rPr>
              <w:t xml:space="preserve">Qualitative indicators </w:t>
            </w:r>
            <w:r w:rsidRPr="001961AA">
              <w:rPr>
                <w:noProof/>
                <w:lang w:val="en-GB"/>
              </w:rPr>
              <w:t xml:space="preserve"> </w:t>
            </w:r>
            <w:r w:rsidRPr="001961AA">
              <w:rPr>
                <w:noProof/>
                <w:lang w:val="en-GB"/>
              </w:rPr>
              <w:br/>
            </w:r>
            <w:r w:rsidRPr="001961AA">
              <w:rPr>
                <w:rFonts w:ascii="Times New Roman" w:hAnsi="Times New Roman"/>
                <w:b/>
                <w:noProof/>
                <w:lang w:val="en-GB"/>
              </w:rPr>
              <w:t>(for milestones)</w:t>
            </w:r>
          </w:p>
        </w:tc>
        <w:tc>
          <w:tcPr>
            <w:tcW w:w="3057" w:type="dxa"/>
            <w:gridSpan w:val="3"/>
            <w:tcBorders>
              <w:top w:val="single" w:sz="4" w:space="0" w:color="auto"/>
              <w:left w:val="nil"/>
              <w:bottom w:val="single" w:sz="4" w:space="0" w:color="auto"/>
              <w:right w:val="single" w:sz="4" w:space="0" w:color="auto"/>
            </w:tcBorders>
            <w:shd w:val="clear" w:color="auto" w:fill="BDD7EE"/>
            <w:vAlign w:val="center"/>
            <w:hideMark/>
          </w:tcPr>
          <w:p w14:paraId="0487907C" w14:textId="77777777" w:rsidR="006A41D9" w:rsidRPr="001961AA" w:rsidRDefault="006A41D9" w:rsidP="00BD6DD1">
            <w:pPr>
              <w:spacing w:after="0"/>
              <w:jc w:val="center"/>
              <w:rPr>
                <w:rFonts w:ascii="Times New Roman" w:eastAsia="Times New Roman" w:hAnsi="Times New Roman" w:cs="Times New Roman"/>
                <w:b/>
                <w:bCs/>
                <w:noProof/>
                <w:lang w:val="en-GB"/>
              </w:rPr>
            </w:pPr>
            <w:r w:rsidRPr="001961AA">
              <w:rPr>
                <w:rFonts w:ascii="Times New Roman" w:hAnsi="Times New Roman"/>
                <w:b/>
                <w:noProof/>
                <w:lang w:val="en-GB"/>
              </w:rPr>
              <w:t xml:space="preserve">Quantitative indicators </w:t>
            </w:r>
            <w:r w:rsidRPr="001961AA">
              <w:rPr>
                <w:noProof/>
                <w:lang w:val="en-GB"/>
              </w:rPr>
              <w:t xml:space="preserve"> </w:t>
            </w:r>
            <w:r w:rsidRPr="001961AA">
              <w:rPr>
                <w:noProof/>
                <w:lang w:val="en-GB"/>
              </w:rPr>
              <w:br/>
            </w:r>
            <w:r w:rsidRPr="001961AA">
              <w:rPr>
                <w:rFonts w:ascii="Times New Roman" w:hAnsi="Times New Roman"/>
                <w:b/>
                <w:noProof/>
                <w:lang w:val="en-GB"/>
              </w:rPr>
              <w:t>(for targets)</w:t>
            </w:r>
          </w:p>
        </w:tc>
        <w:tc>
          <w:tcPr>
            <w:tcW w:w="2040" w:type="dxa"/>
            <w:gridSpan w:val="2"/>
            <w:tcBorders>
              <w:top w:val="single" w:sz="4" w:space="0" w:color="auto"/>
              <w:left w:val="nil"/>
              <w:bottom w:val="single" w:sz="4" w:space="0" w:color="auto"/>
              <w:right w:val="single" w:sz="4" w:space="0" w:color="auto"/>
            </w:tcBorders>
            <w:shd w:val="clear" w:color="auto" w:fill="BDD7EE"/>
            <w:vAlign w:val="center"/>
            <w:hideMark/>
          </w:tcPr>
          <w:p w14:paraId="5FBEA1D0" w14:textId="77777777" w:rsidR="006A41D9" w:rsidRPr="001961AA" w:rsidRDefault="006A41D9" w:rsidP="00BD6DD1">
            <w:pPr>
              <w:spacing w:after="0"/>
              <w:jc w:val="center"/>
              <w:rPr>
                <w:rFonts w:ascii="Times New Roman" w:eastAsia="Times New Roman" w:hAnsi="Times New Roman" w:cs="Times New Roman"/>
                <w:b/>
                <w:bCs/>
                <w:noProof/>
                <w:lang w:val="en-GB"/>
              </w:rPr>
            </w:pPr>
            <w:r w:rsidRPr="001961AA">
              <w:rPr>
                <w:rFonts w:ascii="Times New Roman" w:hAnsi="Times New Roman"/>
                <w:b/>
                <w:noProof/>
                <w:lang w:val="en-GB"/>
              </w:rPr>
              <w:t xml:space="preserve">Indicative timeline for completion </w:t>
            </w:r>
          </w:p>
        </w:tc>
        <w:tc>
          <w:tcPr>
            <w:tcW w:w="3747"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F528E51" w14:textId="77777777" w:rsidR="006A41D9" w:rsidRPr="001961AA" w:rsidRDefault="006A41D9" w:rsidP="00BD6DD1">
            <w:pPr>
              <w:spacing w:after="0"/>
              <w:jc w:val="center"/>
              <w:rPr>
                <w:rFonts w:ascii="Times New Roman" w:eastAsia="Times New Roman" w:hAnsi="Times New Roman" w:cs="Times New Roman"/>
                <w:b/>
                <w:bCs/>
                <w:noProof/>
                <w:lang w:val="en-GB"/>
              </w:rPr>
            </w:pPr>
            <w:r w:rsidRPr="001961AA">
              <w:rPr>
                <w:rFonts w:ascii="Times New Roman" w:hAnsi="Times New Roman"/>
                <w:b/>
                <w:noProof/>
                <w:lang w:val="en-GB"/>
              </w:rPr>
              <w:t>Description of each milestone and target</w:t>
            </w:r>
          </w:p>
        </w:tc>
      </w:tr>
      <w:tr w:rsidR="000055B6" w:rsidRPr="001961AA" w14:paraId="4C12E418" w14:textId="77777777" w:rsidTr="00287CA5">
        <w:trPr>
          <w:trHeight w:val="1013"/>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3377BF5D" w14:textId="77777777" w:rsidR="006A41D9" w:rsidRPr="001961AA" w:rsidRDefault="006A41D9" w:rsidP="00BD6DD1">
            <w:pPr>
              <w:spacing w:after="0"/>
              <w:rPr>
                <w:rFonts w:ascii="Times New Roman" w:eastAsia="Times New Roman" w:hAnsi="Times New Roman" w:cs="Times New Roman"/>
                <w:b/>
                <w:bCs/>
                <w:noProof/>
                <w:szCs w:val="24"/>
                <w:lang w:val="en-GB" w:eastAsia="en-GB"/>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3F50FDB" w14:textId="77777777" w:rsidR="006A41D9" w:rsidRPr="001961AA" w:rsidRDefault="006A41D9" w:rsidP="00BD6DD1">
            <w:pPr>
              <w:spacing w:after="0"/>
              <w:rPr>
                <w:rFonts w:ascii="Times New Roman" w:eastAsia="Times New Roman" w:hAnsi="Times New Roman" w:cs="Times New Roman"/>
                <w:b/>
                <w:bCs/>
                <w:noProof/>
                <w:szCs w:val="24"/>
                <w:lang w:val="en-GB" w:eastAsia="en-GB"/>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B6DF975" w14:textId="77777777" w:rsidR="006A41D9" w:rsidRPr="001961AA" w:rsidRDefault="006A41D9" w:rsidP="00BD6DD1">
            <w:pPr>
              <w:spacing w:after="0"/>
              <w:rPr>
                <w:rFonts w:ascii="Times New Roman" w:eastAsia="Times New Roman" w:hAnsi="Times New Roman" w:cs="Times New Roman"/>
                <w:b/>
                <w:bCs/>
                <w:noProof/>
                <w:szCs w:val="24"/>
                <w:lang w:val="en-GB" w:eastAsia="en-GB"/>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507E07D" w14:textId="77777777" w:rsidR="006A41D9" w:rsidRPr="001961AA" w:rsidRDefault="006A41D9" w:rsidP="00BD6DD1">
            <w:pPr>
              <w:spacing w:after="0"/>
              <w:rPr>
                <w:rFonts w:ascii="Times New Roman" w:eastAsia="Times New Roman" w:hAnsi="Times New Roman" w:cs="Times New Roman"/>
                <w:b/>
                <w:bCs/>
                <w:noProof/>
                <w:szCs w:val="24"/>
                <w:lang w:val="en-GB" w:eastAsia="en-GB"/>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A3BCCDE" w14:textId="77777777" w:rsidR="006A41D9" w:rsidRPr="001961AA" w:rsidRDefault="006A41D9" w:rsidP="00BD6DD1">
            <w:pPr>
              <w:spacing w:after="0"/>
              <w:rPr>
                <w:rFonts w:ascii="Times New Roman" w:eastAsia="Times New Roman" w:hAnsi="Times New Roman" w:cs="Times New Roman"/>
                <w:b/>
                <w:bCs/>
                <w:noProof/>
                <w:szCs w:val="24"/>
                <w:lang w:val="en-GB" w:eastAsia="en-GB"/>
              </w:rPr>
            </w:pPr>
          </w:p>
        </w:tc>
        <w:tc>
          <w:tcPr>
            <w:tcW w:w="1137" w:type="dxa"/>
            <w:tcBorders>
              <w:top w:val="nil"/>
              <w:left w:val="single" w:sz="4" w:space="0" w:color="auto"/>
              <w:bottom w:val="single" w:sz="4" w:space="0" w:color="auto"/>
              <w:right w:val="single" w:sz="4" w:space="0" w:color="auto"/>
            </w:tcBorders>
            <w:shd w:val="clear" w:color="auto" w:fill="BDD7EE"/>
            <w:vAlign w:val="center"/>
            <w:hideMark/>
          </w:tcPr>
          <w:p w14:paraId="032F0FA2" w14:textId="77777777" w:rsidR="006A41D9" w:rsidRPr="001961AA" w:rsidRDefault="006A41D9" w:rsidP="00BD6DD1">
            <w:pPr>
              <w:spacing w:after="0"/>
              <w:jc w:val="center"/>
              <w:rPr>
                <w:rFonts w:ascii="Times New Roman" w:eastAsia="Times New Roman" w:hAnsi="Times New Roman" w:cs="Times New Roman"/>
                <w:b/>
                <w:noProof/>
                <w:lang w:val="en-GB"/>
              </w:rPr>
            </w:pPr>
            <w:r w:rsidRPr="001961AA">
              <w:rPr>
                <w:rFonts w:ascii="Times New Roman" w:hAnsi="Times New Roman"/>
                <w:b/>
                <w:noProof/>
                <w:lang w:val="en-GB"/>
              </w:rPr>
              <w:t>Unit of measure</w:t>
            </w:r>
          </w:p>
        </w:tc>
        <w:tc>
          <w:tcPr>
            <w:tcW w:w="1080" w:type="dxa"/>
            <w:tcBorders>
              <w:top w:val="nil"/>
              <w:left w:val="nil"/>
              <w:bottom w:val="single" w:sz="4" w:space="0" w:color="auto"/>
              <w:right w:val="single" w:sz="4" w:space="0" w:color="auto"/>
            </w:tcBorders>
            <w:shd w:val="clear" w:color="auto" w:fill="BDD7EE"/>
            <w:vAlign w:val="center"/>
            <w:hideMark/>
          </w:tcPr>
          <w:p w14:paraId="3F77690F" w14:textId="77777777" w:rsidR="006A41D9" w:rsidRPr="001961AA" w:rsidRDefault="006A41D9" w:rsidP="00BD6DD1">
            <w:pPr>
              <w:spacing w:after="0"/>
              <w:jc w:val="center"/>
              <w:rPr>
                <w:rFonts w:ascii="Times New Roman" w:eastAsia="Times New Roman" w:hAnsi="Times New Roman" w:cs="Times New Roman"/>
                <w:b/>
                <w:noProof/>
                <w:lang w:val="en-GB"/>
              </w:rPr>
            </w:pPr>
            <w:r w:rsidRPr="001961AA">
              <w:rPr>
                <w:rFonts w:ascii="Times New Roman" w:hAnsi="Times New Roman"/>
                <w:b/>
                <w:noProof/>
                <w:lang w:val="en-GB"/>
              </w:rPr>
              <w:t xml:space="preserve">Baseline </w:t>
            </w:r>
          </w:p>
        </w:tc>
        <w:tc>
          <w:tcPr>
            <w:tcW w:w="840" w:type="dxa"/>
            <w:tcBorders>
              <w:top w:val="nil"/>
              <w:left w:val="nil"/>
              <w:bottom w:val="single" w:sz="4" w:space="0" w:color="auto"/>
              <w:right w:val="single" w:sz="4" w:space="0" w:color="auto"/>
            </w:tcBorders>
            <w:shd w:val="clear" w:color="auto" w:fill="BDD7EE"/>
            <w:vAlign w:val="center"/>
            <w:hideMark/>
          </w:tcPr>
          <w:p w14:paraId="6306288F" w14:textId="77777777" w:rsidR="006A41D9" w:rsidRPr="001961AA" w:rsidRDefault="006A41D9" w:rsidP="00BD6DD1">
            <w:pPr>
              <w:spacing w:after="0"/>
              <w:jc w:val="center"/>
              <w:rPr>
                <w:rFonts w:ascii="Times New Roman" w:eastAsia="Times New Roman" w:hAnsi="Times New Roman" w:cs="Times New Roman"/>
                <w:b/>
                <w:noProof/>
                <w:lang w:val="en-GB"/>
              </w:rPr>
            </w:pPr>
            <w:r w:rsidRPr="001961AA">
              <w:rPr>
                <w:rFonts w:ascii="Times New Roman" w:hAnsi="Times New Roman"/>
                <w:b/>
                <w:noProof/>
                <w:lang w:val="en-GB"/>
              </w:rPr>
              <w:t xml:space="preserve">Goal </w:t>
            </w:r>
          </w:p>
        </w:tc>
        <w:tc>
          <w:tcPr>
            <w:tcW w:w="1080" w:type="dxa"/>
            <w:tcBorders>
              <w:top w:val="nil"/>
              <w:left w:val="nil"/>
              <w:bottom w:val="single" w:sz="4" w:space="0" w:color="auto"/>
              <w:right w:val="single" w:sz="4" w:space="0" w:color="auto"/>
            </w:tcBorders>
            <w:shd w:val="clear" w:color="auto" w:fill="BDD7EE"/>
            <w:vAlign w:val="center"/>
            <w:hideMark/>
          </w:tcPr>
          <w:p w14:paraId="7E4EEB0F" w14:textId="77777777" w:rsidR="006A41D9" w:rsidRPr="001961AA" w:rsidRDefault="006A41D9" w:rsidP="00BD6DD1">
            <w:pPr>
              <w:spacing w:after="0"/>
              <w:jc w:val="center"/>
              <w:rPr>
                <w:rFonts w:ascii="Times New Roman" w:eastAsia="Times New Roman" w:hAnsi="Times New Roman" w:cs="Times New Roman"/>
                <w:b/>
                <w:noProof/>
                <w:lang w:val="en-GB"/>
              </w:rPr>
            </w:pPr>
            <w:r w:rsidRPr="001961AA">
              <w:rPr>
                <w:rFonts w:ascii="Times New Roman" w:hAnsi="Times New Roman"/>
                <w:b/>
                <w:noProof/>
                <w:lang w:val="en-GB"/>
              </w:rPr>
              <w:t>Quarter</w:t>
            </w:r>
          </w:p>
        </w:tc>
        <w:tc>
          <w:tcPr>
            <w:tcW w:w="960" w:type="dxa"/>
            <w:tcBorders>
              <w:top w:val="nil"/>
              <w:left w:val="nil"/>
              <w:bottom w:val="single" w:sz="4" w:space="0" w:color="auto"/>
              <w:right w:val="single" w:sz="4" w:space="0" w:color="auto"/>
            </w:tcBorders>
            <w:shd w:val="clear" w:color="auto" w:fill="BDD7EE"/>
            <w:vAlign w:val="center"/>
            <w:hideMark/>
          </w:tcPr>
          <w:p w14:paraId="349C9AFB" w14:textId="77777777" w:rsidR="006A41D9" w:rsidRPr="001961AA" w:rsidRDefault="006A41D9" w:rsidP="00BD6DD1">
            <w:pPr>
              <w:spacing w:after="0"/>
              <w:jc w:val="center"/>
              <w:rPr>
                <w:rFonts w:ascii="Times New Roman" w:eastAsia="Times New Roman" w:hAnsi="Times New Roman" w:cs="Times New Roman"/>
                <w:b/>
                <w:noProof/>
                <w:lang w:val="en-GB"/>
              </w:rPr>
            </w:pPr>
            <w:r w:rsidRPr="001961AA">
              <w:rPr>
                <w:rFonts w:ascii="Times New Roman" w:hAnsi="Times New Roman"/>
                <w:b/>
                <w:noProof/>
                <w:lang w:val="en-GB"/>
              </w:rPr>
              <w:t>Year</w:t>
            </w:r>
          </w:p>
        </w:tc>
        <w:tc>
          <w:tcPr>
            <w:tcW w:w="3747" w:type="dxa"/>
            <w:vMerge/>
            <w:tcBorders>
              <w:top w:val="single" w:sz="4" w:space="0" w:color="auto"/>
              <w:bottom w:val="single" w:sz="4" w:space="0" w:color="auto"/>
              <w:right w:val="single" w:sz="4" w:space="0" w:color="auto"/>
            </w:tcBorders>
            <w:vAlign w:val="center"/>
            <w:hideMark/>
          </w:tcPr>
          <w:p w14:paraId="76F264D3" w14:textId="77777777" w:rsidR="006A41D9" w:rsidRPr="001961AA" w:rsidRDefault="006A41D9" w:rsidP="00BD6DD1">
            <w:pPr>
              <w:spacing w:after="0"/>
              <w:rPr>
                <w:rFonts w:ascii="Times New Roman" w:eastAsia="Times New Roman" w:hAnsi="Times New Roman" w:cs="Times New Roman"/>
                <w:b/>
                <w:bCs/>
                <w:noProof/>
                <w:szCs w:val="24"/>
                <w:lang w:val="en-GB" w:eastAsia="en-GB"/>
              </w:rPr>
            </w:pPr>
          </w:p>
        </w:tc>
      </w:tr>
      <w:tr w:rsidR="00AE4052" w:rsidRPr="001961AA" w14:paraId="33CF1C5D" w14:textId="77777777" w:rsidTr="00287CA5">
        <w:trPr>
          <w:trHeight w:val="309"/>
          <w:jc w:val="center"/>
        </w:trPr>
        <w:tc>
          <w:tcPr>
            <w:tcW w:w="704"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0BC546DC" w14:textId="2309BF31" w:rsidR="00AE4052" w:rsidRPr="001961AA" w:rsidRDefault="00AE4052" w:rsidP="00AE4052">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96a</w:t>
            </w:r>
          </w:p>
        </w:tc>
        <w:tc>
          <w:tcPr>
            <w:tcW w:w="1418"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619B2DB6" w14:textId="23C5295C" w:rsidR="00AE4052" w:rsidRPr="001961AA" w:rsidRDefault="00AE4052" w:rsidP="00AE4052">
            <w:pPr>
              <w:jc w:val="both"/>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Cycling infrastructure - Vélo Plus - Federal State (I-3.03b)</w:t>
            </w:r>
          </w:p>
        </w:tc>
        <w:tc>
          <w:tcPr>
            <w:tcW w:w="1417" w:type="dxa"/>
            <w:tcBorders>
              <w:top w:val="single" w:sz="4" w:space="0" w:color="auto"/>
              <w:left w:val="nil"/>
              <w:bottom w:val="single" w:sz="4" w:space="0" w:color="auto"/>
              <w:right w:val="single" w:sz="4" w:space="0" w:color="auto"/>
            </w:tcBorders>
            <w:shd w:val="clear" w:color="auto" w:fill="C6EFCE"/>
            <w:noWrap/>
            <w:vAlign w:val="center"/>
            <w:hideMark/>
          </w:tcPr>
          <w:p w14:paraId="19359535" w14:textId="62F1F80B" w:rsidR="00AE4052" w:rsidRPr="001961AA" w:rsidRDefault="00AE4052" w:rsidP="00AE4052">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M</w:t>
            </w:r>
          </w:p>
        </w:tc>
        <w:tc>
          <w:tcPr>
            <w:tcW w:w="1559" w:type="dxa"/>
            <w:tcBorders>
              <w:top w:val="single" w:sz="4" w:space="0" w:color="auto"/>
              <w:left w:val="nil"/>
              <w:bottom w:val="single" w:sz="4" w:space="0" w:color="auto"/>
              <w:right w:val="single" w:sz="4" w:space="0" w:color="auto"/>
            </w:tcBorders>
            <w:shd w:val="clear" w:color="auto" w:fill="C6EFCE"/>
            <w:noWrap/>
            <w:vAlign w:val="center"/>
            <w:hideMark/>
          </w:tcPr>
          <w:p w14:paraId="37A9CFEC" w14:textId="77777777" w:rsidR="00AE4052" w:rsidRPr="001961AA" w:rsidRDefault="00AE4052" w:rsidP="00AE4052">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Start of all cycling and walking projects</w:t>
            </w:r>
          </w:p>
        </w:tc>
        <w:tc>
          <w:tcPr>
            <w:tcW w:w="1560" w:type="dxa"/>
            <w:tcBorders>
              <w:top w:val="single" w:sz="4" w:space="0" w:color="auto"/>
              <w:left w:val="nil"/>
              <w:bottom w:val="single" w:sz="4" w:space="0" w:color="auto"/>
              <w:right w:val="single" w:sz="4" w:space="0" w:color="auto"/>
            </w:tcBorders>
            <w:shd w:val="clear" w:color="auto" w:fill="C6EFCE"/>
            <w:noWrap/>
            <w:vAlign w:val="center"/>
          </w:tcPr>
          <w:p w14:paraId="089A5705" w14:textId="77777777" w:rsidR="00AE4052" w:rsidRPr="001961AA" w:rsidRDefault="00AE4052" w:rsidP="00AE4052">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Adoption of the decision or contract award</w:t>
            </w:r>
          </w:p>
        </w:tc>
        <w:tc>
          <w:tcPr>
            <w:tcW w:w="1137" w:type="dxa"/>
            <w:tcBorders>
              <w:top w:val="nil"/>
              <w:left w:val="nil"/>
              <w:bottom w:val="single" w:sz="4" w:space="0" w:color="auto"/>
              <w:right w:val="single" w:sz="4" w:space="0" w:color="auto"/>
            </w:tcBorders>
            <w:shd w:val="clear" w:color="auto" w:fill="C6EFCE"/>
            <w:noWrap/>
            <w:vAlign w:val="center"/>
            <w:hideMark/>
          </w:tcPr>
          <w:p w14:paraId="24091CD5" w14:textId="77777777" w:rsidR="00AE4052" w:rsidRPr="001961AA" w:rsidRDefault="00AE4052" w:rsidP="00AE4052">
            <w:pPr>
              <w:spacing w:after="0"/>
              <w:rPr>
                <w:rFonts w:ascii="Times New Roman" w:eastAsia="Times New Roman" w:hAnsi="Times New Roman" w:cs="Times New Roman"/>
                <w:noProof/>
                <w:color w:val="006100"/>
                <w:lang w:val="en-GB" w:eastAsia="en-GB"/>
              </w:rPr>
            </w:pPr>
          </w:p>
        </w:tc>
        <w:tc>
          <w:tcPr>
            <w:tcW w:w="1080"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0CA3CBD5" w14:textId="77777777" w:rsidR="00AE4052" w:rsidRPr="001961AA" w:rsidRDefault="00AE4052" w:rsidP="00AE4052">
            <w:pPr>
              <w:spacing w:after="0"/>
              <w:jc w:val="right"/>
              <w:rPr>
                <w:rFonts w:ascii="Times New Roman" w:eastAsia="Times New Roman" w:hAnsi="Times New Roman" w:cs="Times New Roman"/>
                <w:noProof/>
                <w:color w:val="006100"/>
                <w:lang w:val="en-GB" w:eastAsia="en-GB"/>
              </w:rPr>
            </w:pPr>
          </w:p>
        </w:tc>
        <w:tc>
          <w:tcPr>
            <w:tcW w:w="840" w:type="dxa"/>
            <w:tcBorders>
              <w:top w:val="single" w:sz="4" w:space="0" w:color="auto"/>
              <w:left w:val="nil"/>
              <w:bottom w:val="single" w:sz="4" w:space="0" w:color="auto"/>
              <w:right w:val="single" w:sz="4" w:space="0" w:color="auto"/>
            </w:tcBorders>
            <w:shd w:val="clear" w:color="auto" w:fill="C6EFCE"/>
            <w:noWrap/>
            <w:vAlign w:val="center"/>
            <w:hideMark/>
          </w:tcPr>
          <w:p w14:paraId="02CF638E" w14:textId="77777777" w:rsidR="00AE4052" w:rsidRPr="001961AA" w:rsidRDefault="00AE4052" w:rsidP="00AE4052">
            <w:pPr>
              <w:spacing w:after="0"/>
              <w:jc w:val="right"/>
              <w:rPr>
                <w:rFonts w:ascii="Times New Roman" w:eastAsia="Times New Roman" w:hAnsi="Times New Roman" w:cs="Times New Roman"/>
                <w:noProof/>
                <w:color w:val="006100"/>
                <w:lang w:val="en-GB" w:eastAsia="en-GB"/>
              </w:rPr>
            </w:pPr>
          </w:p>
        </w:tc>
        <w:tc>
          <w:tcPr>
            <w:tcW w:w="1080" w:type="dxa"/>
            <w:tcBorders>
              <w:top w:val="single" w:sz="4" w:space="0" w:color="auto"/>
              <w:left w:val="nil"/>
              <w:bottom w:val="single" w:sz="4" w:space="0" w:color="auto"/>
              <w:right w:val="single" w:sz="4" w:space="0" w:color="auto"/>
            </w:tcBorders>
            <w:shd w:val="clear" w:color="auto" w:fill="C6EFCE"/>
            <w:noWrap/>
            <w:vAlign w:val="center"/>
            <w:hideMark/>
          </w:tcPr>
          <w:p w14:paraId="692AE266" w14:textId="77777777" w:rsidR="00AE4052" w:rsidRPr="001961AA" w:rsidRDefault="00AE4052" w:rsidP="00AE4052">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Q2</w:t>
            </w:r>
          </w:p>
        </w:tc>
        <w:tc>
          <w:tcPr>
            <w:tcW w:w="960" w:type="dxa"/>
            <w:tcBorders>
              <w:top w:val="single" w:sz="4" w:space="0" w:color="auto"/>
              <w:left w:val="nil"/>
              <w:bottom w:val="single" w:sz="4" w:space="0" w:color="auto"/>
              <w:right w:val="single" w:sz="4" w:space="0" w:color="auto"/>
            </w:tcBorders>
            <w:shd w:val="clear" w:color="auto" w:fill="C6EFCE"/>
            <w:noWrap/>
            <w:vAlign w:val="center"/>
            <w:hideMark/>
          </w:tcPr>
          <w:p w14:paraId="2D3C5C84" w14:textId="77777777" w:rsidR="00AE4052" w:rsidRPr="001961AA" w:rsidRDefault="00AE4052" w:rsidP="00AE4052">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2024</w:t>
            </w:r>
          </w:p>
        </w:tc>
        <w:tc>
          <w:tcPr>
            <w:tcW w:w="3747"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62E98639" w14:textId="2D0EA92D" w:rsidR="00AE4052" w:rsidRPr="001961AA" w:rsidRDefault="00AE4052" w:rsidP="00AE4052">
            <w:pPr>
              <w:spacing w:after="0"/>
              <w:rPr>
                <w:rFonts w:ascii="Times New Roman" w:eastAsia="Times New Roman" w:hAnsi="Times New Roman" w:cs="Times New Roman"/>
                <w:noProof/>
                <w:color w:val="006100"/>
                <w:highlight w:val="cyan"/>
                <w:lang w:val="en-GB"/>
              </w:rPr>
            </w:pPr>
            <w:r w:rsidRPr="001961AA">
              <w:rPr>
                <w:rFonts w:ascii="Times New Roman" w:hAnsi="Times New Roman"/>
                <w:noProof/>
                <w:color w:val="006100"/>
                <w:lang w:val="en-GB"/>
              </w:rPr>
              <w:t>Award of building permit in Brussels.</w:t>
            </w:r>
          </w:p>
        </w:tc>
      </w:tr>
      <w:tr w:rsidR="00AE4052" w:rsidRPr="001961AA" w14:paraId="30E2B995" w14:textId="77777777" w:rsidTr="00287CA5">
        <w:trPr>
          <w:trHeight w:val="309"/>
          <w:jc w:val="center"/>
        </w:trPr>
        <w:tc>
          <w:tcPr>
            <w:tcW w:w="70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B7FE597" w14:textId="47F875C5" w:rsidR="00AE4052" w:rsidRPr="001961AA" w:rsidRDefault="00AE4052" w:rsidP="00AE4052">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96b</w:t>
            </w:r>
          </w:p>
        </w:tc>
        <w:tc>
          <w:tcPr>
            <w:tcW w:w="141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497A878" w14:textId="5DD065F1" w:rsidR="00AE4052" w:rsidRPr="001961AA" w:rsidRDefault="00AE4052" w:rsidP="00AE4052">
            <w:pPr>
              <w:jc w:val="both"/>
              <w:rPr>
                <w:rFonts w:ascii="Times New Roman" w:hAnsi="Times New Roman" w:cs="Times New Roman"/>
                <w:noProof/>
                <w:color w:val="006100"/>
                <w:shd w:val="clear" w:color="auto" w:fill="E6E6E6"/>
                <w:lang w:val="en-GB"/>
              </w:rPr>
            </w:pPr>
            <w:r w:rsidRPr="001961AA">
              <w:rPr>
                <w:rFonts w:ascii="Times New Roman" w:hAnsi="Times New Roman"/>
                <w:noProof/>
                <w:color w:val="006100"/>
                <w:lang w:val="en-GB"/>
              </w:rPr>
              <w:t xml:space="preserve">Cycling infrastructure – Vélo Plus - Federal State (I-3.03b) </w:t>
            </w:r>
          </w:p>
        </w:tc>
        <w:tc>
          <w:tcPr>
            <w:tcW w:w="1417" w:type="dxa"/>
            <w:tcBorders>
              <w:top w:val="single" w:sz="4" w:space="0" w:color="auto"/>
              <w:left w:val="nil"/>
              <w:bottom w:val="single" w:sz="4" w:space="0" w:color="auto"/>
              <w:right w:val="single" w:sz="4" w:space="0" w:color="auto"/>
            </w:tcBorders>
            <w:shd w:val="clear" w:color="auto" w:fill="C6EFCE"/>
            <w:noWrap/>
            <w:vAlign w:val="center"/>
          </w:tcPr>
          <w:p w14:paraId="292702E6" w14:textId="4A178978" w:rsidR="00AE4052" w:rsidRPr="001961AA" w:rsidRDefault="00AE4052" w:rsidP="00AE4052">
            <w:pPr>
              <w:spacing w:after="0"/>
              <w:rPr>
                <w:rFonts w:ascii="Times New Roman" w:hAnsi="Times New Roman" w:cs="Times New Roman"/>
                <w:noProof/>
                <w:color w:val="006100"/>
                <w:lang w:val="en-GB"/>
              </w:rPr>
            </w:pPr>
            <w:r w:rsidRPr="001961AA">
              <w:rPr>
                <w:rFonts w:ascii="Times New Roman" w:hAnsi="Times New Roman"/>
                <w:noProof/>
                <w:color w:val="006100"/>
                <w:lang w:val="en-GB"/>
              </w:rPr>
              <w:t>T</w:t>
            </w:r>
          </w:p>
        </w:tc>
        <w:tc>
          <w:tcPr>
            <w:tcW w:w="1559" w:type="dxa"/>
            <w:tcBorders>
              <w:top w:val="single" w:sz="4" w:space="0" w:color="auto"/>
              <w:left w:val="nil"/>
              <w:bottom w:val="single" w:sz="4" w:space="0" w:color="auto"/>
              <w:right w:val="single" w:sz="4" w:space="0" w:color="auto"/>
            </w:tcBorders>
            <w:shd w:val="clear" w:color="auto" w:fill="C6EFCE"/>
            <w:noWrap/>
            <w:vAlign w:val="center"/>
          </w:tcPr>
          <w:p w14:paraId="58A6FC55" w14:textId="77777777" w:rsidR="00AE4052" w:rsidRPr="001961AA" w:rsidRDefault="00AE4052" w:rsidP="00AE4052">
            <w:pPr>
              <w:spacing w:after="0"/>
              <w:rPr>
                <w:rFonts w:ascii="Times New Roman" w:hAnsi="Times New Roman" w:cs="Times New Roman"/>
                <w:noProof/>
                <w:color w:val="006100"/>
                <w:lang w:val="en-GB"/>
              </w:rPr>
            </w:pPr>
            <w:r w:rsidRPr="001961AA">
              <w:rPr>
                <w:rFonts w:ascii="Times New Roman" w:hAnsi="Times New Roman"/>
                <w:noProof/>
                <w:color w:val="006100"/>
                <w:lang w:val="en-GB"/>
              </w:rPr>
              <w:t>New and refurbished cycling roads</w:t>
            </w:r>
          </w:p>
        </w:tc>
        <w:tc>
          <w:tcPr>
            <w:tcW w:w="1560" w:type="dxa"/>
            <w:tcBorders>
              <w:top w:val="single" w:sz="4" w:space="0" w:color="auto"/>
              <w:left w:val="nil"/>
              <w:bottom w:val="single" w:sz="4" w:space="0" w:color="auto"/>
              <w:right w:val="single" w:sz="4" w:space="0" w:color="auto"/>
            </w:tcBorders>
            <w:shd w:val="clear" w:color="auto" w:fill="C6EFCE"/>
            <w:noWrap/>
            <w:vAlign w:val="center"/>
          </w:tcPr>
          <w:p w14:paraId="192B2D5C" w14:textId="77777777" w:rsidR="00AE4052" w:rsidRPr="001961AA" w:rsidRDefault="00AE4052" w:rsidP="00AE4052">
            <w:pPr>
              <w:spacing w:after="0"/>
              <w:rPr>
                <w:rFonts w:ascii="Times New Roman" w:eastAsia="Times New Roman" w:hAnsi="Times New Roman" w:cs="Times New Roman"/>
                <w:noProof/>
                <w:color w:val="006100"/>
                <w:lang w:val="en-GB" w:eastAsia="en-GB"/>
              </w:rPr>
            </w:pPr>
          </w:p>
        </w:tc>
        <w:tc>
          <w:tcPr>
            <w:tcW w:w="1137" w:type="dxa"/>
            <w:tcBorders>
              <w:top w:val="single" w:sz="4" w:space="0" w:color="auto"/>
              <w:left w:val="nil"/>
              <w:bottom w:val="single" w:sz="4" w:space="0" w:color="auto"/>
              <w:right w:val="single" w:sz="4" w:space="0" w:color="auto"/>
            </w:tcBorders>
            <w:shd w:val="clear" w:color="auto" w:fill="C6EFCE"/>
            <w:noWrap/>
            <w:vAlign w:val="center"/>
          </w:tcPr>
          <w:p w14:paraId="2877EC27" w14:textId="77777777" w:rsidR="00AE4052" w:rsidRPr="001961AA" w:rsidRDefault="00AE4052" w:rsidP="00AE4052">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km</w:t>
            </w:r>
          </w:p>
        </w:tc>
        <w:tc>
          <w:tcPr>
            <w:tcW w:w="108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BAB63D2" w14:textId="77777777" w:rsidR="00AE4052" w:rsidRPr="001961AA" w:rsidRDefault="00AE4052" w:rsidP="00AE4052">
            <w:pPr>
              <w:spacing w:after="0"/>
              <w:jc w:val="right"/>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0</w:t>
            </w:r>
          </w:p>
        </w:tc>
        <w:tc>
          <w:tcPr>
            <w:tcW w:w="840" w:type="dxa"/>
            <w:tcBorders>
              <w:top w:val="single" w:sz="4" w:space="0" w:color="auto"/>
              <w:left w:val="nil"/>
              <w:bottom w:val="single" w:sz="4" w:space="0" w:color="auto"/>
              <w:right w:val="single" w:sz="4" w:space="0" w:color="auto"/>
            </w:tcBorders>
            <w:shd w:val="clear" w:color="auto" w:fill="C6EFCE"/>
            <w:noWrap/>
            <w:vAlign w:val="center"/>
          </w:tcPr>
          <w:p w14:paraId="192125FD" w14:textId="5CCBAB2A" w:rsidR="00AE4052" w:rsidRPr="001961AA" w:rsidRDefault="00AE4052" w:rsidP="00AE4052">
            <w:pPr>
              <w:spacing w:after="0"/>
              <w:jc w:val="right"/>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4.8</w:t>
            </w:r>
          </w:p>
        </w:tc>
        <w:tc>
          <w:tcPr>
            <w:tcW w:w="1080" w:type="dxa"/>
            <w:tcBorders>
              <w:top w:val="single" w:sz="4" w:space="0" w:color="auto"/>
              <w:left w:val="nil"/>
              <w:bottom w:val="single" w:sz="4" w:space="0" w:color="auto"/>
              <w:right w:val="single" w:sz="4" w:space="0" w:color="auto"/>
            </w:tcBorders>
            <w:shd w:val="clear" w:color="auto" w:fill="C6EFCE"/>
            <w:noWrap/>
            <w:vAlign w:val="center"/>
          </w:tcPr>
          <w:p w14:paraId="27BB2551" w14:textId="77777777" w:rsidR="00AE4052" w:rsidRPr="001961AA" w:rsidRDefault="00AE4052" w:rsidP="00AE4052">
            <w:pPr>
              <w:spacing w:after="0"/>
              <w:jc w:val="center"/>
              <w:rPr>
                <w:rFonts w:ascii="Times New Roman" w:hAnsi="Times New Roman" w:cs="Times New Roman"/>
                <w:noProof/>
                <w:color w:val="006100"/>
                <w:lang w:val="en-GB"/>
              </w:rPr>
            </w:pPr>
            <w:r w:rsidRPr="001961AA">
              <w:rPr>
                <w:rFonts w:ascii="Times New Roman" w:hAnsi="Times New Roman"/>
                <w:noProof/>
                <w:color w:val="006100"/>
                <w:lang w:val="en-GB"/>
              </w:rPr>
              <w:t>Q2</w:t>
            </w:r>
          </w:p>
        </w:tc>
        <w:tc>
          <w:tcPr>
            <w:tcW w:w="960" w:type="dxa"/>
            <w:tcBorders>
              <w:top w:val="single" w:sz="4" w:space="0" w:color="auto"/>
              <w:left w:val="nil"/>
              <w:bottom w:val="single" w:sz="4" w:space="0" w:color="auto"/>
              <w:right w:val="single" w:sz="4" w:space="0" w:color="auto"/>
            </w:tcBorders>
            <w:shd w:val="clear" w:color="auto" w:fill="C6EFCE"/>
            <w:noWrap/>
            <w:vAlign w:val="center"/>
          </w:tcPr>
          <w:p w14:paraId="51935610" w14:textId="77777777" w:rsidR="00AE4052" w:rsidRPr="001961AA" w:rsidRDefault="00AE4052" w:rsidP="00AE4052">
            <w:pPr>
              <w:spacing w:after="0"/>
              <w:jc w:val="center"/>
              <w:rPr>
                <w:rFonts w:ascii="Times New Roman" w:hAnsi="Times New Roman" w:cs="Times New Roman"/>
                <w:noProof/>
                <w:color w:val="006100"/>
                <w:lang w:val="en-GB"/>
              </w:rPr>
            </w:pPr>
            <w:r w:rsidRPr="001961AA">
              <w:rPr>
                <w:rFonts w:ascii="Times New Roman" w:hAnsi="Times New Roman"/>
                <w:noProof/>
                <w:color w:val="006100"/>
                <w:lang w:val="en-GB"/>
              </w:rPr>
              <w:t>2026</w:t>
            </w:r>
          </w:p>
        </w:tc>
        <w:tc>
          <w:tcPr>
            <w:tcW w:w="374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C598226" w14:textId="1EE3BF3F" w:rsidR="00AE4052" w:rsidRPr="001961AA" w:rsidRDefault="00AE4052" w:rsidP="00AE4052">
            <w:pPr>
              <w:spacing w:after="0"/>
              <w:rPr>
                <w:rFonts w:ascii="Times New Roman" w:hAnsi="Times New Roman" w:cs="Times New Roman"/>
                <w:noProof/>
                <w:color w:val="006100"/>
                <w:u w:val="single"/>
                <w:lang w:val="en-GB"/>
              </w:rPr>
            </w:pPr>
            <w:r w:rsidRPr="001961AA">
              <w:rPr>
                <w:rFonts w:ascii="Times New Roman" w:hAnsi="Times New Roman"/>
                <w:noProof/>
                <w:color w:val="006100"/>
                <w:lang w:val="en-GB"/>
              </w:rPr>
              <w:t>4.8 km of new and refurbished cycling paths.</w:t>
            </w:r>
          </w:p>
        </w:tc>
      </w:tr>
      <w:tr w:rsidR="00AE4052" w:rsidRPr="001961AA" w14:paraId="70861AC0" w14:textId="77777777" w:rsidTr="00287CA5">
        <w:trPr>
          <w:trHeight w:val="309"/>
          <w:jc w:val="center"/>
        </w:trPr>
        <w:tc>
          <w:tcPr>
            <w:tcW w:w="70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4F65170" w14:textId="77777777" w:rsidR="00AE4052" w:rsidRPr="001961AA" w:rsidRDefault="00AE4052" w:rsidP="00AE4052">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98</w:t>
            </w:r>
          </w:p>
        </w:tc>
        <w:tc>
          <w:tcPr>
            <w:tcW w:w="141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89EF406" w14:textId="222C8E8F" w:rsidR="00AE4052" w:rsidRPr="001961AA" w:rsidRDefault="00AE4052" w:rsidP="00AE4052">
            <w:pPr>
              <w:spacing w:after="0"/>
              <w:rPr>
                <w:rFonts w:ascii="Times New Roman" w:hAnsi="Times New Roman" w:cs="Times New Roman"/>
                <w:noProof/>
                <w:color w:val="006100"/>
                <w:lang w:val="en-GB"/>
              </w:rPr>
            </w:pPr>
            <w:r w:rsidRPr="001961AA">
              <w:rPr>
                <w:rFonts w:ascii="Times New Roman" w:hAnsi="Times New Roman"/>
                <w:noProof/>
                <w:color w:val="006100"/>
                <w:lang w:val="en-GB"/>
              </w:rPr>
              <w:t xml:space="preserve">Cycling and walking infrastructure – Schuman (I-3.04) </w:t>
            </w:r>
          </w:p>
        </w:tc>
        <w:tc>
          <w:tcPr>
            <w:tcW w:w="1417" w:type="dxa"/>
            <w:tcBorders>
              <w:top w:val="single" w:sz="4" w:space="0" w:color="auto"/>
              <w:left w:val="nil"/>
              <w:bottom w:val="single" w:sz="4" w:space="0" w:color="auto"/>
              <w:right w:val="single" w:sz="4" w:space="0" w:color="auto"/>
            </w:tcBorders>
            <w:shd w:val="clear" w:color="auto" w:fill="C6EFCE"/>
            <w:noWrap/>
            <w:vAlign w:val="center"/>
          </w:tcPr>
          <w:p w14:paraId="05048F2E" w14:textId="58F7C276" w:rsidR="00AE4052" w:rsidRPr="001961AA" w:rsidRDefault="00AE4052" w:rsidP="00AE4052">
            <w:pPr>
              <w:spacing w:after="0"/>
              <w:rPr>
                <w:rFonts w:ascii="Times New Roman" w:hAnsi="Times New Roman" w:cs="Times New Roman"/>
                <w:noProof/>
                <w:color w:val="006100"/>
                <w:lang w:val="en-GB"/>
              </w:rPr>
            </w:pPr>
            <w:r w:rsidRPr="001961AA">
              <w:rPr>
                <w:rFonts w:ascii="Times New Roman" w:hAnsi="Times New Roman"/>
                <w:noProof/>
                <w:color w:val="006100"/>
                <w:lang w:val="en-GB"/>
              </w:rPr>
              <w:t>T</w:t>
            </w:r>
          </w:p>
        </w:tc>
        <w:tc>
          <w:tcPr>
            <w:tcW w:w="1559" w:type="dxa"/>
            <w:tcBorders>
              <w:top w:val="single" w:sz="4" w:space="0" w:color="auto"/>
              <w:left w:val="nil"/>
              <w:bottom w:val="single" w:sz="4" w:space="0" w:color="auto"/>
              <w:right w:val="single" w:sz="4" w:space="0" w:color="auto"/>
            </w:tcBorders>
            <w:shd w:val="clear" w:color="auto" w:fill="C6EFCE"/>
            <w:noWrap/>
            <w:vAlign w:val="center"/>
          </w:tcPr>
          <w:p w14:paraId="1AF59B13" w14:textId="77777777" w:rsidR="00AE4052" w:rsidRPr="001961AA" w:rsidRDefault="00AE4052" w:rsidP="00AE4052">
            <w:pPr>
              <w:spacing w:after="0"/>
              <w:rPr>
                <w:rFonts w:ascii="Times New Roman" w:hAnsi="Times New Roman" w:cs="Times New Roman"/>
                <w:noProof/>
                <w:color w:val="006100"/>
                <w:lang w:val="en-GB"/>
              </w:rPr>
            </w:pPr>
            <w:r w:rsidRPr="001961AA">
              <w:rPr>
                <w:rFonts w:ascii="Times New Roman" w:hAnsi="Times New Roman"/>
                <w:noProof/>
                <w:color w:val="006100"/>
                <w:lang w:val="en-GB"/>
              </w:rPr>
              <w:t>New public space for pedestrians, cyclists and public transport at Schuman</w:t>
            </w:r>
          </w:p>
        </w:tc>
        <w:tc>
          <w:tcPr>
            <w:tcW w:w="1560" w:type="dxa"/>
            <w:tcBorders>
              <w:top w:val="single" w:sz="4" w:space="0" w:color="auto"/>
              <w:left w:val="nil"/>
              <w:bottom w:val="single" w:sz="4" w:space="0" w:color="auto"/>
              <w:right w:val="single" w:sz="4" w:space="0" w:color="auto"/>
            </w:tcBorders>
            <w:shd w:val="clear" w:color="auto" w:fill="C6EFCE"/>
            <w:noWrap/>
            <w:vAlign w:val="center"/>
          </w:tcPr>
          <w:p w14:paraId="5B4AE6B1" w14:textId="77777777" w:rsidR="00AE4052" w:rsidRPr="001961AA" w:rsidRDefault="00AE4052" w:rsidP="00AE4052">
            <w:pPr>
              <w:spacing w:after="0"/>
              <w:rPr>
                <w:rFonts w:ascii="Times New Roman" w:eastAsia="Times New Roman" w:hAnsi="Times New Roman" w:cs="Times New Roman"/>
                <w:noProof/>
                <w:color w:val="006100"/>
                <w:lang w:val="en-GB" w:eastAsia="en-GB"/>
              </w:rPr>
            </w:pPr>
          </w:p>
        </w:tc>
        <w:tc>
          <w:tcPr>
            <w:tcW w:w="1137" w:type="dxa"/>
            <w:tcBorders>
              <w:top w:val="single" w:sz="4" w:space="0" w:color="auto"/>
              <w:left w:val="nil"/>
              <w:bottom w:val="single" w:sz="4" w:space="0" w:color="auto"/>
              <w:right w:val="single" w:sz="4" w:space="0" w:color="auto"/>
            </w:tcBorders>
            <w:shd w:val="clear" w:color="auto" w:fill="C6EFCE"/>
            <w:noWrap/>
            <w:vAlign w:val="center"/>
          </w:tcPr>
          <w:p w14:paraId="6380F661" w14:textId="77777777" w:rsidR="00AE4052" w:rsidRPr="001961AA" w:rsidRDefault="00AE4052" w:rsidP="00AE4052">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m²</w:t>
            </w:r>
          </w:p>
        </w:tc>
        <w:tc>
          <w:tcPr>
            <w:tcW w:w="108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578DE86" w14:textId="77777777" w:rsidR="00AE4052" w:rsidRPr="001961AA" w:rsidRDefault="00AE4052" w:rsidP="00AE4052">
            <w:pPr>
              <w:spacing w:after="0"/>
              <w:jc w:val="right"/>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0</w:t>
            </w:r>
          </w:p>
        </w:tc>
        <w:tc>
          <w:tcPr>
            <w:tcW w:w="840" w:type="dxa"/>
            <w:tcBorders>
              <w:top w:val="single" w:sz="4" w:space="0" w:color="auto"/>
              <w:left w:val="nil"/>
              <w:bottom w:val="single" w:sz="4" w:space="0" w:color="auto"/>
              <w:right w:val="single" w:sz="4" w:space="0" w:color="auto"/>
            </w:tcBorders>
            <w:shd w:val="clear" w:color="auto" w:fill="C6EFCE"/>
            <w:noWrap/>
            <w:vAlign w:val="center"/>
          </w:tcPr>
          <w:p w14:paraId="68FD9B1C" w14:textId="4F21C60A" w:rsidR="00AE4052" w:rsidRPr="001961AA" w:rsidRDefault="00AE4052" w:rsidP="00AE4052">
            <w:pPr>
              <w:spacing w:after="0"/>
              <w:jc w:val="right"/>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25 000</w:t>
            </w:r>
          </w:p>
        </w:tc>
        <w:tc>
          <w:tcPr>
            <w:tcW w:w="1080" w:type="dxa"/>
            <w:tcBorders>
              <w:top w:val="single" w:sz="4" w:space="0" w:color="auto"/>
              <w:left w:val="nil"/>
              <w:bottom w:val="single" w:sz="4" w:space="0" w:color="auto"/>
              <w:right w:val="single" w:sz="4" w:space="0" w:color="auto"/>
            </w:tcBorders>
            <w:shd w:val="clear" w:color="auto" w:fill="C6EFCE"/>
            <w:noWrap/>
            <w:vAlign w:val="center"/>
          </w:tcPr>
          <w:p w14:paraId="6434789B" w14:textId="77777777" w:rsidR="00AE4052" w:rsidRPr="001961AA" w:rsidRDefault="00AE4052" w:rsidP="00AE4052">
            <w:pPr>
              <w:spacing w:after="0"/>
              <w:jc w:val="center"/>
              <w:rPr>
                <w:rFonts w:ascii="Times New Roman" w:hAnsi="Times New Roman" w:cs="Times New Roman"/>
                <w:noProof/>
                <w:color w:val="006100"/>
                <w:lang w:val="en-GB"/>
              </w:rPr>
            </w:pPr>
            <w:r w:rsidRPr="001961AA">
              <w:rPr>
                <w:rFonts w:ascii="Times New Roman" w:hAnsi="Times New Roman"/>
                <w:noProof/>
                <w:color w:val="006100"/>
                <w:lang w:val="en-GB"/>
              </w:rPr>
              <w:t>Q2</w:t>
            </w:r>
          </w:p>
        </w:tc>
        <w:tc>
          <w:tcPr>
            <w:tcW w:w="960" w:type="dxa"/>
            <w:tcBorders>
              <w:top w:val="single" w:sz="4" w:space="0" w:color="auto"/>
              <w:left w:val="nil"/>
              <w:bottom w:val="single" w:sz="4" w:space="0" w:color="auto"/>
              <w:right w:val="single" w:sz="4" w:space="0" w:color="auto"/>
            </w:tcBorders>
            <w:shd w:val="clear" w:color="auto" w:fill="C6EFCE"/>
            <w:noWrap/>
            <w:vAlign w:val="center"/>
          </w:tcPr>
          <w:p w14:paraId="4C03C0AD" w14:textId="77777777" w:rsidR="00AE4052" w:rsidRPr="001961AA" w:rsidRDefault="00AE4052" w:rsidP="00AE4052">
            <w:pPr>
              <w:spacing w:after="0"/>
              <w:jc w:val="center"/>
              <w:rPr>
                <w:rFonts w:ascii="Times New Roman" w:hAnsi="Times New Roman" w:cs="Times New Roman"/>
                <w:noProof/>
                <w:color w:val="006100"/>
                <w:lang w:val="en-GB"/>
              </w:rPr>
            </w:pPr>
            <w:r w:rsidRPr="001961AA">
              <w:rPr>
                <w:rFonts w:ascii="Times New Roman" w:hAnsi="Times New Roman"/>
                <w:noProof/>
                <w:color w:val="006100"/>
                <w:lang w:val="en-GB"/>
              </w:rPr>
              <w:t>2026</w:t>
            </w:r>
          </w:p>
        </w:tc>
        <w:tc>
          <w:tcPr>
            <w:tcW w:w="374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7039C0B" w14:textId="7FF106CA" w:rsidR="00AE4052" w:rsidRPr="001961AA" w:rsidRDefault="00AE4052" w:rsidP="00AE4052">
            <w:pPr>
              <w:spacing w:after="0"/>
              <w:rPr>
                <w:rFonts w:ascii="Times New Roman" w:hAnsi="Times New Roman" w:cs="Times New Roman"/>
                <w:noProof/>
                <w:color w:val="006100"/>
                <w:u w:val="single"/>
                <w:lang w:val="en-GB"/>
              </w:rPr>
            </w:pPr>
            <w:r w:rsidRPr="001961AA">
              <w:rPr>
                <w:rFonts w:ascii="Times New Roman" w:hAnsi="Times New Roman"/>
                <w:noProof/>
                <w:color w:val="006100"/>
                <w:lang w:val="en-GB"/>
              </w:rPr>
              <w:t>25 000 m² of new public space for pedestrians, cyclists and public transport at Schuman</w:t>
            </w:r>
          </w:p>
        </w:tc>
      </w:tr>
    </w:tbl>
    <w:p w14:paraId="6BFCF024" w14:textId="77777777" w:rsidR="005531F9" w:rsidRPr="001961AA" w:rsidRDefault="005531F9" w:rsidP="005531F9">
      <w:pPr>
        <w:pStyle w:val="Text1"/>
        <w:ind w:left="709"/>
        <w:rPr>
          <w:noProof/>
          <w:szCs w:val="24"/>
          <w:lang w:val="en-GB"/>
        </w:rPr>
      </w:pPr>
    </w:p>
    <w:p w14:paraId="61958984" w14:textId="77777777" w:rsidR="005531F9" w:rsidRPr="001961AA" w:rsidRDefault="005531F9" w:rsidP="005531F9">
      <w:pPr>
        <w:ind w:left="709"/>
        <w:rPr>
          <w:rFonts w:ascii="Times New Roman" w:hAnsi="Times New Roman" w:cs="Times New Roman"/>
          <w:noProof/>
          <w:lang w:val="en-GB"/>
        </w:rPr>
        <w:sectPr w:rsidR="005531F9" w:rsidRPr="001961AA" w:rsidSect="007F56C3">
          <w:headerReference w:type="even" r:id="rId120"/>
          <w:headerReference w:type="default" r:id="rId121"/>
          <w:footerReference w:type="even" r:id="rId122"/>
          <w:footerReference w:type="default" r:id="rId123"/>
          <w:headerReference w:type="first" r:id="rId124"/>
          <w:footerReference w:type="first" r:id="rId125"/>
          <w:pgSz w:w="16839" w:h="11907" w:orient="landscape"/>
          <w:pgMar w:top="1134" w:right="1134" w:bottom="1134" w:left="1134" w:header="567" w:footer="567" w:gutter="0"/>
          <w:cols w:space="720"/>
          <w:docGrid w:linePitch="360"/>
        </w:sectPr>
      </w:pPr>
    </w:p>
    <w:p w14:paraId="3EBCBBDC" w14:textId="7B7E74EA" w:rsidR="006A41D9" w:rsidRPr="001961AA" w:rsidRDefault="006A41D9" w:rsidP="00143925">
      <w:pPr>
        <w:pStyle w:val="ManualHeading1"/>
        <w:spacing w:before="120"/>
        <w:ind w:left="0" w:firstLine="0"/>
        <w:rPr>
          <w:noProof/>
          <w:szCs w:val="24"/>
          <w:lang w:val="en-GB"/>
        </w:rPr>
      </w:pPr>
      <w:r w:rsidRPr="001961AA">
        <w:rPr>
          <w:noProof/>
          <w:lang w:val="en-GB"/>
        </w:rPr>
        <w:t>H. COMPONENT 3.2: Modal shift</w:t>
      </w:r>
    </w:p>
    <w:p w14:paraId="697FBBAA" w14:textId="77777777" w:rsidR="006A41D9" w:rsidRPr="001961AA" w:rsidRDefault="006A41D9" w:rsidP="00BD6DD1">
      <w:pPr>
        <w:spacing w:before="120" w:after="120" w:line="240" w:lineRule="auto"/>
        <w:jc w:val="both"/>
        <w:rPr>
          <w:rFonts w:ascii="Times New Roman" w:hAnsi="Times New Roman" w:cs="Times New Roman"/>
          <w:noProof/>
          <w:sz w:val="24"/>
          <w:szCs w:val="24"/>
          <w:lang w:val="en-GB"/>
        </w:rPr>
      </w:pPr>
      <w:r w:rsidRPr="001961AA">
        <w:rPr>
          <w:rFonts w:ascii="Times New Roman" w:hAnsi="Times New Roman"/>
          <w:noProof/>
          <w:sz w:val="24"/>
          <w:lang w:val="en-GB"/>
        </w:rPr>
        <w:t>The measures proposed under this component of the Belgian recovery and resilience plan aim at supporting the modal shift by investing in rail, local public transport, smart mobility and inland waterways.</w:t>
      </w:r>
    </w:p>
    <w:p w14:paraId="644F534E" w14:textId="77777777" w:rsidR="006A41D9" w:rsidRPr="001961AA" w:rsidRDefault="006A41D9" w:rsidP="00BD6DD1">
      <w:pPr>
        <w:spacing w:before="120" w:after="120" w:line="240" w:lineRule="auto"/>
        <w:jc w:val="both"/>
        <w:rPr>
          <w:rFonts w:ascii="Times New Roman" w:eastAsia="Times New Roman" w:hAnsi="Times New Roman" w:cs="Times New Roman"/>
          <w:noProof/>
          <w:sz w:val="24"/>
          <w:szCs w:val="24"/>
          <w:lang w:val="en-GB"/>
        </w:rPr>
      </w:pPr>
      <w:r w:rsidRPr="001961AA">
        <w:rPr>
          <w:rFonts w:ascii="Times New Roman" w:hAnsi="Times New Roman"/>
          <w:noProof/>
          <w:sz w:val="24"/>
          <w:lang w:val="en-GB"/>
        </w:rPr>
        <w:t>The component contributes to addressing Country Specific Recommendation 2019.3 calling on Belgium to “focus investment-related economic policy on sustainable transport, including upgrading rail infrastructure, the low carbon and energy transition and research and innovation, in particular in digitalisation, taking into account regional disparities. Tackle the growing mobility challenges, by reinforcing incentives and removing barriers to increase the supply and demand of collective and low emission transport.” and Country Specific Recommendation 2020.3 calling on Belgium to “focus investment on the green and digital  transition, in particular on infrastructure for sustainable transport”.</w:t>
      </w:r>
    </w:p>
    <w:p w14:paraId="523BBC6A" w14:textId="39F6EC34" w:rsidR="006A41D9" w:rsidRPr="001961AA" w:rsidRDefault="006A41D9" w:rsidP="00BD6DD1">
      <w:pPr>
        <w:spacing w:before="120" w:after="120" w:line="240" w:lineRule="auto"/>
        <w:jc w:val="both"/>
        <w:rPr>
          <w:rFonts w:ascii="Times New Roman" w:hAnsi="Times New Roman" w:cs="Times New Roman"/>
          <w:noProof/>
          <w:sz w:val="24"/>
          <w:szCs w:val="24"/>
          <w:lang w:val="en-GB"/>
        </w:rPr>
      </w:pPr>
      <w:r w:rsidRPr="001961AA">
        <w:rPr>
          <w:rFonts w:ascii="Times New Roman" w:hAnsi="Times New Roman"/>
          <w:noProof/>
          <w:sz w:val="24"/>
          <w:lang w:val="en-GB"/>
        </w:rPr>
        <w:t>It is expected that no measure in this component does significant harm to environmental objectives within the meaning of Article 17 of Regulation (EU) 2020/852, taking into account the description of the measures and the mitigating steps set out in the recovery and resilience plan in accordance with the DNSH Technical Guidance (2021/C58/01).</w:t>
      </w:r>
    </w:p>
    <w:p w14:paraId="58B8099F" w14:textId="77777777" w:rsidR="006A41D9" w:rsidRPr="001961AA" w:rsidRDefault="006A41D9" w:rsidP="00BD6DD1">
      <w:pPr>
        <w:spacing w:before="120" w:after="120"/>
        <w:jc w:val="both"/>
        <w:rPr>
          <w:rFonts w:ascii="Times New Roman" w:hAnsi="Times New Roman" w:cs="Times New Roman"/>
          <w:b/>
          <w:bCs/>
          <w:noProof/>
          <w:sz w:val="24"/>
          <w:szCs w:val="24"/>
          <w:u w:val="single"/>
          <w:lang w:val="en-GB"/>
        </w:rPr>
      </w:pPr>
      <w:r w:rsidRPr="001961AA">
        <w:rPr>
          <w:rFonts w:ascii="Times New Roman" w:hAnsi="Times New Roman"/>
          <w:b/>
          <w:noProof/>
          <w:sz w:val="24"/>
          <w:u w:val="single"/>
          <w:lang w:val="en-GB"/>
        </w:rPr>
        <w:t xml:space="preserve">H.1. </w:t>
      </w:r>
      <w:r w:rsidRPr="001961AA">
        <w:rPr>
          <w:noProof/>
          <w:lang w:val="en-GB"/>
        </w:rPr>
        <w:tab/>
      </w:r>
      <w:r w:rsidRPr="001961AA">
        <w:rPr>
          <w:rFonts w:ascii="Times New Roman" w:hAnsi="Times New Roman"/>
          <w:b/>
          <w:noProof/>
          <w:sz w:val="24"/>
          <w:u w:val="single"/>
          <w:lang w:val="en-GB"/>
        </w:rPr>
        <w:t>Description of the reforms and investments for non-repayable financial support</w:t>
      </w:r>
    </w:p>
    <w:p w14:paraId="2755EDCF" w14:textId="77777777" w:rsidR="006A41D9" w:rsidRPr="001961AA" w:rsidRDefault="006A41D9" w:rsidP="00BD6DD1">
      <w:pPr>
        <w:pStyle w:val="Text1"/>
        <w:ind w:left="0"/>
        <w:rPr>
          <w:noProof/>
          <w:szCs w:val="24"/>
          <w:u w:val="single"/>
          <w:lang w:val="en-GB"/>
        </w:rPr>
      </w:pPr>
      <w:r w:rsidRPr="001961AA">
        <w:rPr>
          <w:noProof/>
          <w:u w:val="single"/>
          <w:lang w:val="en-GB"/>
        </w:rPr>
        <w:t>Reform R-3.01: ‘Performance Infrabel/NMBS-SNCB’ of the Federal State</w:t>
      </w:r>
    </w:p>
    <w:p w14:paraId="2690D7E5" w14:textId="77777777" w:rsidR="006A41D9" w:rsidRPr="001961AA" w:rsidRDefault="006A41D9" w:rsidP="00BD6DD1">
      <w:pPr>
        <w:pStyle w:val="Text1"/>
        <w:ind w:left="0"/>
        <w:rPr>
          <w:noProof/>
          <w:szCs w:val="24"/>
          <w:lang w:val="en-GB"/>
        </w:rPr>
      </w:pPr>
      <w:r w:rsidRPr="001961AA">
        <w:rPr>
          <w:noProof/>
          <w:lang w:val="en-GB"/>
        </w:rPr>
        <w:t xml:space="preserve">This reform consists in adopting the new performance contracts of NMBS-SNCB and Infrabel and its pluri-annual investment plan, which shall at least ensure the following: </w:t>
      </w:r>
    </w:p>
    <w:p w14:paraId="1DB740CA" w14:textId="35E90AE0" w:rsidR="006A41D9" w:rsidRPr="001961AA" w:rsidRDefault="006A41D9" w:rsidP="009E6286">
      <w:pPr>
        <w:pStyle w:val="Text1"/>
        <w:numPr>
          <w:ilvl w:val="0"/>
          <w:numId w:val="47"/>
        </w:numPr>
        <w:tabs>
          <w:tab w:val="left" w:pos="426"/>
        </w:tabs>
        <w:rPr>
          <w:noProof/>
          <w:szCs w:val="24"/>
          <w:u w:val="single"/>
          <w:lang w:val="en-GB"/>
        </w:rPr>
      </w:pPr>
      <w:r w:rsidRPr="001961AA">
        <w:rPr>
          <w:noProof/>
          <w:lang w:val="en-GB"/>
        </w:rPr>
        <w:t>Timely execution of the ‘Réseau suburbain bruxellois - Geweestelijk ExpressNet’ (RER-GEN) suburban rail investments until 2031 in line with the Law adopting the inter-regional cooperation agreement</w:t>
      </w:r>
      <w:r w:rsidRPr="001961AA">
        <w:rPr>
          <w:noProof/>
          <w:vertAlign w:val="superscript"/>
          <w:lang w:val="en-GB"/>
        </w:rPr>
        <w:footnoteReference w:id="8"/>
      </w:r>
      <w:r w:rsidRPr="001961AA">
        <w:rPr>
          <w:noProof/>
          <w:lang w:val="en-GB"/>
        </w:rPr>
        <w:t xml:space="preserve"> on strategic railway investments</w:t>
      </w:r>
      <w:r w:rsidRPr="001961AA">
        <w:rPr>
          <w:noProof/>
          <w:vertAlign w:val="superscript"/>
          <w:lang w:val="en-GB"/>
        </w:rPr>
        <w:footnoteReference w:id="9"/>
      </w:r>
      <w:r w:rsidRPr="001961AA">
        <w:rPr>
          <w:noProof/>
          <w:lang w:val="en-GB"/>
        </w:rPr>
        <w:t>.</w:t>
      </w:r>
    </w:p>
    <w:p w14:paraId="1A3D3BA2" w14:textId="4852F72F" w:rsidR="006A41D9" w:rsidRPr="001961AA" w:rsidRDefault="006A41D9" w:rsidP="009E6286">
      <w:pPr>
        <w:pStyle w:val="ListParagraph"/>
        <w:numPr>
          <w:ilvl w:val="0"/>
          <w:numId w:val="47"/>
        </w:numPr>
        <w:tabs>
          <w:tab w:val="left" w:pos="426"/>
        </w:tabs>
        <w:spacing w:before="120" w:after="120" w:line="240" w:lineRule="auto"/>
        <w:jc w:val="both"/>
        <w:rPr>
          <w:rFonts w:ascii="Times New Roman" w:hAnsi="Times New Roman" w:cs="Times New Roman"/>
          <w:noProof/>
          <w:sz w:val="24"/>
          <w:szCs w:val="24"/>
          <w:lang w:val="en-GB"/>
        </w:rPr>
      </w:pPr>
      <w:r w:rsidRPr="001961AA">
        <w:rPr>
          <w:rFonts w:ascii="Times New Roman" w:hAnsi="Times New Roman"/>
          <w:noProof/>
          <w:sz w:val="24"/>
          <w:lang w:val="en-GB"/>
        </w:rPr>
        <w:t>Right incentives for efficiency and service quality embedded in the contract.</w:t>
      </w:r>
    </w:p>
    <w:p w14:paraId="3A257CCF" w14:textId="59CBCA73" w:rsidR="006A41D9" w:rsidRPr="001961AA" w:rsidRDefault="006A41D9" w:rsidP="009E6286">
      <w:pPr>
        <w:pStyle w:val="Text1"/>
        <w:numPr>
          <w:ilvl w:val="0"/>
          <w:numId w:val="47"/>
        </w:numPr>
        <w:tabs>
          <w:tab w:val="left" w:pos="426"/>
        </w:tabs>
        <w:rPr>
          <w:noProof/>
          <w:szCs w:val="24"/>
          <w:lang w:val="en-GB"/>
        </w:rPr>
      </w:pPr>
      <w:r w:rsidRPr="001961AA">
        <w:rPr>
          <w:noProof/>
          <w:lang w:val="en-GB"/>
        </w:rPr>
        <w:t>Complete investments I-3.09 ‘Rail-Accessible and multimodal train stations - FED’, I-3.10 ‘Rail – efficient network - FED’ and I-3.12 ‘Rail – Smart mobility - FED’, included in this component of the RRP.</w:t>
      </w:r>
    </w:p>
    <w:p w14:paraId="4B31EB90" w14:textId="77777777" w:rsidR="006A41D9" w:rsidRPr="001961AA" w:rsidRDefault="006A41D9" w:rsidP="00BD6DD1">
      <w:pPr>
        <w:pStyle w:val="Text1"/>
        <w:ind w:left="0"/>
        <w:rPr>
          <w:noProof/>
          <w:szCs w:val="24"/>
          <w:lang w:val="en-GB"/>
        </w:rPr>
      </w:pPr>
      <w:r w:rsidRPr="001961AA">
        <w:rPr>
          <w:noProof/>
          <w:lang w:val="en-GB"/>
        </w:rPr>
        <w:t>The contract shall be concluded by 30 June 2023.</w:t>
      </w:r>
    </w:p>
    <w:p w14:paraId="5526CF66" w14:textId="77777777" w:rsidR="006A41D9" w:rsidRPr="001961AA" w:rsidRDefault="006A41D9" w:rsidP="00BD6DD1">
      <w:pPr>
        <w:pStyle w:val="Text1"/>
        <w:ind w:left="0"/>
        <w:rPr>
          <w:noProof/>
          <w:szCs w:val="24"/>
          <w:u w:val="single"/>
          <w:lang w:val="en-GB"/>
        </w:rPr>
      </w:pPr>
      <w:r w:rsidRPr="001961AA">
        <w:rPr>
          <w:noProof/>
          <w:u w:val="single"/>
          <w:lang w:val="en-GB"/>
        </w:rPr>
        <w:t>Reform R-3.02: ‘Mobility budget’ of the Federal State</w:t>
      </w:r>
    </w:p>
    <w:p w14:paraId="4CEF5EF6" w14:textId="61EF365C" w:rsidR="006A41D9" w:rsidRPr="001961AA" w:rsidRDefault="006A41D9" w:rsidP="00BD6DD1">
      <w:pPr>
        <w:pStyle w:val="Text1"/>
        <w:ind w:left="0"/>
        <w:rPr>
          <w:rFonts w:eastAsia="Times New Roman"/>
          <w:noProof/>
          <w:szCs w:val="24"/>
          <w:lang w:val="en-GB"/>
        </w:rPr>
      </w:pPr>
      <w:r w:rsidRPr="001961AA">
        <w:rPr>
          <w:noProof/>
          <w:lang w:val="en-GB"/>
        </w:rPr>
        <w:t>This reform aims at reinforcing incentives to increase demand for modes of transport between home and work that constitute a sustainable alternative to company cars (i.e. collective transport and bicycle), as the uptake of the current mobility budget scheme has remained very limited. The objective is to induce a modal shift away from cars. The reform consists in the adoption of the law defining a revised mobility budget. The chapter in the law revising the mobility budget shall enter into force by 1 September 2021.</w:t>
      </w:r>
    </w:p>
    <w:p w14:paraId="161AD438" w14:textId="77777777" w:rsidR="006A41D9" w:rsidRPr="001961AA" w:rsidRDefault="006A41D9" w:rsidP="00BD6DD1">
      <w:pPr>
        <w:pStyle w:val="Text1"/>
        <w:ind w:left="0"/>
        <w:rPr>
          <w:noProof/>
          <w:szCs w:val="24"/>
          <w:u w:val="single"/>
          <w:lang w:val="en-GB"/>
        </w:rPr>
      </w:pPr>
      <w:r w:rsidRPr="001961AA">
        <w:rPr>
          <w:noProof/>
          <w:u w:val="single"/>
          <w:lang w:val="en-GB"/>
        </w:rPr>
        <w:t>Investment I-3B: ‘Enhancing public transport in Wallonia’</w:t>
      </w:r>
    </w:p>
    <w:p w14:paraId="1E4C1B72" w14:textId="2265C00B" w:rsidR="006A41D9" w:rsidRPr="001961AA" w:rsidRDefault="006A41D9" w:rsidP="00BD6DD1">
      <w:pPr>
        <w:pStyle w:val="Text1"/>
        <w:ind w:left="0"/>
        <w:rPr>
          <w:noProof/>
          <w:color w:val="000000"/>
          <w:szCs w:val="24"/>
          <w:lang w:val="en-GB"/>
        </w:rPr>
      </w:pPr>
      <w:r w:rsidRPr="001961AA">
        <w:rPr>
          <w:noProof/>
          <w:color w:val="000000"/>
          <w:lang w:val="en-GB"/>
        </w:rPr>
        <w:t>The objectives of the investment is to enhance public transport in Wallonia. This measure is composed of the following two sub-measures:</w:t>
      </w:r>
    </w:p>
    <w:p w14:paraId="18FE45B1" w14:textId="77777777" w:rsidR="006A41D9" w:rsidRPr="001961AA" w:rsidRDefault="006A41D9" w:rsidP="009E6286">
      <w:pPr>
        <w:pStyle w:val="Text1"/>
        <w:numPr>
          <w:ilvl w:val="0"/>
          <w:numId w:val="48"/>
        </w:numPr>
        <w:contextualSpacing/>
        <w:rPr>
          <w:noProof/>
          <w:szCs w:val="24"/>
          <w:lang w:val="en-GB"/>
        </w:rPr>
      </w:pPr>
      <w:r w:rsidRPr="001961AA">
        <w:rPr>
          <w:noProof/>
          <w:lang w:val="en-GB"/>
        </w:rPr>
        <w:t>Investment I-3.07: ‘Metro extension’ of the Walloon Region</w:t>
      </w:r>
    </w:p>
    <w:p w14:paraId="6DC44E4C" w14:textId="77777777" w:rsidR="006A41D9" w:rsidRPr="001961AA" w:rsidRDefault="006A41D9" w:rsidP="009E6286">
      <w:pPr>
        <w:pStyle w:val="Text1"/>
        <w:numPr>
          <w:ilvl w:val="0"/>
          <w:numId w:val="48"/>
        </w:numPr>
        <w:contextualSpacing/>
        <w:rPr>
          <w:noProof/>
          <w:szCs w:val="24"/>
          <w:lang w:val="en-GB"/>
        </w:rPr>
      </w:pPr>
      <w:r w:rsidRPr="001961AA">
        <w:rPr>
          <w:noProof/>
          <w:lang w:val="en-GB"/>
        </w:rPr>
        <w:t>Investment I-3.08: ‘Smart road signals’ of the Walloon Region</w:t>
      </w:r>
    </w:p>
    <w:p w14:paraId="1EFC9FE4" w14:textId="77777777" w:rsidR="006A41D9" w:rsidRPr="001961AA" w:rsidRDefault="006A41D9" w:rsidP="00BD6DD1">
      <w:pPr>
        <w:pStyle w:val="Text1"/>
        <w:ind w:left="0"/>
        <w:contextualSpacing/>
        <w:rPr>
          <w:noProof/>
          <w:szCs w:val="24"/>
          <w:lang w:val="en-GB"/>
        </w:rPr>
      </w:pPr>
    </w:p>
    <w:p w14:paraId="5C8E9F0E" w14:textId="77777777" w:rsidR="006A41D9" w:rsidRPr="001961AA" w:rsidRDefault="006A41D9" w:rsidP="00BD6DD1">
      <w:pPr>
        <w:pStyle w:val="Text1"/>
        <w:ind w:left="0"/>
        <w:contextualSpacing/>
        <w:rPr>
          <w:noProof/>
          <w:szCs w:val="24"/>
          <w:u w:val="single"/>
          <w:lang w:val="en-GB"/>
        </w:rPr>
      </w:pPr>
      <w:r w:rsidRPr="001961AA">
        <w:rPr>
          <w:noProof/>
          <w:u w:val="single"/>
          <w:lang w:val="en-GB"/>
        </w:rPr>
        <w:t>Investment I-3C: ‘Rail refurbishment and station accessibility works’</w:t>
      </w:r>
    </w:p>
    <w:p w14:paraId="6678C2E3" w14:textId="77777777" w:rsidR="006A41D9" w:rsidRPr="001961AA" w:rsidRDefault="006A41D9" w:rsidP="00BD6DD1">
      <w:pPr>
        <w:pStyle w:val="Text1"/>
        <w:ind w:left="0"/>
        <w:contextualSpacing/>
        <w:rPr>
          <w:noProof/>
          <w:szCs w:val="24"/>
          <w:lang w:val="en-GB"/>
        </w:rPr>
      </w:pPr>
      <w:r w:rsidRPr="001961AA">
        <w:rPr>
          <w:noProof/>
          <w:lang w:val="en-GB"/>
        </w:rPr>
        <w:t>The objective of the investment is to refurbish rails and making railway stations more accessible. This measure is composed of the following two sub-measures:</w:t>
      </w:r>
    </w:p>
    <w:p w14:paraId="41D96065" w14:textId="77777777" w:rsidR="006A41D9" w:rsidRPr="001961AA" w:rsidRDefault="006A41D9" w:rsidP="009E6286">
      <w:pPr>
        <w:pStyle w:val="Text1"/>
        <w:numPr>
          <w:ilvl w:val="0"/>
          <w:numId w:val="49"/>
        </w:numPr>
        <w:contextualSpacing/>
        <w:rPr>
          <w:noProof/>
          <w:szCs w:val="24"/>
          <w:lang w:val="en-GB"/>
        </w:rPr>
      </w:pPr>
      <w:r w:rsidRPr="001961AA">
        <w:rPr>
          <w:noProof/>
          <w:lang w:val="en-GB"/>
        </w:rPr>
        <w:t>Investment I-3.09: ‘Rail-Accessible and multimodal train stations’ of the Federal State</w:t>
      </w:r>
    </w:p>
    <w:p w14:paraId="4B53EC0A" w14:textId="77777777" w:rsidR="006A41D9" w:rsidRPr="001961AA" w:rsidRDefault="006A41D9" w:rsidP="009E6286">
      <w:pPr>
        <w:pStyle w:val="Text1"/>
        <w:numPr>
          <w:ilvl w:val="0"/>
          <w:numId w:val="49"/>
        </w:numPr>
        <w:contextualSpacing/>
        <w:rPr>
          <w:noProof/>
          <w:szCs w:val="24"/>
          <w:lang w:val="en-GB"/>
        </w:rPr>
      </w:pPr>
      <w:r w:rsidRPr="001961AA">
        <w:rPr>
          <w:noProof/>
          <w:lang w:val="en-GB"/>
        </w:rPr>
        <w:t>Investment I-3.10: ‘Rail – efficient network’ of the Federal State</w:t>
      </w:r>
    </w:p>
    <w:p w14:paraId="6D93244E" w14:textId="77777777" w:rsidR="006A41D9" w:rsidRPr="001961AA" w:rsidRDefault="006A41D9" w:rsidP="00BD6DD1">
      <w:pPr>
        <w:pStyle w:val="Text1"/>
        <w:ind w:left="0"/>
        <w:contextualSpacing/>
        <w:rPr>
          <w:noProof/>
          <w:szCs w:val="24"/>
          <w:lang w:val="en-GB"/>
        </w:rPr>
      </w:pPr>
    </w:p>
    <w:p w14:paraId="40E4BB06" w14:textId="77777777" w:rsidR="006A41D9" w:rsidRPr="001961AA" w:rsidRDefault="006A41D9" w:rsidP="00BD6DD1">
      <w:pPr>
        <w:pStyle w:val="Text1"/>
        <w:ind w:left="0"/>
        <w:contextualSpacing/>
        <w:rPr>
          <w:noProof/>
          <w:szCs w:val="24"/>
          <w:u w:val="single"/>
          <w:lang w:val="en-GB"/>
        </w:rPr>
      </w:pPr>
      <w:r w:rsidRPr="001961AA">
        <w:rPr>
          <w:noProof/>
          <w:u w:val="single"/>
          <w:lang w:val="en-GB"/>
        </w:rPr>
        <w:t>Investment I-3D: ‘Unlocking of Open Data for Smart Mobility application’</w:t>
      </w:r>
    </w:p>
    <w:p w14:paraId="21E7A43B" w14:textId="77777777" w:rsidR="006A41D9" w:rsidRPr="001961AA" w:rsidRDefault="006A41D9" w:rsidP="00BD6DD1">
      <w:pPr>
        <w:pStyle w:val="Text1"/>
        <w:ind w:left="0"/>
        <w:contextualSpacing/>
        <w:rPr>
          <w:noProof/>
          <w:szCs w:val="24"/>
          <w:lang w:val="en-GB"/>
        </w:rPr>
      </w:pPr>
      <w:r w:rsidRPr="001961AA">
        <w:rPr>
          <w:noProof/>
          <w:lang w:val="en-GB"/>
        </w:rPr>
        <w:t>The objective of the investment is to unlock open data for a Smart Mobility application. This measure is composed of the following two sub-measures:</w:t>
      </w:r>
    </w:p>
    <w:p w14:paraId="4E94371C" w14:textId="77777777" w:rsidR="006A41D9" w:rsidRPr="001961AA" w:rsidRDefault="006A41D9" w:rsidP="009E6286">
      <w:pPr>
        <w:pStyle w:val="Text1"/>
        <w:numPr>
          <w:ilvl w:val="0"/>
          <w:numId w:val="50"/>
        </w:numPr>
        <w:contextualSpacing/>
        <w:rPr>
          <w:noProof/>
          <w:szCs w:val="24"/>
          <w:lang w:val="en-GB"/>
        </w:rPr>
      </w:pPr>
      <w:r w:rsidRPr="001961AA">
        <w:rPr>
          <w:noProof/>
          <w:lang w:val="en-GB"/>
        </w:rPr>
        <w:t>Investment I-3.12: ‘Rail – Smart mobility’ of the Federal State</w:t>
      </w:r>
    </w:p>
    <w:p w14:paraId="2713188C" w14:textId="77777777" w:rsidR="006A41D9" w:rsidRPr="001961AA" w:rsidRDefault="006A41D9" w:rsidP="009E6286">
      <w:pPr>
        <w:pStyle w:val="Text1"/>
        <w:numPr>
          <w:ilvl w:val="0"/>
          <w:numId w:val="50"/>
        </w:numPr>
        <w:contextualSpacing/>
        <w:rPr>
          <w:noProof/>
          <w:szCs w:val="24"/>
          <w:lang w:val="en-GB"/>
        </w:rPr>
      </w:pPr>
      <w:r w:rsidRPr="001961AA">
        <w:rPr>
          <w:noProof/>
          <w:lang w:val="en-GB"/>
        </w:rPr>
        <w:t>Investment I-3.13: ‘Mobility-as-a-Service (MaaS) deployment’ of the Brussels-Capital Region</w:t>
      </w:r>
    </w:p>
    <w:p w14:paraId="22A17180" w14:textId="77777777" w:rsidR="006A41D9" w:rsidRPr="001961AA" w:rsidRDefault="006A41D9" w:rsidP="00BD6DD1">
      <w:pPr>
        <w:pStyle w:val="Text1"/>
        <w:ind w:left="0"/>
        <w:contextualSpacing/>
        <w:rPr>
          <w:noProof/>
          <w:szCs w:val="24"/>
          <w:lang w:val="en-GB"/>
        </w:rPr>
      </w:pPr>
    </w:p>
    <w:p w14:paraId="268C0FA5" w14:textId="77777777" w:rsidR="006A41D9" w:rsidRPr="001961AA" w:rsidRDefault="006A41D9" w:rsidP="00BD6DD1">
      <w:pPr>
        <w:pStyle w:val="Text1"/>
        <w:ind w:left="0"/>
        <w:contextualSpacing/>
        <w:rPr>
          <w:noProof/>
          <w:szCs w:val="24"/>
          <w:u w:val="single"/>
          <w:lang w:val="en-GB"/>
        </w:rPr>
      </w:pPr>
      <w:r w:rsidRPr="001961AA">
        <w:rPr>
          <w:noProof/>
          <w:u w:val="single"/>
          <w:lang w:val="en-GB"/>
        </w:rPr>
        <w:t>Investment I-3E: ‘Go Live of rail IT modules’</w:t>
      </w:r>
    </w:p>
    <w:p w14:paraId="6641061B" w14:textId="77777777" w:rsidR="006A41D9" w:rsidRPr="001961AA" w:rsidRDefault="006A41D9" w:rsidP="00BD6DD1">
      <w:pPr>
        <w:pStyle w:val="Text1"/>
        <w:ind w:left="0"/>
        <w:contextualSpacing/>
        <w:rPr>
          <w:noProof/>
          <w:szCs w:val="24"/>
          <w:lang w:val="en-GB"/>
        </w:rPr>
      </w:pPr>
      <w:r w:rsidRPr="001961AA">
        <w:rPr>
          <w:noProof/>
          <w:lang w:val="en-GB"/>
        </w:rPr>
        <w:t>The objective of the investment is to operationalise the IT modules improving traffic management and ticketing. This measure is composed of the following two sub-measures:</w:t>
      </w:r>
    </w:p>
    <w:p w14:paraId="6794197D" w14:textId="77777777" w:rsidR="006A41D9" w:rsidRPr="001961AA" w:rsidRDefault="006A41D9" w:rsidP="009E6286">
      <w:pPr>
        <w:pStyle w:val="Text1"/>
        <w:numPr>
          <w:ilvl w:val="0"/>
          <w:numId w:val="51"/>
        </w:numPr>
        <w:contextualSpacing/>
        <w:rPr>
          <w:noProof/>
          <w:szCs w:val="24"/>
          <w:lang w:val="en-GB"/>
        </w:rPr>
      </w:pPr>
      <w:r w:rsidRPr="001961AA">
        <w:rPr>
          <w:noProof/>
          <w:lang w:val="en-GB"/>
        </w:rPr>
        <w:t>Investment I-3.10: ‘Rail – efficient network’ of the Federal State</w:t>
      </w:r>
    </w:p>
    <w:p w14:paraId="37A2CEE4" w14:textId="77777777" w:rsidR="006A41D9" w:rsidRPr="001961AA" w:rsidRDefault="006A41D9" w:rsidP="009E6286">
      <w:pPr>
        <w:pStyle w:val="Text1"/>
        <w:numPr>
          <w:ilvl w:val="0"/>
          <w:numId w:val="51"/>
        </w:numPr>
        <w:contextualSpacing/>
        <w:rPr>
          <w:noProof/>
          <w:szCs w:val="24"/>
          <w:lang w:val="en-GB"/>
        </w:rPr>
      </w:pPr>
      <w:r w:rsidRPr="001961AA">
        <w:rPr>
          <w:noProof/>
          <w:lang w:val="en-GB"/>
        </w:rPr>
        <w:t>Investment I-3.12: ‘Rail – Smart mobility’ of the Federal State</w:t>
      </w:r>
    </w:p>
    <w:p w14:paraId="015396D2" w14:textId="77777777" w:rsidR="0032284B" w:rsidRPr="001961AA" w:rsidRDefault="0032284B" w:rsidP="00BD6DD1">
      <w:pPr>
        <w:pStyle w:val="Text1"/>
        <w:ind w:left="0"/>
        <w:contextualSpacing/>
        <w:rPr>
          <w:noProof/>
          <w:szCs w:val="24"/>
          <w:lang w:val="en-GB"/>
        </w:rPr>
      </w:pPr>
    </w:p>
    <w:p w14:paraId="49D0B1B2" w14:textId="4AA3EEF2" w:rsidR="00CA3830" w:rsidRPr="001961AA" w:rsidRDefault="00224915" w:rsidP="00BD6DD1">
      <w:pPr>
        <w:pStyle w:val="Text1"/>
        <w:ind w:left="0"/>
        <w:contextualSpacing/>
        <w:rPr>
          <w:noProof/>
          <w:szCs w:val="24"/>
          <w:u w:val="single"/>
          <w:lang w:val="en-GB"/>
        </w:rPr>
      </w:pPr>
      <w:r w:rsidRPr="001961AA">
        <w:rPr>
          <w:noProof/>
          <w:u w:val="single"/>
          <w:lang w:val="en-GB"/>
        </w:rPr>
        <w:t>Investment I-3F: ‘Smart Mobility tools’ of Brussels Capital Region</w:t>
      </w:r>
    </w:p>
    <w:p w14:paraId="5240BD52" w14:textId="3F54C08D" w:rsidR="0063705A" w:rsidRPr="001961AA" w:rsidRDefault="0063705A" w:rsidP="00BD6DD1">
      <w:pPr>
        <w:pStyle w:val="Text1"/>
        <w:ind w:left="0"/>
        <w:contextualSpacing/>
        <w:rPr>
          <w:noProof/>
          <w:szCs w:val="24"/>
          <w:lang w:val="en-GB"/>
        </w:rPr>
      </w:pPr>
      <w:r w:rsidRPr="001961AA">
        <w:rPr>
          <w:noProof/>
          <w:lang w:val="en-GB"/>
        </w:rPr>
        <w:t>The objective of the investment is to facilitate the shift to greener modes of transport. This measure is composed of the following two sub-measures:</w:t>
      </w:r>
    </w:p>
    <w:p w14:paraId="2267C020" w14:textId="47FDCE72" w:rsidR="00BE7CFC" w:rsidRPr="001961AA" w:rsidRDefault="009254EB" w:rsidP="009E6286">
      <w:pPr>
        <w:pStyle w:val="Text1"/>
        <w:numPr>
          <w:ilvl w:val="0"/>
          <w:numId w:val="52"/>
        </w:numPr>
        <w:contextualSpacing/>
        <w:rPr>
          <w:noProof/>
          <w:szCs w:val="24"/>
          <w:lang w:val="en-GB"/>
        </w:rPr>
      </w:pPr>
      <w:r w:rsidRPr="001961AA">
        <w:rPr>
          <w:noProof/>
          <w:lang w:val="en-GB"/>
        </w:rPr>
        <w:t>Investmest I-3.15a: FLOYA App</w:t>
      </w:r>
    </w:p>
    <w:p w14:paraId="5DD8F262" w14:textId="5F7D0E91" w:rsidR="009254EB" w:rsidRPr="001961AA" w:rsidRDefault="009254EB" w:rsidP="009E6286">
      <w:pPr>
        <w:pStyle w:val="Text1"/>
        <w:numPr>
          <w:ilvl w:val="0"/>
          <w:numId w:val="52"/>
        </w:numPr>
        <w:contextualSpacing/>
        <w:rPr>
          <w:noProof/>
          <w:szCs w:val="24"/>
          <w:lang w:val="en-GB"/>
        </w:rPr>
      </w:pPr>
      <w:r w:rsidRPr="001961AA">
        <w:rPr>
          <w:noProof/>
          <w:lang w:val="en-GB"/>
        </w:rPr>
        <w:t>Investment I-3.15b: Extension of the ANPR Camera Network of the Brussels-Capital Region</w:t>
      </w:r>
    </w:p>
    <w:p w14:paraId="321937EE" w14:textId="77777777" w:rsidR="00CE1796" w:rsidRPr="001961AA" w:rsidRDefault="00CE1796" w:rsidP="00CE1796">
      <w:pPr>
        <w:pStyle w:val="Text1"/>
        <w:ind w:left="0"/>
        <w:contextualSpacing/>
        <w:rPr>
          <w:noProof/>
          <w:szCs w:val="24"/>
          <w:lang w:val="en-GB"/>
        </w:rPr>
      </w:pPr>
    </w:p>
    <w:p w14:paraId="5985546E" w14:textId="77777777" w:rsidR="006A41D9" w:rsidRPr="001961AA" w:rsidRDefault="006A41D9" w:rsidP="00BD6DD1">
      <w:pPr>
        <w:pStyle w:val="Text1"/>
        <w:ind w:left="0"/>
        <w:rPr>
          <w:noProof/>
          <w:szCs w:val="24"/>
          <w:u w:val="single"/>
          <w:lang w:val="en-GB"/>
        </w:rPr>
      </w:pPr>
      <w:r w:rsidRPr="001961AA">
        <w:rPr>
          <w:noProof/>
          <w:u w:val="single"/>
          <w:lang w:val="en-GB"/>
        </w:rPr>
        <w:t>Investment I-3.07: ‘Metro extension’ of the Walloon Region</w:t>
      </w:r>
    </w:p>
    <w:p w14:paraId="6B04E2CA" w14:textId="3B4397E2" w:rsidR="006A41D9" w:rsidRPr="001961AA" w:rsidRDefault="006A41D9" w:rsidP="00BD6DD1">
      <w:pPr>
        <w:pStyle w:val="Text1"/>
        <w:ind w:left="0"/>
        <w:rPr>
          <w:noProof/>
          <w:szCs w:val="24"/>
          <w:lang w:val="en-GB"/>
        </w:rPr>
      </w:pPr>
      <w:r w:rsidRPr="001961AA">
        <w:rPr>
          <w:noProof/>
          <w:lang w:val="en-GB"/>
        </w:rPr>
        <w:t>This investment consists in refurbishing and extending the Charleroi light metro network by 5.5 km up to the Grand Hôpital de Charleroi (Viviers). The increase in operational costs to compensate the extended metroservice shall be included in the revised public service contract of the ‘Opérateur de Transport de Wallonie’ granted by the Walloon Region. The implementation of the investment shall be completed by 30 June 2026.</w:t>
      </w:r>
    </w:p>
    <w:p w14:paraId="357D4FA0" w14:textId="245AF2BE" w:rsidR="006A41D9" w:rsidRPr="001961AA" w:rsidRDefault="006A41D9" w:rsidP="00BD6DD1">
      <w:pPr>
        <w:pStyle w:val="Text1"/>
        <w:ind w:left="0"/>
        <w:rPr>
          <w:noProof/>
          <w:szCs w:val="24"/>
          <w:u w:val="single"/>
          <w:lang w:val="en-GB"/>
        </w:rPr>
      </w:pPr>
      <w:r w:rsidRPr="001961AA">
        <w:rPr>
          <w:noProof/>
          <w:u w:val="single"/>
          <w:lang w:val="en-GB"/>
        </w:rPr>
        <w:t>Investment I-3.08: ‘Smart road signals’ of the Walloon Region</w:t>
      </w:r>
    </w:p>
    <w:p w14:paraId="23648ADD" w14:textId="77777777" w:rsidR="006A41D9" w:rsidRPr="001961AA" w:rsidRDefault="006A41D9" w:rsidP="00BD6DD1">
      <w:pPr>
        <w:spacing w:before="120" w:after="120"/>
        <w:jc w:val="both"/>
        <w:rPr>
          <w:rFonts w:ascii="Times New Roman" w:hAnsi="Times New Roman" w:cs="Times New Roman"/>
          <w:noProof/>
          <w:sz w:val="24"/>
          <w:szCs w:val="24"/>
          <w:lang w:val="en-GB"/>
        </w:rPr>
      </w:pPr>
      <w:r w:rsidRPr="001961AA">
        <w:rPr>
          <w:rFonts w:ascii="Times New Roman" w:hAnsi="Times New Roman"/>
          <w:noProof/>
          <w:sz w:val="24"/>
          <w:lang w:val="en-GB"/>
        </w:rPr>
        <w:t>This investments consists in installing smart traffic lights for public transport busses in Wallonia in at least 400 crossroads. The implementation of the investment shall be completed by 30 June 2026.</w:t>
      </w:r>
    </w:p>
    <w:p w14:paraId="632FFCAD" w14:textId="77777777" w:rsidR="006A41D9" w:rsidRPr="001961AA" w:rsidRDefault="006A41D9" w:rsidP="00BD6DD1">
      <w:pPr>
        <w:pStyle w:val="Text1"/>
        <w:ind w:left="0"/>
        <w:rPr>
          <w:noProof/>
          <w:szCs w:val="24"/>
          <w:u w:val="single"/>
          <w:lang w:val="en-GB"/>
        </w:rPr>
      </w:pPr>
      <w:r w:rsidRPr="001961AA">
        <w:rPr>
          <w:noProof/>
          <w:u w:val="single"/>
          <w:lang w:val="en-GB"/>
        </w:rPr>
        <w:t>Investment I-3.09: ‘Rail-Accessible and multimodal train stations’ of the Federal State</w:t>
      </w:r>
    </w:p>
    <w:p w14:paraId="42FD621F" w14:textId="7A5D8706" w:rsidR="006A41D9" w:rsidRPr="001961AA" w:rsidRDefault="006A41D9" w:rsidP="00BD6DD1">
      <w:pPr>
        <w:spacing w:before="120" w:after="120" w:line="240" w:lineRule="auto"/>
        <w:jc w:val="both"/>
        <w:rPr>
          <w:rFonts w:ascii="Times New Roman" w:hAnsi="Times New Roman" w:cs="Times New Roman"/>
          <w:noProof/>
          <w:sz w:val="24"/>
          <w:szCs w:val="24"/>
          <w:lang w:val="en-GB"/>
        </w:rPr>
      </w:pPr>
      <w:r w:rsidRPr="001961AA">
        <w:rPr>
          <w:rFonts w:ascii="Times New Roman" w:hAnsi="Times New Roman"/>
          <w:noProof/>
          <w:sz w:val="24"/>
          <w:lang w:val="en-GB"/>
        </w:rPr>
        <w:t>This investment consists in building at least 6</w:t>
      </w:r>
      <w:r w:rsidRPr="001961AA">
        <w:rPr>
          <w:rFonts w:ascii="Times New Roman" w:hAnsi="Times New Roman"/>
          <w:noProof/>
          <w:color w:val="006100"/>
          <w:lang w:val="en-GB"/>
        </w:rPr>
        <w:t xml:space="preserve"> </w:t>
      </w:r>
      <w:r w:rsidRPr="001961AA">
        <w:rPr>
          <w:rFonts w:ascii="Times New Roman" w:hAnsi="Times New Roman"/>
          <w:noProof/>
          <w:sz w:val="24"/>
          <w:lang w:val="en-GB"/>
        </w:rPr>
        <w:t>000 bicycle parking spaces in railway stations</w:t>
      </w:r>
      <w:r w:rsidRPr="001961AA">
        <w:rPr>
          <w:rStyle w:val="FootnoteReference"/>
          <w:rFonts w:ascii="Times New Roman" w:hAnsi="Times New Roman" w:cs="Times New Roman"/>
          <w:noProof/>
          <w:sz w:val="24"/>
          <w:szCs w:val="24"/>
          <w:lang w:val="en-GB"/>
        </w:rPr>
        <w:footnoteReference w:id="10"/>
      </w:r>
      <w:r w:rsidRPr="001961AA">
        <w:rPr>
          <w:rFonts w:ascii="Times New Roman" w:hAnsi="Times New Roman"/>
          <w:noProof/>
          <w:sz w:val="24"/>
          <w:lang w:val="en-GB"/>
        </w:rPr>
        <w:t xml:space="preserve"> and making at least 25 stations, out of the 28 stations identified</w:t>
      </w:r>
      <w:r w:rsidRPr="001961AA">
        <w:rPr>
          <w:rStyle w:val="FootnoteReference"/>
          <w:rFonts w:ascii="Times New Roman" w:hAnsi="Times New Roman" w:cs="Times New Roman"/>
          <w:noProof/>
          <w:sz w:val="24"/>
          <w:szCs w:val="24"/>
          <w:lang w:val="en-GB"/>
        </w:rPr>
        <w:footnoteReference w:id="11"/>
      </w:r>
      <w:r w:rsidRPr="001961AA">
        <w:rPr>
          <w:rFonts w:ascii="Times New Roman" w:hAnsi="Times New Roman"/>
          <w:noProof/>
          <w:sz w:val="24"/>
          <w:lang w:val="en-GB"/>
        </w:rPr>
        <w:t xml:space="preserve">, accessible, in accordance with the technical specifications for interoperability of Commission Regulation (EU) No 1300/2014 </w:t>
      </w:r>
      <w:r w:rsidRPr="001961AA">
        <w:rPr>
          <w:rStyle w:val="hgkelc"/>
          <w:rFonts w:ascii="Times New Roman" w:hAnsi="Times New Roman"/>
          <w:noProof/>
          <w:sz w:val="24"/>
          <w:lang w:val="en-GB"/>
        </w:rPr>
        <w:t>for persons with disabilities and persons with reduced mobility.</w:t>
      </w:r>
      <w:r w:rsidRPr="001961AA">
        <w:rPr>
          <w:rFonts w:ascii="Times New Roman" w:hAnsi="Times New Roman"/>
          <w:noProof/>
          <w:sz w:val="24"/>
          <w:lang w:val="en-GB"/>
        </w:rPr>
        <w:t xml:space="preserve"> The implementation of the investment shall be completed by 30 June 2026.</w:t>
      </w:r>
    </w:p>
    <w:p w14:paraId="0DAA20F9" w14:textId="77777777" w:rsidR="006A41D9" w:rsidRPr="001961AA" w:rsidRDefault="006A41D9" w:rsidP="00BD6DD1">
      <w:pPr>
        <w:pStyle w:val="Text1"/>
        <w:ind w:left="0"/>
        <w:rPr>
          <w:noProof/>
          <w:u w:val="single"/>
          <w:lang w:val="en-GB"/>
        </w:rPr>
      </w:pPr>
      <w:r w:rsidRPr="001961AA">
        <w:rPr>
          <w:noProof/>
          <w:u w:val="single"/>
          <w:lang w:val="en-GB"/>
        </w:rPr>
        <w:t>Investment I-3.10: ‘Rail – efficient network’ of the Federal State</w:t>
      </w:r>
    </w:p>
    <w:p w14:paraId="25CD8D4F" w14:textId="1779D2E0" w:rsidR="00DD2DD0" w:rsidRPr="001961AA" w:rsidRDefault="006A41D9" w:rsidP="00BD6DD1">
      <w:pPr>
        <w:spacing w:before="120" w:after="120" w:line="240" w:lineRule="auto"/>
        <w:jc w:val="both"/>
        <w:rPr>
          <w:rFonts w:ascii="Times New Roman" w:hAnsi="Times New Roman" w:cs="Times New Roman"/>
          <w:noProof/>
          <w:sz w:val="24"/>
          <w:szCs w:val="24"/>
          <w:lang w:val="en-GB"/>
        </w:rPr>
      </w:pPr>
      <w:r w:rsidRPr="001961AA">
        <w:rPr>
          <w:rFonts w:ascii="Times New Roman" w:hAnsi="Times New Roman"/>
          <w:noProof/>
          <w:sz w:val="24"/>
          <w:lang w:val="en-GB"/>
        </w:rPr>
        <w:t>This investment consists in upgrading at least 32 rail sections in the overall network, modernising at least 18 dedicated rail freight infrastructures, removing at least five infrastructure bottlenecks that hinder the performance of the Brussels-Luxembourg line (Eurocap rail), removing at least four rail bottlenecks in Brussels and to develop an IT module for traffic management. Some of the projects include costs that are not supported by the RRF but by Connecting Europe Facility. This regards rail lines L154 (track works, catenary works, the removal of three level crossings and the adaptation of a switching station), L24 (embeded track-railing on the bridge over Albert Canal, track and catenary works), L166 (embedded ballasted track-laying on two brigdes over the river Lesse and one bridge over the national road, track and catenary works and the removal of two level crossings) and the tunnel management system of the Antwerp Central railway station (development of a mitigation plan, installation of the linear heat "fibrolaser" fire detection system, of an Automated Safety Management System, implementation of a supervisory control and data acquisition visualisation system, and homologation of compliance with SIL and TSI SRT standards). The implementation of the investment shall be completed by 30 June 2026.</w:t>
      </w:r>
    </w:p>
    <w:p w14:paraId="1C31E2CF" w14:textId="55031EE3" w:rsidR="006A41D9" w:rsidRPr="001961AA" w:rsidRDefault="006A41D9" w:rsidP="00BD6DD1">
      <w:pPr>
        <w:pStyle w:val="Text1"/>
        <w:ind w:left="0"/>
        <w:rPr>
          <w:noProof/>
          <w:szCs w:val="24"/>
          <w:u w:val="single"/>
          <w:lang w:val="en-GB"/>
        </w:rPr>
      </w:pPr>
      <w:r w:rsidRPr="001961AA">
        <w:rPr>
          <w:noProof/>
          <w:u w:val="single"/>
          <w:lang w:val="en-GB"/>
        </w:rPr>
        <w:t>Investment I-3.11: ‘Canal Albert and Trilogiport’ of the Walloon Region</w:t>
      </w:r>
    </w:p>
    <w:p w14:paraId="40D6EE66" w14:textId="34853366" w:rsidR="006A41D9" w:rsidRPr="001961AA" w:rsidRDefault="006A41D9" w:rsidP="00BD6DD1">
      <w:pPr>
        <w:spacing w:before="120" w:after="120" w:line="240" w:lineRule="auto"/>
        <w:jc w:val="both"/>
        <w:rPr>
          <w:rFonts w:ascii="Times New Roman" w:hAnsi="Times New Roman" w:cs="Times New Roman"/>
          <w:noProof/>
          <w:sz w:val="24"/>
          <w:szCs w:val="24"/>
          <w:lang w:val="en-GB"/>
        </w:rPr>
      </w:pPr>
      <w:r w:rsidRPr="001961AA">
        <w:rPr>
          <w:rFonts w:ascii="Times New Roman" w:hAnsi="Times New Roman"/>
          <w:noProof/>
          <w:sz w:val="24"/>
          <w:lang w:val="en-GB"/>
        </w:rPr>
        <w:t>This investment consists in extending the multimodal platform of Trilogiport in Liège, in increasing the height of three bridges (Lixhe, Haccourt and Hermalle-sous-Argenteau) above the Albert-Canal and install complementary signalling in one bridge (Lanaye) above the Albert-Canal to allow barges to transport freight of up to 9.1 m of height (4 layers of freight). The implementation of the investment shall be completed by 31 August 2026.</w:t>
      </w:r>
    </w:p>
    <w:p w14:paraId="108498AC" w14:textId="77777777" w:rsidR="006A41D9" w:rsidRPr="001961AA" w:rsidRDefault="006A41D9" w:rsidP="00BD6DD1">
      <w:pPr>
        <w:pStyle w:val="Text1"/>
        <w:ind w:left="0"/>
        <w:rPr>
          <w:noProof/>
          <w:szCs w:val="24"/>
          <w:u w:val="single"/>
          <w:lang w:val="en-GB"/>
        </w:rPr>
      </w:pPr>
      <w:r w:rsidRPr="001961AA">
        <w:rPr>
          <w:noProof/>
          <w:u w:val="single"/>
          <w:lang w:val="en-GB"/>
        </w:rPr>
        <w:t>Investment I-3.12: ‘Rail – Smart mobility’ of the Federal State</w:t>
      </w:r>
    </w:p>
    <w:p w14:paraId="49E1BB40" w14:textId="77777777" w:rsidR="006A41D9" w:rsidRPr="001961AA" w:rsidRDefault="006A41D9" w:rsidP="00BD6DD1">
      <w:pPr>
        <w:spacing w:before="120" w:after="120" w:line="240" w:lineRule="auto"/>
        <w:jc w:val="both"/>
        <w:rPr>
          <w:rFonts w:ascii="Times New Roman" w:hAnsi="Times New Roman" w:cs="Times New Roman"/>
          <w:noProof/>
          <w:sz w:val="24"/>
          <w:szCs w:val="24"/>
          <w:lang w:val="en-GB"/>
        </w:rPr>
      </w:pPr>
      <w:r w:rsidRPr="001961AA">
        <w:rPr>
          <w:rFonts w:ascii="Times New Roman" w:hAnsi="Times New Roman"/>
          <w:noProof/>
          <w:sz w:val="24"/>
          <w:lang w:val="en-GB"/>
        </w:rPr>
        <w:t>This investment consists in setting up an open data route-planner and eight IT modules with a ticketing platform interoperable with other Belgian regional transport operators (STIB-MIVB, De Lijn, TEC). The implementation of the investment shall be completed by 31 March 2025.</w:t>
      </w:r>
    </w:p>
    <w:p w14:paraId="73D96C00" w14:textId="77777777" w:rsidR="006A41D9" w:rsidRPr="001961AA" w:rsidRDefault="006A41D9" w:rsidP="00BD6DD1">
      <w:pPr>
        <w:pStyle w:val="Text1"/>
        <w:ind w:left="0"/>
        <w:rPr>
          <w:noProof/>
          <w:szCs w:val="24"/>
          <w:u w:val="single"/>
          <w:lang w:val="en-GB"/>
        </w:rPr>
      </w:pPr>
      <w:r w:rsidRPr="001961AA">
        <w:rPr>
          <w:noProof/>
          <w:u w:val="single"/>
          <w:lang w:val="en-GB"/>
        </w:rPr>
        <w:t>Investment I-3.13: ‘Mobility-as-a-Service (MaaS) deployment’ of the Brussels-Capital Region</w:t>
      </w:r>
    </w:p>
    <w:p w14:paraId="77112F76" w14:textId="77777777" w:rsidR="006A41D9" w:rsidRPr="001961AA" w:rsidRDefault="006A41D9" w:rsidP="00BD6DD1">
      <w:pPr>
        <w:spacing w:before="120" w:after="120" w:line="240" w:lineRule="auto"/>
        <w:jc w:val="both"/>
        <w:rPr>
          <w:rFonts w:ascii="Times New Roman" w:hAnsi="Times New Roman" w:cs="Times New Roman"/>
          <w:noProof/>
          <w:sz w:val="24"/>
          <w:szCs w:val="24"/>
          <w:lang w:val="en-GB"/>
        </w:rPr>
      </w:pPr>
      <w:r w:rsidRPr="001961AA">
        <w:rPr>
          <w:rFonts w:ascii="Times New Roman" w:hAnsi="Times New Roman"/>
          <w:noProof/>
          <w:sz w:val="24"/>
          <w:lang w:val="en-GB"/>
        </w:rPr>
        <w:t>This investment consists in setting up a Brussels Data Hub to allow a swift storage, handling, analysis and exchange of mobility data generated by mobility service providers and Mobility-as-a-Service aggregators (“MaaS-aggregators”). The Brussels Data Hub shall cover not only public transport but also cycling. The implementation of the investment shall be completed by 31 March 2025.</w:t>
      </w:r>
    </w:p>
    <w:p w14:paraId="6956BE9F" w14:textId="77777777" w:rsidR="006A41D9" w:rsidRPr="001961AA" w:rsidRDefault="006A41D9" w:rsidP="00BD6DD1">
      <w:pPr>
        <w:pStyle w:val="Text1"/>
        <w:ind w:left="0"/>
        <w:rPr>
          <w:noProof/>
          <w:szCs w:val="24"/>
          <w:u w:val="single"/>
          <w:lang w:val="en-GB"/>
        </w:rPr>
      </w:pPr>
      <w:r w:rsidRPr="001961AA">
        <w:rPr>
          <w:noProof/>
          <w:u w:val="single"/>
          <w:lang w:val="en-GB"/>
        </w:rPr>
        <w:t>Investment I-3.14: ‘Modal shift grants’ of the Brussels-Capital Region</w:t>
      </w:r>
    </w:p>
    <w:p w14:paraId="3FDBC43C" w14:textId="77777777" w:rsidR="006A41D9" w:rsidRPr="001961AA" w:rsidRDefault="006A41D9" w:rsidP="00BD6DD1">
      <w:pPr>
        <w:spacing w:before="120" w:after="120" w:line="240" w:lineRule="auto"/>
        <w:jc w:val="both"/>
        <w:rPr>
          <w:rFonts w:ascii="Times New Roman" w:hAnsi="Times New Roman" w:cs="Times New Roman"/>
          <w:noProof/>
          <w:sz w:val="24"/>
          <w:szCs w:val="24"/>
          <w:lang w:val="en-GB"/>
        </w:rPr>
      </w:pPr>
      <w:r w:rsidRPr="001961AA">
        <w:rPr>
          <w:rFonts w:ascii="Times New Roman" w:hAnsi="Times New Roman"/>
          <w:noProof/>
          <w:sz w:val="24"/>
          <w:lang w:val="en-GB"/>
        </w:rPr>
        <w:t>This investment consists in supporting a new revised modal shift grant replacing the “Bruxelles’Air” grant, by extending it to all new types of sustainable modes of transport (car-sharing, bike-sharing, scooters) to reinforce incentives to increase demand for collective and low emission transport. The implementation of the investment shall be completed by 31 December 2023.</w:t>
      </w:r>
    </w:p>
    <w:p w14:paraId="6D040FE8" w14:textId="75119BE1" w:rsidR="006A41D9" w:rsidRPr="001961AA" w:rsidRDefault="006A41D9" w:rsidP="00BD6DD1">
      <w:pPr>
        <w:pStyle w:val="Text1"/>
        <w:ind w:left="0"/>
        <w:rPr>
          <w:noProof/>
          <w:szCs w:val="24"/>
          <w:u w:val="single"/>
          <w:lang w:val="en-GB"/>
        </w:rPr>
      </w:pPr>
      <w:r w:rsidRPr="001961AA">
        <w:rPr>
          <w:noProof/>
          <w:u w:val="single"/>
          <w:lang w:val="en-GB"/>
        </w:rPr>
        <w:t>Investment I-3.15a: ‘FLOYA app’ of the Brussels-Capital Region</w:t>
      </w:r>
    </w:p>
    <w:p w14:paraId="4FE31684" w14:textId="22C98139" w:rsidR="006A41D9" w:rsidRPr="001961AA" w:rsidRDefault="006A41D9" w:rsidP="00BD6DD1">
      <w:pPr>
        <w:spacing w:before="120" w:after="120" w:line="240" w:lineRule="auto"/>
        <w:jc w:val="both"/>
        <w:rPr>
          <w:rFonts w:ascii="Times New Roman" w:hAnsi="Times New Roman" w:cs="Times New Roman"/>
          <w:noProof/>
          <w:sz w:val="24"/>
          <w:szCs w:val="24"/>
          <w:lang w:val="en-GB"/>
        </w:rPr>
      </w:pPr>
      <w:r w:rsidRPr="001961AA">
        <w:rPr>
          <w:rFonts w:ascii="Times New Roman" w:hAnsi="Times New Roman"/>
          <w:noProof/>
          <w:sz w:val="24"/>
          <w:lang w:val="en-GB"/>
        </w:rPr>
        <w:t>This investment consists in the entry into operation of a free mobile application (“FLOYA”). The application  provides users with complete and accurate information on available modes of transport, including their respective cost. The implementation of the investment shall be completed by 30 December 2023.</w:t>
      </w:r>
    </w:p>
    <w:p w14:paraId="56FBAE0E" w14:textId="1A36DE1B" w:rsidR="00A02370" w:rsidRPr="001961AA" w:rsidRDefault="00A02370" w:rsidP="00A02370">
      <w:pPr>
        <w:spacing w:before="120" w:after="120" w:line="240" w:lineRule="auto"/>
        <w:jc w:val="both"/>
        <w:rPr>
          <w:rFonts w:ascii="Times New Roman" w:hAnsi="Times New Roman" w:cs="Times New Roman"/>
          <w:noProof/>
          <w:sz w:val="24"/>
          <w:szCs w:val="24"/>
          <w:u w:val="single"/>
          <w:lang w:val="en-GB"/>
        </w:rPr>
      </w:pPr>
      <w:r w:rsidRPr="001961AA">
        <w:rPr>
          <w:rFonts w:ascii="Times New Roman" w:hAnsi="Times New Roman"/>
          <w:noProof/>
          <w:sz w:val="24"/>
          <w:u w:val="single"/>
          <w:lang w:val="en-GB"/>
        </w:rPr>
        <w:t>Investment I-3.15b: ‘Extension of the ANPR Camera Network’ of the Brussels-Capital Region</w:t>
      </w:r>
    </w:p>
    <w:p w14:paraId="6C0ABF94" w14:textId="73647A1D" w:rsidR="008A4840" w:rsidRPr="001961AA" w:rsidRDefault="00A02370" w:rsidP="00A02370">
      <w:pPr>
        <w:spacing w:before="120" w:after="120" w:line="240" w:lineRule="auto"/>
        <w:jc w:val="both"/>
        <w:rPr>
          <w:rFonts w:ascii="Times New Roman" w:hAnsi="Times New Roman" w:cs="Times New Roman"/>
          <w:noProof/>
          <w:sz w:val="24"/>
          <w:szCs w:val="24"/>
          <w:lang w:val="en-GB"/>
        </w:rPr>
        <w:sectPr w:rsidR="008A4840" w:rsidRPr="001961AA" w:rsidSect="008A4840">
          <w:headerReference w:type="even" r:id="rId126"/>
          <w:headerReference w:type="default" r:id="rId127"/>
          <w:footerReference w:type="even" r:id="rId128"/>
          <w:footerReference w:type="default" r:id="rId129"/>
          <w:headerReference w:type="first" r:id="rId130"/>
          <w:footerReference w:type="first" r:id="rId131"/>
          <w:pgSz w:w="11907" w:h="16839"/>
          <w:pgMar w:top="1134" w:right="1134" w:bottom="1134" w:left="1134" w:header="567" w:footer="567" w:gutter="0"/>
          <w:cols w:space="720"/>
          <w:docGrid w:linePitch="360"/>
        </w:sectPr>
      </w:pPr>
      <w:r w:rsidRPr="001961AA">
        <w:rPr>
          <w:rFonts w:ascii="Times New Roman" w:hAnsi="Times New Roman"/>
          <w:noProof/>
          <w:sz w:val="24"/>
          <w:lang w:val="en-GB"/>
        </w:rPr>
        <w:t>This investment consists in expanding the Automatic Number Plate Recognition (“ANPR”) camera network of the Brussels Capital Region by adding 159 cameras. The objective of this investment is to enhance the enforcement of the Low Emission Zone (LEZ) and Restricted Access Zones (ZAL), thereby reducing traffic congestion and facilitating the shift towards greener transport alternatives. The implementation of the investment shall be completed by 31 December 2023</w:t>
      </w:r>
    </w:p>
    <w:p w14:paraId="55E39AB2" w14:textId="77777777" w:rsidR="006A41D9" w:rsidRPr="001961AA" w:rsidRDefault="006A41D9" w:rsidP="00BD6DD1">
      <w:pPr>
        <w:pStyle w:val="Text1"/>
        <w:ind w:left="0"/>
        <w:rPr>
          <w:noProof/>
          <w:szCs w:val="24"/>
          <w:lang w:val="en-GB"/>
        </w:rPr>
      </w:pPr>
      <w:r w:rsidRPr="001961AA">
        <w:rPr>
          <w:b/>
          <w:noProof/>
          <w:u w:val="single"/>
          <w:lang w:val="en-GB"/>
        </w:rPr>
        <w:t xml:space="preserve">H.2. </w:t>
      </w:r>
      <w:r w:rsidRPr="001961AA">
        <w:rPr>
          <w:noProof/>
          <w:lang w:val="en-GB"/>
        </w:rPr>
        <w:tab/>
      </w:r>
      <w:r w:rsidRPr="001961AA">
        <w:rPr>
          <w:b/>
          <w:noProof/>
          <w:u w:val="single"/>
          <w:lang w:val="en-GB"/>
        </w:rPr>
        <w:t>Milestones, targets, indicators, and timetable for monitoring and implementation for non-repayable financial support</w:t>
      </w:r>
    </w:p>
    <w:tbl>
      <w:tblPr>
        <w:tblW w:w="15502" w:type="dxa"/>
        <w:jc w:val="center"/>
        <w:tblLayout w:type="fixed"/>
        <w:tblLook w:val="04A0" w:firstRow="1" w:lastRow="0" w:firstColumn="1" w:lastColumn="0" w:noHBand="0" w:noVBand="1"/>
      </w:tblPr>
      <w:tblGrid>
        <w:gridCol w:w="696"/>
        <w:gridCol w:w="1459"/>
        <w:gridCol w:w="1200"/>
        <w:gridCol w:w="1680"/>
        <w:gridCol w:w="1680"/>
        <w:gridCol w:w="1440"/>
        <w:gridCol w:w="1080"/>
        <w:gridCol w:w="720"/>
        <w:gridCol w:w="1080"/>
        <w:gridCol w:w="840"/>
        <w:gridCol w:w="3594"/>
        <w:gridCol w:w="33"/>
      </w:tblGrid>
      <w:tr w:rsidR="00355FA7" w:rsidRPr="001961AA" w14:paraId="4C1FE09F" w14:textId="77777777" w:rsidTr="009E6286">
        <w:trPr>
          <w:gridAfter w:val="1"/>
          <w:wAfter w:w="33" w:type="dxa"/>
          <w:trHeight w:val="927"/>
          <w:tblHeader/>
          <w:jc w:val="center"/>
        </w:trPr>
        <w:tc>
          <w:tcPr>
            <w:tcW w:w="69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746C1B2" w14:textId="6C30EF74" w:rsidR="006A41D9" w:rsidRPr="001961AA" w:rsidRDefault="006A41D9" w:rsidP="00BD6DD1">
            <w:pPr>
              <w:spacing w:after="0"/>
              <w:jc w:val="center"/>
              <w:rPr>
                <w:rFonts w:ascii="Times New Roman" w:eastAsia="Times New Roman" w:hAnsi="Times New Roman" w:cs="Times New Roman"/>
                <w:b/>
                <w:bCs/>
                <w:noProof/>
                <w:lang w:val="en-GB"/>
              </w:rPr>
            </w:pPr>
            <w:r w:rsidRPr="001961AA">
              <w:rPr>
                <w:rFonts w:ascii="Times New Roman" w:hAnsi="Times New Roman"/>
                <w:b/>
                <w:noProof/>
                <w:lang w:val="en-GB"/>
              </w:rPr>
              <w:t>Seq.Nb.</w:t>
            </w:r>
          </w:p>
        </w:tc>
        <w:tc>
          <w:tcPr>
            <w:tcW w:w="145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081A4C7" w14:textId="77777777" w:rsidR="006A41D9" w:rsidRPr="001961AA" w:rsidRDefault="006A41D9" w:rsidP="00BD6DD1">
            <w:pPr>
              <w:spacing w:after="0"/>
              <w:jc w:val="center"/>
              <w:rPr>
                <w:rFonts w:ascii="Times New Roman" w:eastAsia="Times New Roman" w:hAnsi="Times New Roman" w:cs="Times New Roman"/>
                <w:b/>
                <w:bCs/>
                <w:noProof/>
                <w:lang w:val="en-GB"/>
              </w:rPr>
            </w:pPr>
            <w:r w:rsidRPr="001961AA">
              <w:rPr>
                <w:rFonts w:ascii="Times New Roman" w:hAnsi="Times New Roman"/>
                <w:b/>
                <w:noProof/>
                <w:lang w:val="en-GB"/>
              </w:rPr>
              <w:t>Related Measure (Reform or Investment)</w:t>
            </w:r>
          </w:p>
        </w:tc>
        <w:tc>
          <w:tcPr>
            <w:tcW w:w="120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789B3B55" w14:textId="77777777" w:rsidR="006A41D9" w:rsidRPr="001961AA" w:rsidRDefault="006A41D9" w:rsidP="00BD6DD1">
            <w:pPr>
              <w:spacing w:after="0"/>
              <w:jc w:val="center"/>
              <w:rPr>
                <w:rFonts w:ascii="Times New Roman" w:eastAsia="Times New Roman" w:hAnsi="Times New Roman" w:cs="Times New Roman"/>
                <w:b/>
                <w:bCs/>
                <w:noProof/>
                <w:lang w:val="en-GB"/>
              </w:rPr>
            </w:pPr>
            <w:r w:rsidRPr="001961AA">
              <w:rPr>
                <w:rFonts w:ascii="Times New Roman" w:hAnsi="Times New Roman"/>
                <w:b/>
                <w:noProof/>
                <w:lang w:val="en-GB"/>
              </w:rPr>
              <w:t>Milestone / Target</w:t>
            </w:r>
          </w:p>
        </w:tc>
        <w:tc>
          <w:tcPr>
            <w:tcW w:w="168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7640324C" w14:textId="77777777" w:rsidR="006A41D9" w:rsidRPr="001961AA" w:rsidRDefault="006A41D9" w:rsidP="00BD6DD1">
            <w:pPr>
              <w:spacing w:after="0"/>
              <w:jc w:val="center"/>
              <w:rPr>
                <w:rFonts w:ascii="Times New Roman" w:eastAsia="Times New Roman" w:hAnsi="Times New Roman" w:cs="Times New Roman"/>
                <w:b/>
                <w:bCs/>
                <w:noProof/>
                <w:lang w:val="en-GB"/>
              </w:rPr>
            </w:pPr>
            <w:r w:rsidRPr="001961AA">
              <w:rPr>
                <w:rFonts w:ascii="Times New Roman" w:hAnsi="Times New Roman"/>
                <w:b/>
                <w:noProof/>
                <w:lang w:val="en-GB"/>
              </w:rPr>
              <w:t>Name</w:t>
            </w:r>
          </w:p>
        </w:tc>
        <w:tc>
          <w:tcPr>
            <w:tcW w:w="168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7D688B8" w14:textId="77777777" w:rsidR="006A41D9" w:rsidRPr="001961AA" w:rsidRDefault="006A41D9" w:rsidP="00BD6DD1">
            <w:pPr>
              <w:spacing w:after="0"/>
              <w:jc w:val="center"/>
              <w:rPr>
                <w:rFonts w:ascii="Times New Roman" w:eastAsia="Times New Roman" w:hAnsi="Times New Roman" w:cs="Times New Roman"/>
                <w:b/>
                <w:bCs/>
                <w:noProof/>
                <w:lang w:val="en-GB"/>
              </w:rPr>
            </w:pPr>
            <w:r w:rsidRPr="001961AA">
              <w:rPr>
                <w:rFonts w:ascii="Times New Roman" w:hAnsi="Times New Roman"/>
                <w:b/>
                <w:noProof/>
                <w:lang w:val="en-GB"/>
              </w:rPr>
              <w:t xml:space="preserve">Qualitative indicators </w:t>
            </w:r>
            <w:r w:rsidRPr="001961AA">
              <w:rPr>
                <w:noProof/>
                <w:lang w:val="en-GB"/>
              </w:rPr>
              <w:t xml:space="preserve"> </w:t>
            </w:r>
            <w:r w:rsidRPr="001961AA">
              <w:rPr>
                <w:noProof/>
                <w:lang w:val="en-GB"/>
              </w:rPr>
              <w:br/>
            </w:r>
            <w:r w:rsidRPr="001961AA">
              <w:rPr>
                <w:rFonts w:ascii="Times New Roman" w:hAnsi="Times New Roman"/>
                <w:b/>
                <w:noProof/>
                <w:lang w:val="en-GB"/>
              </w:rPr>
              <w:t>(for milestones)</w:t>
            </w:r>
          </w:p>
        </w:tc>
        <w:tc>
          <w:tcPr>
            <w:tcW w:w="3240" w:type="dxa"/>
            <w:gridSpan w:val="3"/>
            <w:tcBorders>
              <w:top w:val="single" w:sz="4" w:space="0" w:color="auto"/>
              <w:left w:val="single" w:sz="4" w:space="0" w:color="auto"/>
              <w:bottom w:val="single" w:sz="4" w:space="0" w:color="auto"/>
              <w:right w:val="single" w:sz="4" w:space="0" w:color="auto"/>
            </w:tcBorders>
            <w:shd w:val="clear" w:color="auto" w:fill="BDD7EE"/>
            <w:vAlign w:val="center"/>
            <w:hideMark/>
          </w:tcPr>
          <w:p w14:paraId="1C47BF1B" w14:textId="77777777" w:rsidR="006A41D9" w:rsidRPr="001961AA" w:rsidRDefault="006A41D9" w:rsidP="00BD6DD1">
            <w:pPr>
              <w:spacing w:after="0"/>
              <w:jc w:val="center"/>
              <w:rPr>
                <w:rFonts w:ascii="Times New Roman" w:eastAsia="Times New Roman" w:hAnsi="Times New Roman" w:cs="Times New Roman"/>
                <w:b/>
                <w:bCs/>
                <w:noProof/>
                <w:lang w:val="en-GB"/>
              </w:rPr>
            </w:pPr>
            <w:r w:rsidRPr="001961AA">
              <w:rPr>
                <w:rFonts w:ascii="Times New Roman" w:hAnsi="Times New Roman"/>
                <w:b/>
                <w:noProof/>
                <w:lang w:val="en-GB"/>
              </w:rPr>
              <w:t xml:space="preserve">Quantitative indicators </w:t>
            </w:r>
            <w:r w:rsidRPr="001961AA">
              <w:rPr>
                <w:noProof/>
                <w:lang w:val="en-GB"/>
              </w:rPr>
              <w:t xml:space="preserve"> </w:t>
            </w:r>
            <w:r w:rsidRPr="001961AA">
              <w:rPr>
                <w:noProof/>
                <w:lang w:val="en-GB"/>
              </w:rPr>
              <w:br/>
            </w:r>
            <w:r w:rsidRPr="001961AA">
              <w:rPr>
                <w:rFonts w:ascii="Times New Roman" w:hAnsi="Times New Roman"/>
                <w:b/>
                <w:noProof/>
                <w:lang w:val="en-GB"/>
              </w:rPr>
              <w:t>(for targets)</w:t>
            </w:r>
          </w:p>
        </w:tc>
        <w:tc>
          <w:tcPr>
            <w:tcW w:w="1920" w:type="dxa"/>
            <w:gridSpan w:val="2"/>
            <w:tcBorders>
              <w:top w:val="single" w:sz="4" w:space="0" w:color="auto"/>
              <w:left w:val="nil"/>
              <w:bottom w:val="single" w:sz="4" w:space="0" w:color="auto"/>
              <w:right w:val="single" w:sz="4" w:space="0" w:color="auto"/>
            </w:tcBorders>
            <w:shd w:val="clear" w:color="auto" w:fill="BDD7EE"/>
            <w:vAlign w:val="center"/>
            <w:hideMark/>
          </w:tcPr>
          <w:p w14:paraId="077B347F" w14:textId="77777777" w:rsidR="006A41D9" w:rsidRPr="001961AA" w:rsidRDefault="006A41D9" w:rsidP="00BD6DD1">
            <w:pPr>
              <w:spacing w:after="0"/>
              <w:jc w:val="center"/>
              <w:rPr>
                <w:rFonts w:ascii="Times New Roman" w:eastAsia="Times New Roman" w:hAnsi="Times New Roman" w:cs="Times New Roman"/>
                <w:b/>
                <w:bCs/>
                <w:noProof/>
                <w:lang w:val="en-GB"/>
              </w:rPr>
            </w:pPr>
            <w:r w:rsidRPr="001961AA">
              <w:rPr>
                <w:rFonts w:ascii="Times New Roman" w:hAnsi="Times New Roman"/>
                <w:b/>
                <w:noProof/>
                <w:lang w:val="en-GB"/>
              </w:rPr>
              <w:t xml:space="preserve">Indicative timeline for completion </w:t>
            </w:r>
          </w:p>
        </w:tc>
        <w:tc>
          <w:tcPr>
            <w:tcW w:w="359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C999CC5" w14:textId="77777777" w:rsidR="006A41D9" w:rsidRPr="001961AA" w:rsidRDefault="006A41D9" w:rsidP="00BD6DD1">
            <w:pPr>
              <w:spacing w:after="0"/>
              <w:jc w:val="center"/>
              <w:rPr>
                <w:rFonts w:ascii="Times New Roman" w:eastAsia="Times New Roman" w:hAnsi="Times New Roman" w:cs="Times New Roman"/>
                <w:b/>
                <w:bCs/>
                <w:noProof/>
                <w:lang w:val="en-GB"/>
              </w:rPr>
            </w:pPr>
            <w:r w:rsidRPr="001961AA">
              <w:rPr>
                <w:rFonts w:ascii="Times New Roman" w:hAnsi="Times New Roman"/>
                <w:b/>
                <w:noProof/>
                <w:lang w:val="en-GB"/>
              </w:rPr>
              <w:t>Description of each milestone and target</w:t>
            </w:r>
          </w:p>
        </w:tc>
      </w:tr>
      <w:tr w:rsidR="000055B6" w:rsidRPr="001961AA" w14:paraId="5183C88D" w14:textId="77777777" w:rsidTr="009E6286">
        <w:trPr>
          <w:gridAfter w:val="1"/>
          <w:wAfter w:w="33" w:type="dxa"/>
          <w:trHeight w:val="1013"/>
          <w:jc w:val="center"/>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7DF9104B" w14:textId="77777777" w:rsidR="006A41D9" w:rsidRPr="001961AA" w:rsidRDefault="006A41D9" w:rsidP="00BD6DD1">
            <w:pPr>
              <w:spacing w:after="0"/>
              <w:rPr>
                <w:rFonts w:ascii="Times New Roman" w:eastAsia="Times New Roman" w:hAnsi="Times New Roman" w:cs="Times New Roman"/>
                <w:b/>
                <w:bCs/>
                <w:noProof/>
                <w:szCs w:val="24"/>
                <w:lang w:val="en-GB" w:eastAsia="en-GB"/>
              </w:rPr>
            </w:pPr>
          </w:p>
        </w:tc>
        <w:tc>
          <w:tcPr>
            <w:tcW w:w="1459" w:type="dxa"/>
            <w:vMerge/>
            <w:tcBorders>
              <w:top w:val="single" w:sz="4" w:space="0" w:color="auto"/>
              <w:left w:val="single" w:sz="4" w:space="0" w:color="auto"/>
              <w:bottom w:val="single" w:sz="4" w:space="0" w:color="auto"/>
              <w:right w:val="single" w:sz="4" w:space="0" w:color="auto"/>
            </w:tcBorders>
            <w:vAlign w:val="center"/>
            <w:hideMark/>
          </w:tcPr>
          <w:p w14:paraId="56F319F6" w14:textId="77777777" w:rsidR="006A41D9" w:rsidRPr="001961AA" w:rsidRDefault="006A41D9" w:rsidP="00BD6DD1">
            <w:pPr>
              <w:spacing w:after="0"/>
              <w:rPr>
                <w:rFonts w:ascii="Times New Roman" w:eastAsia="Times New Roman" w:hAnsi="Times New Roman" w:cs="Times New Roman"/>
                <w:b/>
                <w:bCs/>
                <w:noProof/>
                <w:szCs w:val="24"/>
                <w:lang w:val="en-GB" w:eastAsia="en-GB"/>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14:paraId="4737D100" w14:textId="77777777" w:rsidR="006A41D9" w:rsidRPr="001961AA" w:rsidRDefault="006A41D9" w:rsidP="00BD6DD1">
            <w:pPr>
              <w:spacing w:after="0"/>
              <w:rPr>
                <w:rFonts w:ascii="Times New Roman" w:eastAsia="Times New Roman" w:hAnsi="Times New Roman" w:cs="Times New Roman"/>
                <w:b/>
                <w:bCs/>
                <w:noProof/>
                <w:szCs w:val="24"/>
                <w:lang w:val="en-GB" w:eastAsia="en-GB"/>
              </w:rPr>
            </w:pPr>
          </w:p>
        </w:tc>
        <w:tc>
          <w:tcPr>
            <w:tcW w:w="1680" w:type="dxa"/>
            <w:vMerge/>
            <w:tcBorders>
              <w:top w:val="single" w:sz="4" w:space="0" w:color="auto"/>
              <w:left w:val="single" w:sz="4" w:space="0" w:color="auto"/>
              <w:bottom w:val="single" w:sz="4" w:space="0" w:color="auto"/>
              <w:right w:val="single" w:sz="4" w:space="0" w:color="auto"/>
            </w:tcBorders>
            <w:vAlign w:val="center"/>
            <w:hideMark/>
          </w:tcPr>
          <w:p w14:paraId="4359D6A6" w14:textId="77777777" w:rsidR="006A41D9" w:rsidRPr="001961AA" w:rsidRDefault="006A41D9" w:rsidP="00BD6DD1">
            <w:pPr>
              <w:spacing w:after="0"/>
              <w:rPr>
                <w:rFonts w:ascii="Times New Roman" w:eastAsia="Times New Roman" w:hAnsi="Times New Roman" w:cs="Times New Roman"/>
                <w:b/>
                <w:bCs/>
                <w:noProof/>
                <w:szCs w:val="24"/>
                <w:lang w:val="en-GB" w:eastAsia="en-GB"/>
              </w:rPr>
            </w:pPr>
          </w:p>
        </w:tc>
        <w:tc>
          <w:tcPr>
            <w:tcW w:w="1680" w:type="dxa"/>
            <w:vMerge/>
            <w:tcBorders>
              <w:top w:val="single" w:sz="4" w:space="0" w:color="auto"/>
              <w:left w:val="single" w:sz="4" w:space="0" w:color="auto"/>
              <w:bottom w:val="single" w:sz="4" w:space="0" w:color="auto"/>
              <w:right w:val="single" w:sz="4" w:space="0" w:color="auto"/>
            </w:tcBorders>
            <w:vAlign w:val="center"/>
            <w:hideMark/>
          </w:tcPr>
          <w:p w14:paraId="688C7C7D" w14:textId="77777777" w:rsidR="006A41D9" w:rsidRPr="001961AA" w:rsidRDefault="006A41D9" w:rsidP="00BD6DD1">
            <w:pPr>
              <w:spacing w:after="0"/>
              <w:rPr>
                <w:rFonts w:ascii="Times New Roman" w:eastAsia="Times New Roman" w:hAnsi="Times New Roman" w:cs="Times New Roman"/>
                <w:b/>
                <w:bCs/>
                <w:noProof/>
                <w:szCs w:val="24"/>
                <w:lang w:val="en-GB" w:eastAsia="en-GB"/>
              </w:rPr>
            </w:pPr>
          </w:p>
        </w:tc>
        <w:tc>
          <w:tcPr>
            <w:tcW w:w="1440" w:type="dxa"/>
            <w:tcBorders>
              <w:top w:val="nil"/>
              <w:left w:val="single" w:sz="4" w:space="0" w:color="auto"/>
              <w:bottom w:val="single" w:sz="4" w:space="0" w:color="auto"/>
              <w:right w:val="single" w:sz="4" w:space="0" w:color="auto"/>
            </w:tcBorders>
            <w:shd w:val="clear" w:color="auto" w:fill="BDD7EE"/>
            <w:vAlign w:val="center"/>
            <w:hideMark/>
          </w:tcPr>
          <w:p w14:paraId="7090AD9C" w14:textId="77777777" w:rsidR="006A41D9" w:rsidRPr="001961AA" w:rsidRDefault="006A41D9" w:rsidP="00BD6DD1">
            <w:pPr>
              <w:spacing w:after="0"/>
              <w:jc w:val="center"/>
              <w:rPr>
                <w:rFonts w:ascii="Times New Roman" w:eastAsia="Times New Roman" w:hAnsi="Times New Roman" w:cs="Times New Roman"/>
                <w:b/>
                <w:noProof/>
                <w:lang w:val="en-GB"/>
              </w:rPr>
            </w:pPr>
            <w:r w:rsidRPr="001961AA">
              <w:rPr>
                <w:rFonts w:ascii="Times New Roman" w:hAnsi="Times New Roman"/>
                <w:b/>
                <w:noProof/>
                <w:lang w:val="en-GB"/>
              </w:rPr>
              <w:t>Unit of measure</w:t>
            </w:r>
          </w:p>
        </w:tc>
        <w:tc>
          <w:tcPr>
            <w:tcW w:w="1080" w:type="dxa"/>
            <w:tcBorders>
              <w:top w:val="nil"/>
              <w:left w:val="nil"/>
              <w:bottom w:val="single" w:sz="4" w:space="0" w:color="auto"/>
              <w:right w:val="single" w:sz="4" w:space="0" w:color="auto"/>
            </w:tcBorders>
            <w:shd w:val="clear" w:color="auto" w:fill="BDD7EE"/>
            <w:vAlign w:val="center"/>
            <w:hideMark/>
          </w:tcPr>
          <w:p w14:paraId="79613094" w14:textId="77777777" w:rsidR="006A41D9" w:rsidRPr="001961AA" w:rsidRDefault="006A41D9" w:rsidP="00BD6DD1">
            <w:pPr>
              <w:spacing w:after="0"/>
              <w:jc w:val="center"/>
              <w:rPr>
                <w:rFonts w:ascii="Times New Roman" w:eastAsia="Times New Roman" w:hAnsi="Times New Roman" w:cs="Times New Roman"/>
                <w:b/>
                <w:noProof/>
                <w:lang w:val="en-GB"/>
              </w:rPr>
            </w:pPr>
            <w:r w:rsidRPr="001961AA">
              <w:rPr>
                <w:rFonts w:ascii="Times New Roman" w:hAnsi="Times New Roman"/>
                <w:b/>
                <w:noProof/>
                <w:lang w:val="en-GB"/>
              </w:rPr>
              <w:t xml:space="preserve">Baseline </w:t>
            </w:r>
          </w:p>
        </w:tc>
        <w:tc>
          <w:tcPr>
            <w:tcW w:w="720" w:type="dxa"/>
            <w:tcBorders>
              <w:top w:val="nil"/>
              <w:left w:val="nil"/>
              <w:bottom w:val="single" w:sz="4" w:space="0" w:color="auto"/>
              <w:right w:val="single" w:sz="4" w:space="0" w:color="auto"/>
            </w:tcBorders>
            <w:shd w:val="clear" w:color="auto" w:fill="BDD7EE"/>
            <w:vAlign w:val="center"/>
            <w:hideMark/>
          </w:tcPr>
          <w:p w14:paraId="2091A829" w14:textId="77777777" w:rsidR="006A41D9" w:rsidRPr="001961AA" w:rsidRDefault="006A41D9" w:rsidP="00BD6DD1">
            <w:pPr>
              <w:spacing w:after="0"/>
              <w:jc w:val="center"/>
              <w:rPr>
                <w:rFonts w:ascii="Times New Roman" w:eastAsia="Times New Roman" w:hAnsi="Times New Roman" w:cs="Times New Roman"/>
                <w:b/>
                <w:noProof/>
                <w:lang w:val="en-GB"/>
              </w:rPr>
            </w:pPr>
            <w:r w:rsidRPr="001961AA">
              <w:rPr>
                <w:rFonts w:ascii="Times New Roman" w:hAnsi="Times New Roman"/>
                <w:b/>
                <w:noProof/>
                <w:lang w:val="en-GB"/>
              </w:rPr>
              <w:t xml:space="preserve">Goal </w:t>
            </w:r>
          </w:p>
        </w:tc>
        <w:tc>
          <w:tcPr>
            <w:tcW w:w="1080" w:type="dxa"/>
            <w:tcBorders>
              <w:top w:val="nil"/>
              <w:left w:val="nil"/>
              <w:bottom w:val="single" w:sz="4" w:space="0" w:color="auto"/>
              <w:right w:val="single" w:sz="4" w:space="0" w:color="auto"/>
            </w:tcBorders>
            <w:shd w:val="clear" w:color="auto" w:fill="BDD7EE"/>
            <w:vAlign w:val="center"/>
            <w:hideMark/>
          </w:tcPr>
          <w:p w14:paraId="0EECF341" w14:textId="77777777" w:rsidR="006A41D9" w:rsidRPr="001961AA" w:rsidRDefault="006A41D9" w:rsidP="00BD6DD1">
            <w:pPr>
              <w:spacing w:after="0"/>
              <w:jc w:val="center"/>
              <w:rPr>
                <w:rFonts w:ascii="Times New Roman" w:eastAsia="Times New Roman" w:hAnsi="Times New Roman" w:cs="Times New Roman"/>
                <w:b/>
                <w:noProof/>
                <w:lang w:val="en-GB"/>
              </w:rPr>
            </w:pPr>
            <w:r w:rsidRPr="001961AA">
              <w:rPr>
                <w:rFonts w:ascii="Times New Roman" w:hAnsi="Times New Roman"/>
                <w:b/>
                <w:noProof/>
                <w:lang w:val="en-GB"/>
              </w:rPr>
              <w:t>Quarter</w:t>
            </w:r>
          </w:p>
        </w:tc>
        <w:tc>
          <w:tcPr>
            <w:tcW w:w="840" w:type="dxa"/>
            <w:tcBorders>
              <w:top w:val="nil"/>
              <w:left w:val="nil"/>
              <w:bottom w:val="single" w:sz="4" w:space="0" w:color="auto"/>
              <w:right w:val="single" w:sz="4" w:space="0" w:color="auto"/>
            </w:tcBorders>
            <w:shd w:val="clear" w:color="auto" w:fill="BDD7EE"/>
            <w:vAlign w:val="center"/>
            <w:hideMark/>
          </w:tcPr>
          <w:p w14:paraId="333CCD98" w14:textId="77777777" w:rsidR="006A41D9" w:rsidRPr="001961AA" w:rsidRDefault="006A41D9" w:rsidP="00BD6DD1">
            <w:pPr>
              <w:spacing w:after="0"/>
              <w:jc w:val="center"/>
              <w:rPr>
                <w:rFonts w:ascii="Times New Roman" w:eastAsia="Times New Roman" w:hAnsi="Times New Roman" w:cs="Times New Roman"/>
                <w:b/>
                <w:noProof/>
                <w:lang w:val="en-GB"/>
              </w:rPr>
            </w:pPr>
            <w:r w:rsidRPr="001961AA">
              <w:rPr>
                <w:rFonts w:ascii="Times New Roman" w:hAnsi="Times New Roman"/>
                <w:b/>
                <w:noProof/>
                <w:lang w:val="en-GB"/>
              </w:rPr>
              <w:t>Year</w:t>
            </w:r>
          </w:p>
        </w:tc>
        <w:tc>
          <w:tcPr>
            <w:tcW w:w="3594" w:type="dxa"/>
            <w:vMerge/>
            <w:tcBorders>
              <w:top w:val="single" w:sz="4" w:space="0" w:color="auto"/>
              <w:bottom w:val="single" w:sz="4" w:space="0" w:color="auto"/>
              <w:right w:val="single" w:sz="4" w:space="0" w:color="auto"/>
            </w:tcBorders>
            <w:vAlign w:val="center"/>
            <w:hideMark/>
          </w:tcPr>
          <w:p w14:paraId="3EA816E9" w14:textId="77777777" w:rsidR="006A41D9" w:rsidRPr="001961AA" w:rsidRDefault="006A41D9" w:rsidP="00BD6DD1">
            <w:pPr>
              <w:spacing w:after="0"/>
              <w:rPr>
                <w:rFonts w:ascii="Times New Roman" w:eastAsia="Times New Roman" w:hAnsi="Times New Roman" w:cs="Times New Roman"/>
                <w:b/>
                <w:bCs/>
                <w:noProof/>
                <w:szCs w:val="24"/>
                <w:lang w:val="en-GB" w:eastAsia="en-GB"/>
              </w:rPr>
            </w:pPr>
          </w:p>
        </w:tc>
      </w:tr>
      <w:tr w:rsidR="009E6286" w:rsidRPr="001961AA" w14:paraId="66A09E8A" w14:textId="77777777" w:rsidTr="009E6286">
        <w:trPr>
          <w:gridAfter w:val="1"/>
          <w:wAfter w:w="33" w:type="dxa"/>
          <w:trHeight w:val="309"/>
          <w:jc w:val="center"/>
        </w:trPr>
        <w:tc>
          <w:tcPr>
            <w:tcW w:w="696"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47B1B63E"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99</w:t>
            </w:r>
          </w:p>
        </w:tc>
        <w:tc>
          <w:tcPr>
            <w:tcW w:w="1459"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07A94D61"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Enhancing public transport in Wallonia (I-3B)</w:t>
            </w:r>
          </w:p>
        </w:tc>
        <w:tc>
          <w:tcPr>
            <w:tcW w:w="1200" w:type="dxa"/>
            <w:tcBorders>
              <w:top w:val="single" w:sz="4" w:space="0" w:color="auto"/>
              <w:left w:val="nil"/>
              <w:bottom w:val="single" w:sz="4" w:space="0" w:color="auto"/>
              <w:right w:val="single" w:sz="4" w:space="0" w:color="auto"/>
            </w:tcBorders>
            <w:shd w:val="clear" w:color="auto" w:fill="C6EFCE"/>
            <w:noWrap/>
            <w:vAlign w:val="center"/>
            <w:hideMark/>
          </w:tcPr>
          <w:p w14:paraId="050A4873" w14:textId="3537E790"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T</w:t>
            </w:r>
          </w:p>
        </w:tc>
        <w:tc>
          <w:tcPr>
            <w:tcW w:w="1680" w:type="dxa"/>
            <w:tcBorders>
              <w:top w:val="single" w:sz="4" w:space="0" w:color="auto"/>
              <w:left w:val="nil"/>
              <w:bottom w:val="single" w:sz="4" w:space="0" w:color="auto"/>
              <w:right w:val="single" w:sz="4" w:space="0" w:color="auto"/>
            </w:tcBorders>
            <w:shd w:val="clear" w:color="auto" w:fill="C6EFCE"/>
            <w:noWrap/>
            <w:vAlign w:val="center"/>
            <w:hideMark/>
          </w:tcPr>
          <w:p w14:paraId="768A1ED1" w14:textId="379BA39B"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Start of major infrastructure works for bus (smart road signals, and light metro (Charleroi)</w:t>
            </w:r>
          </w:p>
        </w:tc>
        <w:tc>
          <w:tcPr>
            <w:tcW w:w="1680"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2BCD3D3A" w14:textId="77777777"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1440" w:type="dxa"/>
            <w:tcBorders>
              <w:top w:val="nil"/>
              <w:left w:val="nil"/>
              <w:bottom w:val="single" w:sz="4" w:space="0" w:color="auto"/>
              <w:right w:val="single" w:sz="4" w:space="0" w:color="auto"/>
            </w:tcBorders>
            <w:shd w:val="clear" w:color="auto" w:fill="C6EFCE"/>
            <w:noWrap/>
            <w:vAlign w:val="center"/>
            <w:hideMark/>
          </w:tcPr>
          <w:p w14:paraId="7BB292F0"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Projects</w:t>
            </w:r>
          </w:p>
        </w:tc>
        <w:tc>
          <w:tcPr>
            <w:tcW w:w="1080" w:type="dxa"/>
            <w:tcBorders>
              <w:top w:val="nil"/>
              <w:left w:val="nil"/>
              <w:bottom w:val="single" w:sz="4" w:space="0" w:color="auto"/>
              <w:right w:val="single" w:sz="4" w:space="0" w:color="auto"/>
            </w:tcBorders>
            <w:shd w:val="clear" w:color="auto" w:fill="C6EFCE"/>
            <w:noWrap/>
            <w:vAlign w:val="center"/>
            <w:hideMark/>
          </w:tcPr>
          <w:p w14:paraId="0CBBFC39" w14:textId="77777777" w:rsidR="006A41D9" w:rsidRPr="001961AA" w:rsidRDefault="006A41D9" w:rsidP="00BD6DD1">
            <w:pPr>
              <w:spacing w:after="0"/>
              <w:jc w:val="right"/>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0</w:t>
            </w:r>
          </w:p>
        </w:tc>
        <w:tc>
          <w:tcPr>
            <w:tcW w:w="720" w:type="dxa"/>
            <w:tcBorders>
              <w:top w:val="nil"/>
              <w:left w:val="nil"/>
              <w:bottom w:val="single" w:sz="4" w:space="0" w:color="auto"/>
              <w:right w:val="single" w:sz="4" w:space="0" w:color="auto"/>
            </w:tcBorders>
            <w:shd w:val="clear" w:color="auto" w:fill="C6EFCE"/>
            <w:noWrap/>
            <w:vAlign w:val="center"/>
            <w:hideMark/>
          </w:tcPr>
          <w:p w14:paraId="22C7D413" w14:textId="68E04F0B" w:rsidR="006A41D9" w:rsidRPr="001961AA" w:rsidRDefault="000914F5" w:rsidP="00BD6DD1">
            <w:pPr>
              <w:spacing w:after="0"/>
              <w:jc w:val="right"/>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w:t>
            </w:r>
          </w:p>
        </w:tc>
        <w:tc>
          <w:tcPr>
            <w:tcW w:w="1080" w:type="dxa"/>
            <w:tcBorders>
              <w:top w:val="nil"/>
              <w:left w:val="nil"/>
              <w:bottom w:val="single" w:sz="4" w:space="0" w:color="auto"/>
              <w:right w:val="single" w:sz="4" w:space="0" w:color="auto"/>
            </w:tcBorders>
            <w:shd w:val="clear" w:color="auto" w:fill="C6EFCE"/>
            <w:noWrap/>
            <w:vAlign w:val="center"/>
            <w:hideMark/>
          </w:tcPr>
          <w:p w14:paraId="671FADAC"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Q3</w:t>
            </w:r>
          </w:p>
        </w:tc>
        <w:tc>
          <w:tcPr>
            <w:tcW w:w="840" w:type="dxa"/>
            <w:tcBorders>
              <w:top w:val="nil"/>
              <w:left w:val="nil"/>
              <w:bottom w:val="single" w:sz="4" w:space="0" w:color="auto"/>
              <w:right w:val="single" w:sz="4" w:space="0" w:color="auto"/>
            </w:tcBorders>
            <w:shd w:val="clear" w:color="auto" w:fill="C6EFCE"/>
            <w:noWrap/>
            <w:vAlign w:val="center"/>
            <w:hideMark/>
          </w:tcPr>
          <w:p w14:paraId="45569858"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2023</w:t>
            </w:r>
          </w:p>
        </w:tc>
        <w:tc>
          <w:tcPr>
            <w:tcW w:w="3594"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242E0A34" w14:textId="2229C891" w:rsidR="006A41D9" w:rsidRPr="001961AA" w:rsidRDefault="006A41D9" w:rsidP="00BD6DD1">
            <w:pPr>
              <w:spacing w:after="0"/>
              <w:rPr>
                <w:rFonts w:ascii="Times New Roman" w:hAnsi="Times New Roman" w:cs="Times New Roman"/>
                <w:noProof/>
                <w:color w:val="006100"/>
                <w:u w:val="single"/>
                <w:lang w:val="en-GB"/>
              </w:rPr>
            </w:pPr>
            <w:r w:rsidRPr="001961AA">
              <w:rPr>
                <w:rFonts w:ascii="Times New Roman" w:hAnsi="Times New Roman"/>
                <w:noProof/>
                <w:color w:val="006100"/>
                <w:u w:val="single"/>
                <w:lang w:val="en-GB"/>
              </w:rPr>
              <w:t>Extension metro Charleroi – WAL (I-3.07)</w:t>
            </w:r>
          </w:p>
          <w:p w14:paraId="154A3E57" w14:textId="77777777" w:rsidR="006A41D9" w:rsidRPr="001961AA" w:rsidRDefault="006A41D9" w:rsidP="00DF5893">
            <w:pPr>
              <w:pStyle w:val="ListParagraph"/>
              <w:numPr>
                <w:ilvl w:val="0"/>
                <w:numId w:val="26"/>
              </w:numPr>
              <w:spacing w:after="0" w:line="240" w:lineRule="auto"/>
              <w:ind w:left="584" w:hanging="357"/>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Delivery of all building and environmental permits</w:t>
            </w:r>
          </w:p>
          <w:p w14:paraId="5C465417" w14:textId="5D6B5380" w:rsidR="006A41D9" w:rsidRPr="001961AA" w:rsidRDefault="007118DB" w:rsidP="00BD6DD1">
            <w:pPr>
              <w:spacing w:after="0"/>
              <w:rPr>
                <w:rFonts w:ascii="Times New Roman" w:hAnsi="Times New Roman" w:cs="Times New Roman"/>
                <w:noProof/>
                <w:color w:val="006100"/>
                <w:u w:val="single"/>
                <w:lang w:val="en-GB"/>
              </w:rPr>
            </w:pPr>
            <w:r w:rsidRPr="001961AA">
              <w:rPr>
                <w:rFonts w:ascii="Times New Roman" w:hAnsi="Times New Roman"/>
                <w:noProof/>
                <w:color w:val="006100"/>
                <w:u w:val="single"/>
                <w:lang w:val="en-GB"/>
              </w:rPr>
              <w:t>Smart road signals – WAL (I-3.08)</w:t>
            </w:r>
          </w:p>
          <w:p w14:paraId="1114D0F2" w14:textId="77777777" w:rsidR="006A41D9" w:rsidRPr="001961AA" w:rsidRDefault="006A41D9" w:rsidP="00DF5893">
            <w:pPr>
              <w:pStyle w:val="ListParagraph"/>
              <w:numPr>
                <w:ilvl w:val="0"/>
                <w:numId w:val="26"/>
              </w:numPr>
              <w:spacing w:after="0" w:line="240" w:lineRule="auto"/>
              <w:ind w:left="584" w:hanging="357"/>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Award of contracts for all public works (contract award notification has been published)</w:t>
            </w:r>
          </w:p>
        </w:tc>
      </w:tr>
      <w:tr w:rsidR="009E6286" w:rsidRPr="001961AA" w14:paraId="7B4232D0" w14:textId="77777777" w:rsidTr="009E6286">
        <w:trPr>
          <w:gridAfter w:val="1"/>
          <w:wAfter w:w="33" w:type="dxa"/>
          <w:trHeight w:val="309"/>
          <w:jc w:val="center"/>
        </w:trPr>
        <w:tc>
          <w:tcPr>
            <w:tcW w:w="696" w:type="dxa"/>
            <w:tcBorders>
              <w:top w:val="nil"/>
              <w:left w:val="single" w:sz="4" w:space="0" w:color="auto"/>
              <w:bottom w:val="single" w:sz="4" w:space="0" w:color="auto"/>
              <w:right w:val="single" w:sz="4" w:space="0" w:color="auto"/>
            </w:tcBorders>
            <w:shd w:val="clear" w:color="auto" w:fill="C6EFCE"/>
            <w:noWrap/>
            <w:vAlign w:val="center"/>
            <w:hideMark/>
          </w:tcPr>
          <w:p w14:paraId="3AEF110A" w14:textId="77777777" w:rsidR="00151CE5" w:rsidRPr="001961AA" w:rsidRDefault="00151CE5" w:rsidP="00151CE5">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100</w:t>
            </w:r>
          </w:p>
        </w:tc>
        <w:tc>
          <w:tcPr>
            <w:tcW w:w="1459" w:type="dxa"/>
            <w:tcBorders>
              <w:top w:val="nil"/>
              <w:left w:val="single" w:sz="4" w:space="0" w:color="auto"/>
              <w:bottom w:val="single" w:sz="4" w:space="0" w:color="auto"/>
              <w:right w:val="single" w:sz="4" w:space="0" w:color="auto"/>
            </w:tcBorders>
            <w:shd w:val="clear" w:color="auto" w:fill="C6EFCE"/>
            <w:noWrap/>
            <w:vAlign w:val="center"/>
            <w:hideMark/>
          </w:tcPr>
          <w:p w14:paraId="006D7E9C" w14:textId="77777777" w:rsidR="00151CE5" w:rsidRPr="001961AA" w:rsidRDefault="00151CE5" w:rsidP="00151CE5">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Enhancing public transport in Wallonia (I-3B)</w:t>
            </w:r>
          </w:p>
        </w:tc>
        <w:tc>
          <w:tcPr>
            <w:tcW w:w="1200" w:type="dxa"/>
            <w:tcBorders>
              <w:top w:val="nil"/>
              <w:left w:val="nil"/>
              <w:bottom w:val="single" w:sz="4" w:space="0" w:color="auto"/>
              <w:right w:val="single" w:sz="4" w:space="0" w:color="auto"/>
            </w:tcBorders>
            <w:shd w:val="clear" w:color="auto" w:fill="C6EFCE"/>
            <w:noWrap/>
            <w:vAlign w:val="center"/>
            <w:hideMark/>
          </w:tcPr>
          <w:p w14:paraId="039ECF36" w14:textId="6B6384AF" w:rsidR="00151CE5" w:rsidRPr="001961AA" w:rsidRDefault="00151CE5" w:rsidP="00151CE5">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T</w:t>
            </w:r>
          </w:p>
        </w:tc>
        <w:tc>
          <w:tcPr>
            <w:tcW w:w="1680" w:type="dxa"/>
            <w:tcBorders>
              <w:top w:val="nil"/>
              <w:left w:val="nil"/>
              <w:bottom w:val="single" w:sz="4" w:space="0" w:color="auto"/>
              <w:right w:val="single" w:sz="4" w:space="0" w:color="auto"/>
            </w:tcBorders>
            <w:shd w:val="clear" w:color="auto" w:fill="C6EFCE"/>
            <w:noWrap/>
            <w:vAlign w:val="center"/>
            <w:hideMark/>
          </w:tcPr>
          <w:p w14:paraId="7E80085B" w14:textId="0EAA24AC" w:rsidR="00151CE5" w:rsidRPr="001961AA" w:rsidRDefault="00151CE5" w:rsidP="00151CE5">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Operationalisation of smart road traffic lights</w:t>
            </w:r>
          </w:p>
        </w:tc>
        <w:tc>
          <w:tcPr>
            <w:tcW w:w="1680" w:type="dxa"/>
            <w:tcBorders>
              <w:top w:val="nil"/>
              <w:left w:val="single" w:sz="4" w:space="0" w:color="auto"/>
              <w:bottom w:val="single" w:sz="4" w:space="0" w:color="auto"/>
              <w:right w:val="single" w:sz="4" w:space="0" w:color="auto"/>
            </w:tcBorders>
            <w:shd w:val="clear" w:color="auto" w:fill="C6EFCE"/>
            <w:noWrap/>
            <w:vAlign w:val="center"/>
            <w:hideMark/>
          </w:tcPr>
          <w:p w14:paraId="10CD8A2C" w14:textId="77777777" w:rsidR="00151CE5" w:rsidRPr="001961AA" w:rsidRDefault="00151CE5" w:rsidP="00151CE5">
            <w:pPr>
              <w:spacing w:after="0"/>
              <w:rPr>
                <w:rFonts w:ascii="Times New Roman" w:eastAsia="Times New Roman" w:hAnsi="Times New Roman" w:cs="Times New Roman"/>
                <w:noProof/>
                <w:color w:val="006100"/>
                <w:lang w:val="en-GB" w:eastAsia="en-GB"/>
              </w:rPr>
            </w:pPr>
          </w:p>
        </w:tc>
        <w:tc>
          <w:tcPr>
            <w:tcW w:w="1440" w:type="dxa"/>
            <w:tcBorders>
              <w:top w:val="nil"/>
              <w:left w:val="nil"/>
              <w:bottom w:val="single" w:sz="4" w:space="0" w:color="auto"/>
              <w:right w:val="single" w:sz="4" w:space="0" w:color="auto"/>
            </w:tcBorders>
            <w:shd w:val="clear" w:color="auto" w:fill="C6EFCE"/>
            <w:noWrap/>
            <w:vAlign w:val="center"/>
            <w:hideMark/>
          </w:tcPr>
          <w:p w14:paraId="3726BB47" w14:textId="796F3315" w:rsidR="00151CE5" w:rsidRPr="001961AA" w:rsidRDefault="00151CE5" w:rsidP="00151CE5">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 xml:space="preserve">Number of crossroads with smart road traffic lights in the centralised platform </w:t>
            </w:r>
          </w:p>
        </w:tc>
        <w:tc>
          <w:tcPr>
            <w:tcW w:w="1080" w:type="dxa"/>
            <w:tcBorders>
              <w:top w:val="nil"/>
              <w:left w:val="nil"/>
              <w:bottom w:val="single" w:sz="4" w:space="0" w:color="auto"/>
              <w:right w:val="single" w:sz="4" w:space="0" w:color="auto"/>
            </w:tcBorders>
            <w:shd w:val="clear" w:color="auto" w:fill="C6EFCE"/>
            <w:noWrap/>
            <w:vAlign w:val="center"/>
            <w:hideMark/>
          </w:tcPr>
          <w:p w14:paraId="6870321F" w14:textId="77777777" w:rsidR="00151CE5" w:rsidRPr="001961AA" w:rsidRDefault="00151CE5" w:rsidP="00151CE5">
            <w:pPr>
              <w:spacing w:after="0"/>
              <w:jc w:val="right"/>
              <w:rPr>
                <w:rFonts w:ascii="Times New Roman" w:hAnsi="Times New Roman" w:cs="Times New Roman"/>
                <w:noProof/>
                <w:color w:val="006100"/>
                <w:lang w:val="en-GB"/>
              </w:rPr>
            </w:pPr>
            <w:r w:rsidRPr="001961AA">
              <w:rPr>
                <w:rFonts w:ascii="Times New Roman" w:hAnsi="Times New Roman"/>
                <w:noProof/>
                <w:color w:val="006100"/>
                <w:lang w:val="en-GB"/>
              </w:rPr>
              <w:t>0</w:t>
            </w:r>
          </w:p>
          <w:p w14:paraId="58D8DE5A" w14:textId="3A07A7D0" w:rsidR="00151CE5" w:rsidRPr="001961AA" w:rsidRDefault="00151CE5" w:rsidP="00151CE5">
            <w:pPr>
              <w:spacing w:after="0"/>
              <w:jc w:val="right"/>
              <w:rPr>
                <w:rFonts w:ascii="Times New Roman" w:eastAsia="Times New Roman" w:hAnsi="Times New Roman" w:cs="Times New Roman"/>
                <w:noProof/>
                <w:color w:val="006100"/>
                <w:lang w:val="en-GB" w:eastAsia="en-GB"/>
              </w:rPr>
            </w:pPr>
          </w:p>
        </w:tc>
        <w:tc>
          <w:tcPr>
            <w:tcW w:w="720" w:type="dxa"/>
            <w:tcBorders>
              <w:top w:val="nil"/>
              <w:left w:val="nil"/>
              <w:bottom w:val="single" w:sz="4" w:space="0" w:color="auto"/>
              <w:right w:val="single" w:sz="4" w:space="0" w:color="auto"/>
            </w:tcBorders>
            <w:shd w:val="clear" w:color="auto" w:fill="C6EFCE"/>
            <w:noWrap/>
            <w:vAlign w:val="center"/>
            <w:hideMark/>
          </w:tcPr>
          <w:p w14:paraId="5D831B5A" w14:textId="1AE0A96E" w:rsidR="00151CE5" w:rsidRPr="001961AA" w:rsidRDefault="00151CE5" w:rsidP="00151CE5">
            <w:pPr>
              <w:spacing w:after="0"/>
              <w:jc w:val="right"/>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260</w:t>
            </w:r>
          </w:p>
        </w:tc>
        <w:tc>
          <w:tcPr>
            <w:tcW w:w="1080" w:type="dxa"/>
            <w:tcBorders>
              <w:top w:val="nil"/>
              <w:left w:val="nil"/>
              <w:bottom w:val="single" w:sz="4" w:space="0" w:color="auto"/>
              <w:right w:val="single" w:sz="4" w:space="0" w:color="auto"/>
            </w:tcBorders>
            <w:shd w:val="clear" w:color="auto" w:fill="C6EFCE"/>
            <w:noWrap/>
            <w:vAlign w:val="center"/>
            <w:hideMark/>
          </w:tcPr>
          <w:p w14:paraId="09BD3CEA" w14:textId="5AE09B92" w:rsidR="00151CE5" w:rsidRPr="001961AA" w:rsidRDefault="00151CE5" w:rsidP="00151CE5">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Q2</w:t>
            </w:r>
          </w:p>
        </w:tc>
        <w:tc>
          <w:tcPr>
            <w:tcW w:w="840" w:type="dxa"/>
            <w:tcBorders>
              <w:top w:val="nil"/>
              <w:left w:val="nil"/>
              <w:bottom w:val="single" w:sz="4" w:space="0" w:color="auto"/>
              <w:right w:val="single" w:sz="4" w:space="0" w:color="auto"/>
            </w:tcBorders>
            <w:shd w:val="clear" w:color="auto" w:fill="C6EFCE"/>
            <w:noWrap/>
            <w:vAlign w:val="center"/>
            <w:hideMark/>
          </w:tcPr>
          <w:p w14:paraId="3BD6A218" w14:textId="70B7E854" w:rsidR="00151CE5" w:rsidRPr="001961AA" w:rsidRDefault="00151CE5" w:rsidP="00151CE5">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2025</w:t>
            </w:r>
          </w:p>
        </w:tc>
        <w:tc>
          <w:tcPr>
            <w:tcW w:w="3594" w:type="dxa"/>
            <w:tcBorders>
              <w:top w:val="nil"/>
              <w:left w:val="single" w:sz="4" w:space="0" w:color="auto"/>
              <w:bottom w:val="single" w:sz="4" w:space="0" w:color="auto"/>
              <w:right w:val="single" w:sz="4" w:space="0" w:color="auto"/>
            </w:tcBorders>
            <w:shd w:val="clear" w:color="auto" w:fill="C6EFCE"/>
            <w:noWrap/>
            <w:vAlign w:val="center"/>
            <w:hideMark/>
          </w:tcPr>
          <w:p w14:paraId="1E0ECE79" w14:textId="77777777" w:rsidR="00151CE5" w:rsidRPr="001961AA" w:rsidRDefault="00151CE5" w:rsidP="00151CE5">
            <w:pPr>
              <w:spacing w:after="0"/>
              <w:rPr>
                <w:rFonts w:ascii="Times New Roman" w:hAnsi="Times New Roman" w:cs="Times New Roman"/>
                <w:noProof/>
                <w:color w:val="006100"/>
                <w:u w:val="single"/>
                <w:lang w:val="en-GB"/>
              </w:rPr>
            </w:pPr>
            <w:r w:rsidRPr="001961AA">
              <w:rPr>
                <w:rFonts w:ascii="Times New Roman" w:hAnsi="Times New Roman"/>
                <w:noProof/>
                <w:color w:val="006100"/>
                <w:u w:val="single"/>
                <w:lang w:val="en-GB"/>
              </w:rPr>
              <w:t>Smart road signals – WAL (I-3.08)</w:t>
            </w:r>
          </w:p>
          <w:p w14:paraId="51C7DBA5" w14:textId="3913BA7E" w:rsidR="00151CE5" w:rsidRPr="001961AA" w:rsidRDefault="00151CE5" w:rsidP="00151CE5">
            <w:pPr>
              <w:pStyle w:val="ListParagraph"/>
              <w:numPr>
                <w:ilvl w:val="0"/>
                <w:numId w:val="26"/>
              </w:numPr>
              <w:spacing w:after="0" w:line="240" w:lineRule="auto"/>
              <w:ind w:left="584" w:hanging="357"/>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Equipment of 260 crossroads with smart road signals.</w:t>
            </w:r>
          </w:p>
        </w:tc>
      </w:tr>
      <w:tr w:rsidR="009E6286" w:rsidRPr="001961AA" w14:paraId="2B229D63" w14:textId="77777777" w:rsidTr="009E6286">
        <w:trPr>
          <w:gridAfter w:val="1"/>
          <w:wAfter w:w="33" w:type="dxa"/>
          <w:trHeight w:val="309"/>
          <w:jc w:val="center"/>
        </w:trPr>
        <w:tc>
          <w:tcPr>
            <w:tcW w:w="696" w:type="dxa"/>
            <w:tcBorders>
              <w:top w:val="nil"/>
              <w:left w:val="single" w:sz="4" w:space="0" w:color="auto"/>
              <w:bottom w:val="single" w:sz="4" w:space="0" w:color="auto"/>
              <w:right w:val="single" w:sz="4" w:space="0" w:color="auto"/>
            </w:tcBorders>
            <w:shd w:val="clear" w:color="auto" w:fill="C6EFCE"/>
            <w:noWrap/>
            <w:vAlign w:val="center"/>
            <w:hideMark/>
          </w:tcPr>
          <w:p w14:paraId="35A448A7" w14:textId="77777777" w:rsidR="00151CE5" w:rsidRPr="001961AA" w:rsidRDefault="00151CE5" w:rsidP="00151CE5">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101</w:t>
            </w:r>
          </w:p>
        </w:tc>
        <w:tc>
          <w:tcPr>
            <w:tcW w:w="1459" w:type="dxa"/>
            <w:tcBorders>
              <w:top w:val="nil"/>
              <w:left w:val="single" w:sz="4" w:space="0" w:color="auto"/>
              <w:bottom w:val="single" w:sz="4" w:space="0" w:color="auto"/>
              <w:right w:val="single" w:sz="4" w:space="0" w:color="auto"/>
            </w:tcBorders>
            <w:shd w:val="clear" w:color="auto" w:fill="C6EFCE"/>
            <w:noWrap/>
            <w:vAlign w:val="center"/>
            <w:hideMark/>
          </w:tcPr>
          <w:p w14:paraId="7A840881" w14:textId="77777777" w:rsidR="00151CE5" w:rsidRPr="001961AA" w:rsidRDefault="00151CE5" w:rsidP="00151CE5">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Enhancing public transport in Wallonia (I-3B)</w:t>
            </w:r>
          </w:p>
        </w:tc>
        <w:tc>
          <w:tcPr>
            <w:tcW w:w="1200" w:type="dxa"/>
            <w:tcBorders>
              <w:top w:val="nil"/>
              <w:left w:val="nil"/>
              <w:bottom w:val="single" w:sz="4" w:space="0" w:color="auto"/>
              <w:right w:val="single" w:sz="4" w:space="0" w:color="auto"/>
            </w:tcBorders>
            <w:shd w:val="clear" w:color="auto" w:fill="C6EFCE"/>
            <w:noWrap/>
            <w:vAlign w:val="center"/>
            <w:hideMark/>
          </w:tcPr>
          <w:p w14:paraId="364734E6" w14:textId="436ED94C" w:rsidR="00151CE5" w:rsidRPr="001961AA" w:rsidRDefault="00151CE5" w:rsidP="00151CE5">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T</w:t>
            </w:r>
          </w:p>
        </w:tc>
        <w:tc>
          <w:tcPr>
            <w:tcW w:w="1680" w:type="dxa"/>
            <w:tcBorders>
              <w:top w:val="nil"/>
              <w:left w:val="nil"/>
              <w:bottom w:val="single" w:sz="4" w:space="0" w:color="auto"/>
              <w:right w:val="single" w:sz="4" w:space="0" w:color="auto"/>
            </w:tcBorders>
            <w:shd w:val="clear" w:color="auto" w:fill="C6EFCE"/>
            <w:noWrap/>
            <w:vAlign w:val="center"/>
            <w:hideMark/>
          </w:tcPr>
          <w:p w14:paraId="64C53518" w14:textId="77777777" w:rsidR="00151CE5" w:rsidRPr="001961AA" w:rsidRDefault="00151CE5" w:rsidP="00151CE5">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Completion of works and crossroads with smart road traffic lights</w:t>
            </w:r>
          </w:p>
        </w:tc>
        <w:tc>
          <w:tcPr>
            <w:tcW w:w="1680" w:type="dxa"/>
            <w:tcBorders>
              <w:top w:val="nil"/>
              <w:left w:val="single" w:sz="4" w:space="0" w:color="auto"/>
              <w:bottom w:val="single" w:sz="4" w:space="0" w:color="auto"/>
              <w:right w:val="single" w:sz="4" w:space="0" w:color="auto"/>
            </w:tcBorders>
            <w:shd w:val="clear" w:color="auto" w:fill="C6EFCE"/>
            <w:noWrap/>
            <w:vAlign w:val="center"/>
            <w:hideMark/>
          </w:tcPr>
          <w:p w14:paraId="7C92B5E1" w14:textId="77777777" w:rsidR="00151CE5" w:rsidRPr="001961AA" w:rsidRDefault="00151CE5" w:rsidP="00151CE5">
            <w:pPr>
              <w:spacing w:after="0"/>
              <w:rPr>
                <w:rFonts w:ascii="Times New Roman" w:eastAsia="Times New Roman" w:hAnsi="Times New Roman" w:cs="Times New Roman"/>
                <w:noProof/>
                <w:color w:val="006100"/>
                <w:lang w:val="en-GB" w:eastAsia="en-GB"/>
              </w:rPr>
            </w:pPr>
          </w:p>
        </w:tc>
        <w:tc>
          <w:tcPr>
            <w:tcW w:w="1440" w:type="dxa"/>
            <w:tcBorders>
              <w:top w:val="nil"/>
              <w:left w:val="nil"/>
              <w:bottom w:val="single" w:sz="4" w:space="0" w:color="auto"/>
              <w:right w:val="single" w:sz="4" w:space="0" w:color="auto"/>
            </w:tcBorders>
            <w:shd w:val="clear" w:color="auto" w:fill="C6EFCE"/>
            <w:noWrap/>
            <w:vAlign w:val="center"/>
            <w:hideMark/>
          </w:tcPr>
          <w:p w14:paraId="2358629D" w14:textId="77777777" w:rsidR="00151CE5" w:rsidRPr="001961AA" w:rsidRDefault="00151CE5" w:rsidP="00151CE5">
            <w:pPr>
              <w:spacing w:after="0"/>
              <w:rPr>
                <w:rFonts w:ascii="Times New Roman" w:hAnsi="Times New Roman" w:cs="Times New Roman"/>
                <w:noProof/>
                <w:color w:val="006100"/>
                <w:lang w:val="en-GB"/>
              </w:rPr>
            </w:pPr>
            <w:r w:rsidRPr="001961AA">
              <w:rPr>
                <w:rFonts w:ascii="Times New Roman" w:hAnsi="Times New Roman"/>
                <w:noProof/>
                <w:color w:val="006100"/>
                <w:lang w:val="en-GB"/>
              </w:rPr>
              <w:t>Km:</w:t>
            </w:r>
          </w:p>
          <w:p w14:paraId="10CBEDD7" w14:textId="77777777" w:rsidR="00151CE5" w:rsidRPr="001961AA" w:rsidRDefault="00151CE5" w:rsidP="00151CE5">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Number of crossroads with smart road traffic lights in the centralised platform</w:t>
            </w:r>
          </w:p>
        </w:tc>
        <w:tc>
          <w:tcPr>
            <w:tcW w:w="1080" w:type="dxa"/>
            <w:tcBorders>
              <w:top w:val="nil"/>
              <w:left w:val="nil"/>
              <w:bottom w:val="single" w:sz="4" w:space="0" w:color="auto"/>
              <w:right w:val="single" w:sz="4" w:space="0" w:color="auto"/>
            </w:tcBorders>
            <w:shd w:val="clear" w:color="auto" w:fill="C6EFCE"/>
            <w:noWrap/>
            <w:vAlign w:val="center"/>
            <w:hideMark/>
          </w:tcPr>
          <w:p w14:paraId="44E65900" w14:textId="77777777" w:rsidR="00151CE5" w:rsidRPr="001961AA" w:rsidRDefault="00151CE5" w:rsidP="00151CE5">
            <w:pPr>
              <w:spacing w:after="0"/>
              <w:jc w:val="center"/>
              <w:rPr>
                <w:rFonts w:ascii="Times New Roman" w:hAnsi="Times New Roman" w:cs="Times New Roman"/>
                <w:noProof/>
                <w:color w:val="006100"/>
                <w:lang w:val="en-GB"/>
              </w:rPr>
            </w:pPr>
            <w:r w:rsidRPr="001961AA">
              <w:rPr>
                <w:rFonts w:ascii="Times New Roman" w:hAnsi="Times New Roman"/>
                <w:noProof/>
                <w:color w:val="006100"/>
                <w:lang w:val="en-GB"/>
              </w:rPr>
              <w:t>0</w:t>
            </w:r>
          </w:p>
          <w:p w14:paraId="3777EDC6" w14:textId="53F13E0C" w:rsidR="00151CE5" w:rsidRPr="001961AA" w:rsidRDefault="00151CE5" w:rsidP="00151CE5">
            <w:pPr>
              <w:spacing w:after="0"/>
              <w:jc w:val="right"/>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260</w:t>
            </w:r>
          </w:p>
        </w:tc>
        <w:tc>
          <w:tcPr>
            <w:tcW w:w="720" w:type="dxa"/>
            <w:tcBorders>
              <w:top w:val="nil"/>
              <w:left w:val="nil"/>
              <w:bottom w:val="single" w:sz="4" w:space="0" w:color="auto"/>
              <w:right w:val="single" w:sz="4" w:space="0" w:color="auto"/>
            </w:tcBorders>
            <w:shd w:val="clear" w:color="auto" w:fill="C6EFCE"/>
            <w:noWrap/>
            <w:vAlign w:val="center"/>
            <w:hideMark/>
          </w:tcPr>
          <w:p w14:paraId="6506067C" w14:textId="276F21EE" w:rsidR="00151CE5" w:rsidRPr="001961AA" w:rsidRDefault="00151CE5" w:rsidP="00151CE5">
            <w:pPr>
              <w:spacing w:after="0"/>
              <w:jc w:val="right"/>
              <w:rPr>
                <w:rFonts w:ascii="Times New Roman" w:hAnsi="Times New Roman" w:cs="Times New Roman"/>
                <w:noProof/>
                <w:color w:val="006100"/>
                <w:lang w:val="en-GB"/>
              </w:rPr>
            </w:pPr>
            <w:r w:rsidRPr="001961AA">
              <w:rPr>
                <w:rFonts w:ascii="Times New Roman" w:hAnsi="Times New Roman"/>
                <w:noProof/>
                <w:color w:val="006100"/>
                <w:lang w:val="en-GB"/>
              </w:rPr>
              <w:t>5.5</w:t>
            </w:r>
          </w:p>
          <w:p w14:paraId="337CBD3D" w14:textId="3333B6F6" w:rsidR="00151CE5" w:rsidRPr="001961AA" w:rsidRDefault="00151CE5" w:rsidP="00151CE5">
            <w:pPr>
              <w:spacing w:after="0"/>
              <w:jc w:val="right"/>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400</w:t>
            </w:r>
          </w:p>
        </w:tc>
        <w:tc>
          <w:tcPr>
            <w:tcW w:w="1080" w:type="dxa"/>
            <w:tcBorders>
              <w:top w:val="nil"/>
              <w:left w:val="nil"/>
              <w:bottom w:val="single" w:sz="4" w:space="0" w:color="auto"/>
              <w:right w:val="single" w:sz="4" w:space="0" w:color="auto"/>
            </w:tcBorders>
            <w:shd w:val="clear" w:color="auto" w:fill="C6EFCE"/>
            <w:noWrap/>
            <w:vAlign w:val="center"/>
            <w:hideMark/>
          </w:tcPr>
          <w:p w14:paraId="5374A68C" w14:textId="0843440F" w:rsidR="00151CE5" w:rsidRPr="001961AA" w:rsidRDefault="00151CE5" w:rsidP="00151CE5">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Q2</w:t>
            </w:r>
          </w:p>
        </w:tc>
        <w:tc>
          <w:tcPr>
            <w:tcW w:w="840" w:type="dxa"/>
            <w:tcBorders>
              <w:top w:val="nil"/>
              <w:left w:val="nil"/>
              <w:bottom w:val="single" w:sz="4" w:space="0" w:color="auto"/>
              <w:right w:val="single" w:sz="4" w:space="0" w:color="auto"/>
            </w:tcBorders>
            <w:shd w:val="clear" w:color="auto" w:fill="C6EFCE"/>
            <w:noWrap/>
            <w:vAlign w:val="center"/>
            <w:hideMark/>
          </w:tcPr>
          <w:p w14:paraId="3D263D73" w14:textId="0A1B7D70" w:rsidR="00151CE5" w:rsidRPr="001961AA" w:rsidRDefault="00151CE5" w:rsidP="00151CE5">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2026</w:t>
            </w:r>
          </w:p>
        </w:tc>
        <w:tc>
          <w:tcPr>
            <w:tcW w:w="3594" w:type="dxa"/>
            <w:tcBorders>
              <w:top w:val="nil"/>
              <w:left w:val="single" w:sz="4" w:space="0" w:color="auto"/>
              <w:bottom w:val="single" w:sz="4" w:space="0" w:color="auto"/>
              <w:right w:val="single" w:sz="4" w:space="0" w:color="auto"/>
            </w:tcBorders>
            <w:shd w:val="clear" w:color="auto" w:fill="C6EFCE"/>
            <w:noWrap/>
            <w:vAlign w:val="center"/>
            <w:hideMark/>
          </w:tcPr>
          <w:p w14:paraId="7F103087" w14:textId="4AF4D1EF" w:rsidR="00151CE5" w:rsidRPr="001961AA" w:rsidRDefault="00151CE5" w:rsidP="00151CE5">
            <w:pPr>
              <w:spacing w:after="0"/>
              <w:rPr>
                <w:rFonts w:ascii="Times New Roman" w:hAnsi="Times New Roman" w:cs="Times New Roman"/>
                <w:noProof/>
                <w:color w:val="006100"/>
                <w:lang w:val="en-GB"/>
              </w:rPr>
            </w:pPr>
            <w:r w:rsidRPr="001961AA">
              <w:rPr>
                <w:rFonts w:ascii="Times New Roman" w:hAnsi="Times New Roman"/>
                <w:noProof/>
                <w:color w:val="006100"/>
                <w:lang w:val="en-GB"/>
              </w:rPr>
              <w:t>Completion of works of 5.5 km additional public transport infrastructure for metro extension (Charleroi) and 400 crossroads with smart traffic lights for public transport busses are operational in a centralised road signalisation platform.</w:t>
            </w:r>
          </w:p>
        </w:tc>
      </w:tr>
      <w:tr w:rsidR="009E6286" w:rsidRPr="001961AA" w14:paraId="6D736F2A" w14:textId="77777777" w:rsidTr="009E6286">
        <w:trPr>
          <w:gridAfter w:val="1"/>
          <w:wAfter w:w="33" w:type="dxa"/>
          <w:trHeight w:val="309"/>
          <w:jc w:val="center"/>
        </w:trPr>
        <w:tc>
          <w:tcPr>
            <w:tcW w:w="696" w:type="dxa"/>
            <w:tcBorders>
              <w:top w:val="nil"/>
              <w:left w:val="single" w:sz="4" w:space="0" w:color="auto"/>
              <w:bottom w:val="single" w:sz="4" w:space="0" w:color="auto"/>
              <w:right w:val="single" w:sz="4" w:space="0" w:color="auto"/>
            </w:tcBorders>
            <w:shd w:val="clear" w:color="auto" w:fill="C6EFCE"/>
            <w:noWrap/>
            <w:vAlign w:val="center"/>
            <w:hideMark/>
          </w:tcPr>
          <w:p w14:paraId="69FC99A2"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102</w:t>
            </w:r>
          </w:p>
        </w:tc>
        <w:tc>
          <w:tcPr>
            <w:tcW w:w="1459" w:type="dxa"/>
            <w:tcBorders>
              <w:top w:val="nil"/>
              <w:left w:val="single" w:sz="4" w:space="0" w:color="auto"/>
              <w:bottom w:val="single" w:sz="4" w:space="0" w:color="auto"/>
              <w:right w:val="single" w:sz="4" w:space="0" w:color="auto"/>
            </w:tcBorders>
            <w:shd w:val="clear" w:color="auto" w:fill="C6EFCE"/>
            <w:noWrap/>
            <w:vAlign w:val="center"/>
            <w:hideMark/>
          </w:tcPr>
          <w:p w14:paraId="1A9EBE4F"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Enhancing public transport in Wallonia (I-3B)</w:t>
            </w:r>
          </w:p>
        </w:tc>
        <w:tc>
          <w:tcPr>
            <w:tcW w:w="1200" w:type="dxa"/>
            <w:tcBorders>
              <w:top w:val="nil"/>
              <w:left w:val="nil"/>
              <w:bottom w:val="single" w:sz="4" w:space="0" w:color="auto"/>
              <w:right w:val="single" w:sz="4" w:space="0" w:color="auto"/>
            </w:tcBorders>
            <w:shd w:val="clear" w:color="auto" w:fill="C6EFCE"/>
            <w:noWrap/>
            <w:vAlign w:val="center"/>
            <w:hideMark/>
          </w:tcPr>
          <w:p w14:paraId="56F7AA19" w14:textId="6C344DC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M</w:t>
            </w:r>
          </w:p>
        </w:tc>
        <w:tc>
          <w:tcPr>
            <w:tcW w:w="1680" w:type="dxa"/>
            <w:tcBorders>
              <w:top w:val="nil"/>
              <w:left w:val="nil"/>
              <w:bottom w:val="single" w:sz="4" w:space="0" w:color="auto"/>
              <w:right w:val="single" w:sz="4" w:space="0" w:color="auto"/>
            </w:tcBorders>
            <w:shd w:val="clear" w:color="auto" w:fill="C6EFCE"/>
            <w:noWrap/>
            <w:vAlign w:val="center"/>
            <w:hideMark/>
          </w:tcPr>
          <w:p w14:paraId="76457345" w14:textId="2D26ADD8"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Signature of revised public service contract of OTW (‘Opérateur de Transport de Wallonie’)</w:t>
            </w:r>
          </w:p>
        </w:tc>
        <w:tc>
          <w:tcPr>
            <w:tcW w:w="1680" w:type="dxa"/>
            <w:tcBorders>
              <w:top w:val="nil"/>
              <w:left w:val="single" w:sz="4" w:space="0" w:color="auto"/>
              <w:bottom w:val="single" w:sz="4" w:space="0" w:color="auto"/>
              <w:right w:val="single" w:sz="4" w:space="0" w:color="auto"/>
            </w:tcBorders>
            <w:shd w:val="clear" w:color="auto" w:fill="C6EFCE"/>
            <w:noWrap/>
            <w:vAlign w:val="center"/>
            <w:hideMark/>
          </w:tcPr>
          <w:p w14:paraId="61641760" w14:textId="3FE80026"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Revised public service contract of OTW (‘Opérateur de Transport de Wallonie’)</w:t>
            </w:r>
          </w:p>
        </w:tc>
        <w:tc>
          <w:tcPr>
            <w:tcW w:w="1440" w:type="dxa"/>
            <w:tcBorders>
              <w:top w:val="nil"/>
              <w:left w:val="nil"/>
              <w:bottom w:val="single" w:sz="4" w:space="0" w:color="auto"/>
              <w:right w:val="single" w:sz="4" w:space="0" w:color="auto"/>
            </w:tcBorders>
            <w:shd w:val="clear" w:color="auto" w:fill="C6EFCE"/>
            <w:noWrap/>
            <w:vAlign w:val="center"/>
            <w:hideMark/>
          </w:tcPr>
          <w:p w14:paraId="57E19AB6" w14:textId="72D72952"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1080" w:type="dxa"/>
            <w:tcBorders>
              <w:top w:val="nil"/>
              <w:left w:val="nil"/>
              <w:bottom w:val="single" w:sz="4" w:space="0" w:color="auto"/>
              <w:right w:val="single" w:sz="4" w:space="0" w:color="auto"/>
            </w:tcBorders>
            <w:shd w:val="clear" w:color="auto" w:fill="C6EFCE"/>
            <w:noWrap/>
            <w:vAlign w:val="center"/>
            <w:hideMark/>
          </w:tcPr>
          <w:p w14:paraId="04F913FC" w14:textId="5E4AB38E"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720" w:type="dxa"/>
            <w:tcBorders>
              <w:top w:val="nil"/>
              <w:left w:val="nil"/>
              <w:bottom w:val="single" w:sz="4" w:space="0" w:color="auto"/>
              <w:right w:val="single" w:sz="4" w:space="0" w:color="auto"/>
            </w:tcBorders>
            <w:shd w:val="clear" w:color="auto" w:fill="C6EFCE"/>
            <w:noWrap/>
            <w:vAlign w:val="center"/>
            <w:hideMark/>
          </w:tcPr>
          <w:p w14:paraId="6280522F" w14:textId="0CCE3818"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1080" w:type="dxa"/>
            <w:tcBorders>
              <w:top w:val="nil"/>
              <w:left w:val="nil"/>
              <w:bottom w:val="single" w:sz="4" w:space="0" w:color="auto"/>
              <w:right w:val="single" w:sz="4" w:space="0" w:color="auto"/>
            </w:tcBorders>
            <w:shd w:val="clear" w:color="auto" w:fill="C6EFCE"/>
            <w:noWrap/>
            <w:vAlign w:val="center"/>
            <w:hideMark/>
          </w:tcPr>
          <w:p w14:paraId="6FDDB248"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Q2</w:t>
            </w:r>
          </w:p>
        </w:tc>
        <w:tc>
          <w:tcPr>
            <w:tcW w:w="840" w:type="dxa"/>
            <w:tcBorders>
              <w:top w:val="nil"/>
              <w:left w:val="nil"/>
              <w:bottom w:val="single" w:sz="4" w:space="0" w:color="auto"/>
              <w:right w:val="single" w:sz="4" w:space="0" w:color="auto"/>
            </w:tcBorders>
            <w:shd w:val="clear" w:color="auto" w:fill="C6EFCE"/>
            <w:noWrap/>
            <w:vAlign w:val="center"/>
            <w:hideMark/>
          </w:tcPr>
          <w:p w14:paraId="270D72DD"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2024</w:t>
            </w:r>
          </w:p>
        </w:tc>
        <w:tc>
          <w:tcPr>
            <w:tcW w:w="3594" w:type="dxa"/>
            <w:tcBorders>
              <w:top w:val="nil"/>
              <w:left w:val="single" w:sz="4" w:space="0" w:color="auto"/>
              <w:bottom w:val="single" w:sz="4" w:space="0" w:color="auto"/>
              <w:right w:val="single" w:sz="4" w:space="0" w:color="auto"/>
            </w:tcBorders>
            <w:shd w:val="clear" w:color="auto" w:fill="C6EFCE"/>
            <w:noWrap/>
            <w:vAlign w:val="center"/>
            <w:hideMark/>
          </w:tcPr>
          <w:p w14:paraId="49FC41C1" w14:textId="68148BB5" w:rsidR="006A41D9" w:rsidRPr="001961AA" w:rsidRDefault="001B3C0D"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Signature of the revised public service contract of OTW (‘Opérateur de Transport de Wallonie’) with committed compensation for the additional operational expenditure of the metro of Charleroi.</w:t>
            </w:r>
          </w:p>
        </w:tc>
      </w:tr>
      <w:tr w:rsidR="009E6286" w:rsidRPr="001961AA" w14:paraId="68D2693A" w14:textId="77777777" w:rsidTr="009E6286">
        <w:trPr>
          <w:trHeight w:val="309"/>
          <w:jc w:val="center"/>
        </w:trPr>
        <w:tc>
          <w:tcPr>
            <w:tcW w:w="696" w:type="dxa"/>
            <w:tcBorders>
              <w:top w:val="nil"/>
              <w:left w:val="single" w:sz="4" w:space="0" w:color="auto"/>
              <w:bottom w:val="single" w:sz="4" w:space="0" w:color="auto"/>
              <w:right w:val="single" w:sz="4" w:space="0" w:color="auto"/>
            </w:tcBorders>
            <w:shd w:val="clear" w:color="auto" w:fill="C6EFCE"/>
            <w:vAlign w:val="center"/>
            <w:hideMark/>
          </w:tcPr>
          <w:p w14:paraId="007C873D"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103</w:t>
            </w:r>
          </w:p>
        </w:tc>
        <w:tc>
          <w:tcPr>
            <w:tcW w:w="1459" w:type="dxa"/>
            <w:tcBorders>
              <w:top w:val="nil"/>
              <w:left w:val="single" w:sz="4" w:space="0" w:color="auto"/>
              <w:bottom w:val="single" w:sz="4" w:space="0" w:color="auto"/>
              <w:right w:val="single" w:sz="4" w:space="0" w:color="auto"/>
            </w:tcBorders>
            <w:shd w:val="clear" w:color="auto" w:fill="C6EFCE"/>
            <w:vAlign w:val="center"/>
            <w:hideMark/>
          </w:tcPr>
          <w:p w14:paraId="445CCEB4"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Rail refurbishment and station accessibility works (I-3C)</w:t>
            </w:r>
          </w:p>
        </w:tc>
        <w:tc>
          <w:tcPr>
            <w:tcW w:w="1200" w:type="dxa"/>
            <w:tcBorders>
              <w:top w:val="nil"/>
              <w:left w:val="nil"/>
              <w:bottom w:val="single" w:sz="4" w:space="0" w:color="auto"/>
              <w:right w:val="single" w:sz="4" w:space="0" w:color="auto"/>
            </w:tcBorders>
            <w:shd w:val="clear" w:color="auto" w:fill="C6EFCE"/>
            <w:vAlign w:val="center"/>
            <w:hideMark/>
          </w:tcPr>
          <w:p w14:paraId="3772BB4A" w14:textId="2BC67625"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T</w:t>
            </w:r>
          </w:p>
        </w:tc>
        <w:tc>
          <w:tcPr>
            <w:tcW w:w="1680" w:type="dxa"/>
            <w:tcBorders>
              <w:top w:val="nil"/>
              <w:left w:val="nil"/>
              <w:bottom w:val="single" w:sz="4" w:space="0" w:color="auto"/>
              <w:right w:val="single" w:sz="4" w:space="0" w:color="auto"/>
            </w:tcBorders>
            <w:shd w:val="clear" w:color="auto" w:fill="C6EFCE"/>
            <w:vAlign w:val="center"/>
            <w:hideMark/>
          </w:tcPr>
          <w:p w14:paraId="4787DA67"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Completion of rail refurbishment and modernisation works and station accessibility works (step 1)</w:t>
            </w:r>
          </w:p>
        </w:tc>
        <w:tc>
          <w:tcPr>
            <w:tcW w:w="1680" w:type="dxa"/>
            <w:tcBorders>
              <w:top w:val="nil"/>
              <w:left w:val="single" w:sz="4" w:space="0" w:color="auto"/>
              <w:bottom w:val="single" w:sz="4" w:space="0" w:color="auto"/>
              <w:right w:val="single" w:sz="4" w:space="0" w:color="auto"/>
            </w:tcBorders>
            <w:shd w:val="clear" w:color="auto" w:fill="C6EFCE"/>
            <w:vAlign w:val="center"/>
            <w:hideMark/>
          </w:tcPr>
          <w:p w14:paraId="41D27710" w14:textId="77777777" w:rsidR="006A41D9" w:rsidRPr="001961AA" w:rsidRDefault="006A41D9" w:rsidP="00BD6DD1">
            <w:pPr>
              <w:spacing w:after="0"/>
              <w:rPr>
                <w:rFonts w:ascii="Times New Roman" w:hAnsi="Times New Roman" w:cs="Times New Roman"/>
                <w:noProof/>
                <w:color w:val="006100"/>
                <w:lang w:val="en-GB" w:eastAsia="en-GB"/>
              </w:rPr>
            </w:pPr>
          </w:p>
        </w:tc>
        <w:tc>
          <w:tcPr>
            <w:tcW w:w="1440" w:type="dxa"/>
            <w:tcBorders>
              <w:top w:val="nil"/>
              <w:left w:val="nil"/>
              <w:bottom w:val="single" w:sz="4" w:space="0" w:color="auto"/>
              <w:right w:val="single" w:sz="4" w:space="0" w:color="auto"/>
            </w:tcBorders>
            <w:shd w:val="clear" w:color="auto" w:fill="C6EFCE"/>
            <w:vAlign w:val="center"/>
            <w:hideMark/>
          </w:tcPr>
          <w:p w14:paraId="422E6BE4"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Completed works</w:t>
            </w:r>
          </w:p>
        </w:tc>
        <w:tc>
          <w:tcPr>
            <w:tcW w:w="1080" w:type="dxa"/>
            <w:tcBorders>
              <w:top w:val="nil"/>
              <w:left w:val="nil"/>
              <w:bottom w:val="single" w:sz="4" w:space="0" w:color="auto"/>
              <w:right w:val="single" w:sz="4" w:space="0" w:color="auto"/>
            </w:tcBorders>
            <w:shd w:val="clear" w:color="auto" w:fill="C6EFCE"/>
            <w:vAlign w:val="center"/>
            <w:hideMark/>
          </w:tcPr>
          <w:p w14:paraId="09EDE3D2"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0</w:t>
            </w:r>
          </w:p>
        </w:tc>
        <w:tc>
          <w:tcPr>
            <w:tcW w:w="720" w:type="dxa"/>
            <w:tcBorders>
              <w:top w:val="nil"/>
              <w:left w:val="nil"/>
              <w:bottom w:val="single" w:sz="4" w:space="0" w:color="auto"/>
              <w:right w:val="single" w:sz="4" w:space="0" w:color="auto"/>
            </w:tcBorders>
            <w:shd w:val="clear" w:color="auto" w:fill="C6EFCE"/>
            <w:vAlign w:val="center"/>
            <w:hideMark/>
          </w:tcPr>
          <w:p w14:paraId="0649A88A" w14:textId="4859EF10"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32</w:t>
            </w:r>
          </w:p>
        </w:tc>
        <w:tc>
          <w:tcPr>
            <w:tcW w:w="1080" w:type="dxa"/>
            <w:tcBorders>
              <w:top w:val="nil"/>
              <w:left w:val="nil"/>
              <w:bottom w:val="single" w:sz="4" w:space="0" w:color="auto"/>
              <w:right w:val="single" w:sz="4" w:space="0" w:color="auto"/>
            </w:tcBorders>
            <w:shd w:val="clear" w:color="auto" w:fill="C6EFCE"/>
            <w:vAlign w:val="center"/>
            <w:hideMark/>
          </w:tcPr>
          <w:p w14:paraId="52D360EB"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Q3</w:t>
            </w:r>
          </w:p>
        </w:tc>
        <w:tc>
          <w:tcPr>
            <w:tcW w:w="840" w:type="dxa"/>
            <w:tcBorders>
              <w:top w:val="nil"/>
              <w:left w:val="nil"/>
              <w:bottom w:val="single" w:sz="4" w:space="0" w:color="auto"/>
              <w:right w:val="single" w:sz="4" w:space="0" w:color="auto"/>
            </w:tcBorders>
            <w:shd w:val="clear" w:color="auto" w:fill="C6EFCE"/>
            <w:vAlign w:val="center"/>
            <w:hideMark/>
          </w:tcPr>
          <w:p w14:paraId="1239E659"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2022</w:t>
            </w:r>
          </w:p>
        </w:tc>
        <w:tc>
          <w:tcPr>
            <w:tcW w:w="3627" w:type="dxa"/>
            <w:gridSpan w:val="2"/>
            <w:tcBorders>
              <w:top w:val="nil"/>
              <w:left w:val="single" w:sz="4" w:space="0" w:color="auto"/>
              <w:bottom w:val="single" w:sz="4" w:space="0" w:color="auto"/>
              <w:right w:val="single" w:sz="4" w:space="0" w:color="auto"/>
            </w:tcBorders>
            <w:shd w:val="clear" w:color="auto" w:fill="C6EFCE"/>
            <w:vAlign w:val="center"/>
            <w:hideMark/>
          </w:tcPr>
          <w:p w14:paraId="5246A90A" w14:textId="687B5084" w:rsidR="006A41D9" w:rsidRPr="001961AA" w:rsidRDefault="006A41D9" w:rsidP="00BD6DD1">
            <w:pPr>
              <w:spacing w:after="0" w:line="240" w:lineRule="auto"/>
              <w:textAlignment w:val="baseline"/>
              <w:rPr>
                <w:rFonts w:ascii="Times New Roman" w:hAnsi="Times New Roman" w:cs="Times New Roman"/>
                <w:noProof/>
                <w:color w:val="006100"/>
                <w:lang w:val="en-GB"/>
              </w:rPr>
            </w:pPr>
            <w:r w:rsidRPr="001961AA">
              <w:rPr>
                <w:rFonts w:ascii="Times New Roman" w:hAnsi="Times New Roman"/>
                <w:noProof/>
                <w:color w:val="006100"/>
                <w:lang w:val="en-GB"/>
              </w:rPr>
              <w:t>Completion of 27 interventions to upgrade rail infrastructure (I-3.10) and make 5 stations accessible (I-3.09) in accordance with Commission Regulation (EU) No 1300/2014 on at least 4 criteria:</w:t>
            </w:r>
          </w:p>
          <w:p w14:paraId="7BCFD41F" w14:textId="77777777" w:rsidR="006A41D9" w:rsidRPr="001961AA" w:rsidRDefault="006A41D9" w:rsidP="00BD6DD1">
            <w:pPr>
              <w:spacing w:after="0" w:line="240" w:lineRule="auto"/>
              <w:textAlignment w:val="baseline"/>
              <w:rPr>
                <w:rFonts w:ascii="Times New Roman" w:hAnsi="Times New Roman" w:cs="Times New Roman"/>
                <w:noProof/>
                <w:color w:val="006100"/>
                <w:lang w:val="en-GB"/>
              </w:rPr>
            </w:pPr>
            <w:r w:rsidRPr="001961AA">
              <w:rPr>
                <w:rFonts w:ascii="Times New Roman" w:hAnsi="Times New Roman"/>
                <w:noProof/>
                <w:color w:val="006100"/>
                <w:lang w:val="en-GB"/>
              </w:rPr>
              <w:t>- high platforms (76cm);</w:t>
            </w:r>
          </w:p>
          <w:p w14:paraId="6F09B440" w14:textId="77777777" w:rsidR="006A41D9" w:rsidRPr="001961AA" w:rsidRDefault="006A41D9" w:rsidP="00BD6DD1">
            <w:pPr>
              <w:spacing w:after="0" w:line="240" w:lineRule="auto"/>
              <w:textAlignment w:val="baseline"/>
              <w:rPr>
                <w:rFonts w:ascii="Times New Roman" w:hAnsi="Times New Roman" w:cs="Times New Roman"/>
                <w:noProof/>
                <w:color w:val="006100"/>
                <w:lang w:val="en-GB"/>
              </w:rPr>
            </w:pPr>
            <w:r w:rsidRPr="001961AA">
              <w:rPr>
                <w:rFonts w:ascii="Times New Roman" w:hAnsi="Times New Roman"/>
                <w:noProof/>
                <w:color w:val="006100"/>
                <w:lang w:val="en-GB"/>
              </w:rPr>
              <w:t>- platforms accessible through ramps or lifts;</w:t>
            </w:r>
          </w:p>
          <w:p w14:paraId="6254F95A" w14:textId="77777777" w:rsidR="006A41D9" w:rsidRPr="001961AA" w:rsidRDefault="006A41D9" w:rsidP="00BD6DD1">
            <w:pPr>
              <w:spacing w:after="0" w:line="240" w:lineRule="auto"/>
              <w:textAlignment w:val="baseline"/>
              <w:rPr>
                <w:rFonts w:ascii="Times New Roman" w:hAnsi="Times New Roman" w:cs="Times New Roman"/>
                <w:noProof/>
                <w:color w:val="006100"/>
                <w:lang w:val="en-GB"/>
              </w:rPr>
            </w:pPr>
            <w:r w:rsidRPr="001961AA">
              <w:rPr>
                <w:rFonts w:ascii="Times New Roman" w:hAnsi="Times New Roman"/>
                <w:noProof/>
                <w:color w:val="006100"/>
                <w:lang w:val="en-GB"/>
              </w:rPr>
              <w:t>- tactile warning surface guiding system; and</w:t>
            </w:r>
          </w:p>
          <w:p w14:paraId="0B0E7B30" w14:textId="0AD1EF4C" w:rsidR="006A41D9" w:rsidRPr="001961AA" w:rsidRDefault="006A41D9" w:rsidP="000972A8">
            <w:pPr>
              <w:spacing w:after="0" w:line="240" w:lineRule="auto"/>
              <w:textAlignment w:val="baseline"/>
              <w:rPr>
                <w:rFonts w:ascii="Times New Roman" w:hAnsi="Times New Roman" w:cs="Times New Roman"/>
                <w:noProof/>
                <w:color w:val="006100"/>
                <w:lang w:val="en-GB"/>
              </w:rPr>
            </w:pPr>
            <w:r w:rsidRPr="001961AA">
              <w:rPr>
                <w:rFonts w:ascii="Times New Roman" w:hAnsi="Times New Roman"/>
                <w:noProof/>
                <w:color w:val="006100"/>
                <w:lang w:val="en-GB"/>
              </w:rPr>
              <w:t xml:space="preserve">- at least one ticket vending machine accessible to persons with reduced mobility. </w:t>
            </w:r>
          </w:p>
          <w:p w14:paraId="180DE9E3" w14:textId="32CEC259" w:rsidR="005F2252" w:rsidRPr="001961AA" w:rsidRDefault="005F2252" w:rsidP="000972A8">
            <w:pPr>
              <w:spacing w:after="0" w:line="240" w:lineRule="auto"/>
              <w:textAlignment w:val="baseline"/>
              <w:rPr>
                <w:rFonts w:ascii="Times New Roman" w:hAnsi="Times New Roman" w:cs="Times New Roman"/>
                <w:noProof/>
                <w:color w:val="006100"/>
                <w:lang w:val="en-GB"/>
              </w:rPr>
            </w:pPr>
            <w:r w:rsidRPr="001961AA">
              <w:rPr>
                <w:rFonts w:ascii="Times New Roman" w:hAnsi="Times New Roman"/>
                <w:noProof/>
                <w:color w:val="006100"/>
                <w:lang w:val="en-GB"/>
              </w:rPr>
              <w:t>And add 6000 bicycle parking spaces.</w:t>
            </w:r>
          </w:p>
        </w:tc>
      </w:tr>
      <w:tr w:rsidR="009E6286" w:rsidRPr="001961AA" w14:paraId="5C4A2939" w14:textId="77777777" w:rsidTr="009E6286">
        <w:trPr>
          <w:trHeight w:val="309"/>
          <w:jc w:val="center"/>
        </w:trPr>
        <w:tc>
          <w:tcPr>
            <w:tcW w:w="696" w:type="dxa"/>
            <w:tcBorders>
              <w:top w:val="single" w:sz="4" w:space="0" w:color="auto"/>
              <w:left w:val="single" w:sz="4" w:space="0" w:color="auto"/>
              <w:bottom w:val="single" w:sz="4" w:space="0" w:color="auto"/>
              <w:right w:val="single" w:sz="4" w:space="0" w:color="auto"/>
            </w:tcBorders>
            <w:shd w:val="clear" w:color="auto" w:fill="C6EFCE"/>
            <w:vAlign w:val="center"/>
          </w:tcPr>
          <w:p w14:paraId="6B1BC603"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104</w:t>
            </w:r>
          </w:p>
        </w:tc>
        <w:tc>
          <w:tcPr>
            <w:tcW w:w="1459" w:type="dxa"/>
            <w:tcBorders>
              <w:top w:val="nil"/>
              <w:left w:val="single" w:sz="4" w:space="0" w:color="auto"/>
              <w:bottom w:val="single" w:sz="4" w:space="0" w:color="auto"/>
              <w:right w:val="single" w:sz="4" w:space="0" w:color="auto"/>
            </w:tcBorders>
            <w:shd w:val="clear" w:color="auto" w:fill="C6EFCE"/>
            <w:vAlign w:val="center"/>
          </w:tcPr>
          <w:p w14:paraId="2388492B" w14:textId="77777777" w:rsidR="006A41D9" w:rsidRPr="001961AA" w:rsidRDefault="006A41D9" w:rsidP="00BD6DD1">
            <w:pPr>
              <w:spacing w:after="0"/>
              <w:rPr>
                <w:rFonts w:ascii="Times New Roman" w:hAnsi="Times New Roman" w:cs="Times New Roman"/>
                <w:noProof/>
                <w:color w:val="006100"/>
                <w:lang w:val="en-GB"/>
              </w:rPr>
            </w:pPr>
            <w:r w:rsidRPr="001961AA">
              <w:rPr>
                <w:rFonts w:ascii="Times New Roman" w:hAnsi="Times New Roman"/>
                <w:noProof/>
                <w:color w:val="006100"/>
                <w:lang w:val="en-GB"/>
              </w:rPr>
              <w:t>Rail refurbishment and station accessibility works (I-3C)</w:t>
            </w:r>
          </w:p>
        </w:tc>
        <w:tc>
          <w:tcPr>
            <w:tcW w:w="1200" w:type="dxa"/>
            <w:tcBorders>
              <w:top w:val="nil"/>
              <w:left w:val="nil"/>
              <w:bottom w:val="single" w:sz="4" w:space="0" w:color="auto"/>
              <w:right w:val="single" w:sz="4" w:space="0" w:color="auto"/>
            </w:tcBorders>
            <w:shd w:val="clear" w:color="auto" w:fill="C6EFCE"/>
            <w:vAlign w:val="center"/>
          </w:tcPr>
          <w:p w14:paraId="3E6BB5A3" w14:textId="5D86E2BC" w:rsidR="006A41D9" w:rsidRPr="001961AA" w:rsidRDefault="006A41D9" w:rsidP="00BD6DD1">
            <w:pPr>
              <w:spacing w:after="0"/>
              <w:rPr>
                <w:rFonts w:ascii="Times New Roman" w:hAnsi="Times New Roman" w:cs="Times New Roman"/>
                <w:noProof/>
                <w:color w:val="006100"/>
                <w:lang w:val="en-GB"/>
              </w:rPr>
            </w:pPr>
            <w:r w:rsidRPr="001961AA">
              <w:rPr>
                <w:rFonts w:ascii="Times New Roman" w:hAnsi="Times New Roman"/>
                <w:noProof/>
                <w:color w:val="006100"/>
                <w:lang w:val="en-GB"/>
              </w:rPr>
              <w:t>T</w:t>
            </w:r>
          </w:p>
        </w:tc>
        <w:tc>
          <w:tcPr>
            <w:tcW w:w="1680" w:type="dxa"/>
            <w:tcBorders>
              <w:top w:val="nil"/>
              <w:left w:val="nil"/>
              <w:bottom w:val="single" w:sz="4" w:space="0" w:color="auto"/>
              <w:right w:val="single" w:sz="4" w:space="0" w:color="auto"/>
            </w:tcBorders>
            <w:shd w:val="clear" w:color="auto" w:fill="C6EFCE"/>
            <w:vAlign w:val="center"/>
          </w:tcPr>
          <w:p w14:paraId="4523FED6" w14:textId="77777777" w:rsidR="006A41D9" w:rsidRPr="001961AA" w:rsidRDefault="006A41D9" w:rsidP="00BD6DD1">
            <w:pPr>
              <w:spacing w:after="0"/>
              <w:rPr>
                <w:rFonts w:ascii="Times New Roman" w:hAnsi="Times New Roman" w:cs="Times New Roman"/>
                <w:noProof/>
                <w:color w:val="006100"/>
                <w:lang w:val="en-GB"/>
              </w:rPr>
            </w:pPr>
            <w:r w:rsidRPr="001961AA">
              <w:rPr>
                <w:rFonts w:ascii="Times New Roman" w:hAnsi="Times New Roman"/>
                <w:noProof/>
                <w:color w:val="006100"/>
                <w:lang w:val="en-GB"/>
              </w:rPr>
              <w:t>Completion of rail refurbishment and modernisation works and station accessibility works (step 2)</w:t>
            </w:r>
          </w:p>
        </w:tc>
        <w:tc>
          <w:tcPr>
            <w:tcW w:w="1680" w:type="dxa"/>
            <w:tcBorders>
              <w:top w:val="nil"/>
              <w:left w:val="single" w:sz="4" w:space="0" w:color="auto"/>
              <w:bottom w:val="single" w:sz="4" w:space="0" w:color="auto"/>
              <w:right w:val="single" w:sz="4" w:space="0" w:color="auto"/>
            </w:tcBorders>
            <w:shd w:val="clear" w:color="auto" w:fill="C6EFCE"/>
            <w:vAlign w:val="center"/>
          </w:tcPr>
          <w:p w14:paraId="10F442AB" w14:textId="77777777" w:rsidR="006A41D9" w:rsidRPr="001961AA" w:rsidRDefault="006A41D9" w:rsidP="00BD6DD1">
            <w:pPr>
              <w:spacing w:after="0"/>
              <w:rPr>
                <w:rFonts w:ascii="Times New Roman" w:hAnsi="Times New Roman" w:cs="Times New Roman"/>
                <w:noProof/>
                <w:color w:val="006100"/>
                <w:lang w:val="en-GB" w:eastAsia="en-GB"/>
              </w:rPr>
            </w:pPr>
          </w:p>
        </w:tc>
        <w:tc>
          <w:tcPr>
            <w:tcW w:w="1440" w:type="dxa"/>
            <w:tcBorders>
              <w:top w:val="nil"/>
              <w:left w:val="nil"/>
              <w:bottom w:val="single" w:sz="4" w:space="0" w:color="auto"/>
              <w:right w:val="single" w:sz="4" w:space="0" w:color="auto"/>
            </w:tcBorders>
            <w:shd w:val="clear" w:color="auto" w:fill="C6EFCE"/>
            <w:vAlign w:val="center"/>
          </w:tcPr>
          <w:p w14:paraId="05AE5551"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Completed works</w:t>
            </w:r>
          </w:p>
        </w:tc>
        <w:tc>
          <w:tcPr>
            <w:tcW w:w="1080" w:type="dxa"/>
            <w:tcBorders>
              <w:top w:val="nil"/>
              <w:left w:val="nil"/>
              <w:bottom w:val="single" w:sz="4" w:space="0" w:color="auto"/>
              <w:right w:val="single" w:sz="4" w:space="0" w:color="auto"/>
            </w:tcBorders>
            <w:shd w:val="clear" w:color="auto" w:fill="C6EFCE"/>
            <w:vAlign w:val="center"/>
          </w:tcPr>
          <w:p w14:paraId="0C0BCAF0"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32</w:t>
            </w:r>
          </w:p>
        </w:tc>
        <w:tc>
          <w:tcPr>
            <w:tcW w:w="720" w:type="dxa"/>
            <w:tcBorders>
              <w:top w:val="nil"/>
              <w:left w:val="nil"/>
              <w:bottom w:val="single" w:sz="4" w:space="0" w:color="auto"/>
              <w:right w:val="single" w:sz="4" w:space="0" w:color="auto"/>
            </w:tcBorders>
            <w:shd w:val="clear" w:color="auto" w:fill="C6EFCE"/>
            <w:vAlign w:val="center"/>
          </w:tcPr>
          <w:p w14:paraId="3B7509BE"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62</w:t>
            </w:r>
          </w:p>
        </w:tc>
        <w:tc>
          <w:tcPr>
            <w:tcW w:w="1080" w:type="dxa"/>
            <w:tcBorders>
              <w:top w:val="nil"/>
              <w:left w:val="nil"/>
              <w:bottom w:val="single" w:sz="4" w:space="0" w:color="auto"/>
              <w:right w:val="single" w:sz="4" w:space="0" w:color="auto"/>
            </w:tcBorders>
            <w:shd w:val="clear" w:color="auto" w:fill="C6EFCE"/>
            <w:vAlign w:val="center"/>
          </w:tcPr>
          <w:p w14:paraId="14038C7A"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Q3</w:t>
            </w:r>
          </w:p>
        </w:tc>
        <w:tc>
          <w:tcPr>
            <w:tcW w:w="840" w:type="dxa"/>
            <w:tcBorders>
              <w:top w:val="nil"/>
              <w:left w:val="nil"/>
              <w:bottom w:val="single" w:sz="4" w:space="0" w:color="auto"/>
              <w:right w:val="single" w:sz="4" w:space="0" w:color="auto"/>
            </w:tcBorders>
            <w:shd w:val="clear" w:color="auto" w:fill="C6EFCE"/>
            <w:vAlign w:val="center"/>
          </w:tcPr>
          <w:p w14:paraId="6730DE9D"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2023</w:t>
            </w:r>
          </w:p>
        </w:tc>
        <w:tc>
          <w:tcPr>
            <w:tcW w:w="3627" w:type="dxa"/>
            <w:gridSpan w:val="2"/>
            <w:tcBorders>
              <w:top w:val="nil"/>
              <w:left w:val="single" w:sz="4" w:space="0" w:color="auto"/>
              <w:bottom w:val="single" w:sz="4" w:space="0" w:color="auto"/>
              <w:right w:val="single" w:sz="4" w:space="0" w:color="auto"/>
            </w:tcBorders>
            <w:shd w:val="clear" w:color="auto" w:fill="C6EFCE"/>
            <w:vAlign w:val="center"/>
          </w:tcPr>
          <w:p w14:paraId="58D91303" w14:textId="32D5FD31" w:rsidR="006A41D9" w:rsidRPr="001961AA" w:rsidRDefault="006A41D9" w:rsidP="00BD6DD1">
            <w:pPr>
              <w:spacing w:after="0"/>
              <w:rPr>
                <w:rFonts w:ascii="Times New Roman" w:hAnsi="Times New Roman" w:cs="Times New Roman"/>
                <w:noProof/>
                <w:color w:val="006100"/>
                <w:lang w:val="en-GB"/>
              </w:rPr>
            </w:pPr>
            <w:r w:rsidRPr="001961AA">
              <w:rPr>
                <w:rFonts w:ascii="Times New Roman" w:hAnsi="Times New Roman"/>
                <w:noProof/>
                <w:color w:val="006100"/>
                <w:lang w:val="en-GB"/>
              </w:rPr>
              <w:t>Completion of 50interventions to upgrade rail infrastructure (I-3.10), and make 12 stations accessible (I-3.09) in accordance with Commission Regulation (EU) No 1300/2014 on at least 4 criteria:</w:t>
            </w:r>
          </w:p>
          <w:p w14:paraId="1ABB3C19" w14:textId="77777777" w:rsidR="006A41D9" w:rsidRPr="001961AA" w:rsidRDefault="006A41D9" w:rsidP="00BD6DD1">
            <w:pPr>
              <w:spacing w:after="0"/>
              <w:rPr>
                <w:rFonts w:ascii="Times New Roman" w:hAnsi="Times New Roman" w:cs="Times New Roman"/>
                <w:noProof/>
                <w:color w:val="006100"/>
                <w:lang w:val="en-GB"/>
              </w:rPr>
            </w:pPr>
            <w:r w:rsidRPr="001961AA">
              <w:rPr>
                <w:rFonts w:ascii="Times New Roman" w:hAnsi="Times New Roman"/>
                <w:noProof/>
                <w:color w:val="006100"/>
                <w:lang w:val="en-GB"/>
              </w:rPr>
              <w:t>- high platforms (76cm);</w:t>
            </w:r>
          </w:p>
          <w:p w14:paraId="1BFD550A" w14:textId="77777777" w:rsidR="006A41D9" w:rsidRPr="001961AA" w:rsidRDefault="006A41D9" w:rsidP="00BD6DD1">
            <w:pPr>
              <w:spacing w:after="0"/>
              <w:rPr>
                <w:rFonts w:ascii="Times New Roman" w:hAnsi="Times New Roman" w:cs="Times New Roman"/>
                <w:noProof/>
                <w:color w:val="006100"/>
                <w:lang w:val="en-GB"/>
              </w:rPr>
            </w:pPr>
            <w:r w:rsidRPr="001961AA">
              <w:rPr>
                <w:rFonts w:ascii="Times New Roman" w:hAnsi="Times New Roman"/>
                <w:noProof/>
                <w:color w:val="006100"/>
                <w:lang w:val="en-GB"/>
              </w:rPr>
              <w:t>- platforms accessible through ramps or lifts;</w:t>
            </w:r>
          </w:p>
          <w:p w14:paraId="60B41ED2" w14:textId="77777777" w:rsidR="006A41D9" w:rsidRPr="001961AA" w:rsidRDefault="006A41D9" w:rsidP="00BD6DD1">
            <w:pPr>
              <w:spacing w:after="0"/>
              <w:rPr>
                <w:rFonts w:ascii="Times New Roman" w:hAnsi="Times New Roman" w:cs="Times New Roman"/>
                <w:noProof/>
                <w:color w:val="006100"/>
                <w:lang w:val="en-GB"/>
              </w:rPr>
            </w:pPr>
            <w:r w:rsidRPr="001961AA">
              <w:rPr>
                <w:rFonts w:ascii="Times New Roman" w:hAnsi="Times New Roman"/>
                <w:noProof/>
                <w:color w:val="006100"/>
                <w:lang w:val="en-GB"/>
              </w:rPr>
              <w:t>- tactile warning surface guiding system; and</w:t>
            </w:r>
          </w:p>
          <w:p w14:paraId="790F5559" w14:textId="77777777" w:rsidR="006A41D9" w:rsidRPr="001961AA" w:rsidRDefault="006A41D9" w:rsidP="00BD6DD1">
            <w:pPr>
              <w:spacing w:after="0"/>
              <w:rPr>
                <w:rFonts w:ascii="Times New Roman" w:hAnsi="Times New Roman" w:cs="Times New Roman"/>
                <w:noProof/>
                <w:color w:val="006100"/>
                <w:lang w:val="en-GB"/>
              </w:rPr>
            </w:pPr>
            <w:r w:rsidRPr="001961AA">
              <w:rPr>
                <w:rFonts w:ascii="Times New Roman" w:hAnsi="Times New Roman"/>
                <w:noProof/>
                <w:color w:val="006100"/>
                <w:lang w:val="en-GB"/>
              </w:rPr>
              <w:t>- at least one ticket vending machine accessible to persons with reduced mobility.</w:t>
            </w:r>
          </w:p>
        </w:tc>
      </w:tr>
      <w:tr w:rsidR="009E6286" w:rsidRPr="001961AA" w14:paraId="62149424" w14:textId="77777777" w:rsidTr="009E6286">
        <w:trPr>
          <w:gridAfter w:val="1"/>
          <w:wAfter w:w="33" w:type="dxa"/>
          <w:trHeight w:val="309"/>
          <w:jc w:val="center"/>
        </w:trPr>
        <w:tc>
          <w:tcPr>
            <w:tcW w:w="69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41C4D25"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105</w:t>
            </w:r>
          </w:p>
        </w:tc>
        <w:tc>
          <w:tcPr>
            <w:tcW w:w="1459" w:type="dxa"/>
            <w:tcBorders>
              <w:top w:val="nil"/>
              <w:left w:val="single" w:sz="4" w:space="0" w:color="auto"/>
              <w:bottom w:val="single" w:sz="4" w:space="0" w:color="auto"/>
              <w:right w:val="single" w:sz="4" w:space="0" w:color="auto"/>
            </w:tcBorders>
            <w:shd w:val="clear" w:color="auto" w:fill="C6EFCE"/>
            <w:noWrap/>
            <w:vAlign w:val="center"/>
          </w:tcPr>
          <w:p w14:paraId="6CC84B52" w14:textId="77777777" w:rsidR="006A41D9" w:rsidRPr="001961AA" w:rsidRDefault="006A41D9" w:rsidP="00BD6DD1">
            <w:pPr>
              <w:spacing w:after="0"/>
              <w:rPr>
                <w:rFonts w:ascii="Times New Roman" w:hAnsi="Times New Roman" w:cs="Times New Roman"/>
                <w:noProof/>
                <w:color w:val="006100"/>
                <w:lang w:val="en-GB"/>
              </w:rPr>
            </w:pPr>
            <w:r w:rsidRPr="001961AA">
              <w:rPr>
                <w:rFonts w:ascii="Times New Roman" w:hAnsi="Times New Roman"/>
                <w:noProof/>
                <w:color w:val="006100"/>
                <w:lang w:val="en-GB"/>
              </w:rPr>
              <w:t>Rail refurbishment and station accessibility works (I-3C)</w:t>
            </w:r>
          </w:p>
        </w:tc>
        <w:tc>
          <w:tcPr>
            <w:tcW w:w="1200" w:type="dxa"/>
            <w:tcBorders>
              <w:top w:val="nil"/>
              <w:left w:val="nil"/>
              <w:bottom w:val="single" w:sz="4" w:space="0" w:color="auto"/>
              <w:right w:val="single" w:sz="4" w:space="0" w:color="auto"/>
            </w:tcBorders>
            <w:shd w:val="clear" w:color="auto" w:fill="C6EFCE"/>
            <w:noWrap/>
            <w:vAlign w:val="center"/>
          </w:tcPr>
          <w:p w14:paraId="5AFE828C" w14:textId="433BCF7C" w:rsidR="006A41D9" w:rsidRPr="001961AA" w:rsidRDefault="006A41D9" w:rsidP="00BD6DD1">
            <w:pPr>
              <w:spacing w:after="0"/>
              <w:rPr>
                <w:rFonts w:ascii="Times New Roman" w:hAnsi="Times New Roman" w:cs="Times New Roman"/>
                <w:noProof/>
                <w:color w:val="006100"/>
                <w:lang w:val="en-GB"/>
              </w:rPr>
            </w:pPr>
            <w:r w:rsidRPr="001961AA">
              <w:rPr>
                <w:rFonts w:ascii="Times New Roman" w:hAnsi="Times New Roman"/>
                <w:noProof/>
                <w:color w:val="006100"/>
                <w:lang w:val="en-GB"/>
              </w:rPr>
              <w:t>T</w:t>
            </w:r>
          </w:p>
        </w:tc>
        <w:tc>
          <w:tcPr>
            <w:tcW w:w="1680" w:type="dxa"/>
            <w:tcBorders>
              <w:top w:val="nil"/>
              <w:left w:val="nil"/>
              <w:bottom w:val="single" w:sz="4" w:space="0" w:color="auto"/>
              <w:right w:val="single" w:sz="4" w:space="0" w:color="auto"/>
            </w:tcBorders>
            <w:shd w:val="clear" w:color="auto" w:fill="C6EFCE"/>
            <w:noWrap/>
            <w:vAlign w:val="center"/>
          </w:tcPr>
          <w:p w14:paraId="70E31524" w14:textId="77777777" w:rsidR="006A41D9" w:rsidRPr="001961AA" w:rsidRDefault="006A41D9" w:rsidP="00BD6DD1">
            <w:pPr>
              <w:spacing w:after="0"/>
              <w:rPr>
                <w:rFonts w:ascii="Times New Roman" w:hAnsi="Times New Roman" w:cs="Times New Roman"/>
                <w:noProof/>
                <w:color w:val="006100"/>
                <w:lang w:val="en-GB"/>
              </w:rPr>
            </w:pPr>
            <w:r w:rsidRPr="001961AA">
              <w:rPr>
                <w:rFonts w:ascii="Times New Roman" w:hAnsi="Times New Roman"/>
                <w:noProof/>
                <w:color w:val="006100"/>
                <w:lang w:val="en-GB"/>
              </w:rPr>
              <w:t>Completion of rail refurbishment and modernisation works and station accessibility works (step 3)</w:t>
            </w:r>
          </w:p>
        </w:tc>
        <w:tc>
          <w:tcPr>
            <w:tcW w:w="1680" w:type="dxa"/>
            <w:tcBorders>
              <w:top w:val="nil"/>
              <w:left w:val="single" w:sz="4" w:space="0" w:color="auto"/>
              <w:bottom w:val="single" w:sz="4" w:space="0" w:color="auto"/>
              <w:right w:val="single" w:sz="4" w:space="0" w:color="auto"/>
            </w:tcBorders>
            <w:shd w:val="clear" w:color="auto" w:fill="C6EFCE"/>
            <w:noWrap/>
            <w:vAlign w:val="center"/>
          </w:tcPr>
          <w:p w14:paraId="52AEEF94" w14:textId="77777777" w:rsidR="006A41D9" w:rsidRPr="001961AA" w:rsidRDefault="006A41D9" w:rsidP="00BD6DD1">
            <w:pPr>
              <w:spacing w:after="0"/>
              <w:rPr>
                <w:rFonts w:ascii="Times New Roman" w:hAnsi="Times New Roman" w:cs="Times New Roman"/>
                <w:noProof/>
                <w:color w:val="006100"/>
                <w:lang w:val="en-GB" w:eastAsia="en-GB"/>
              </w:rPr>
            </w:pPr>
          </w:p>
        </w:tc>
        <w:tc>
          <w:tcPr>
            <w:tcW w:w="1440" w:type="dxa"/>
            <w:tcBorders>
              <w:top w:val="nil"/>
              <w:left w:val="nil"/>
              <w:bottom w:val="single" w:sz="4" w:space="0" w:color="auto"/>
              <w:right w:val="single" w:sz="4" w:space="0" w:color="auto"/>
            </w:tcBorders>
            <w:shd w:val="clear" w:color="auto" w:fill="C6EFCE"/>
            <w:noWrap/>
            <w:vAlign w:val="center"/>
          </w:tcPr>
          <w:p w14:paraId="1C29D104"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Completed works</w:t>
            </w:r>
          </w:p>
        </w:tc>
        <w:tc>
          <w:tcPr>
            <w:tcW w:w="1080" w:type="dxa"/>
            <w:tcBorders>
              <w:top w:val="nil"/>
              <w:left w:val="nil"/>
              <w:bottom w:val="single" w:sz="4" w:space="0" w:color="auto"/>
              <w:right w:val="single" w:sz="4" w:space="0" w:color="auto"/>
            </w:tcBorders>
            <w:shd w:val="clear" w:color="auto" w:fill="C6EFCE"/>
            <w:noWrap/>
            <w:vAlign w:val="center"/>
          </w:tcPr>
          <w:p w14:paraId="0B444E8A"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62</w:t>
            </w:r>
          </w:p>
        </w:tc>
        <w:tc>
          <w:tcPr>
            <w:tcW w:w="720" w:type="dxa"/>
            <w:tcBorders>
              <w:top w:val="nil"/>
              <w:left w:val="nil"/>
              <w:bottom w:val="single" w:sz="4" w:space="0" w:color="auto"/>
              <w:right w:val="single" w:sz="4" w:space="0" w:color="auto"/>
            </w:tcBorders>
            <w:shd w:val="clear" w:color="auto" w:fill="C6EFCE"/>
            <w:noWrap/>
            <w:vAlign w:val="center"/>
          </w:tcPr>
          <w:p w14:paraId="5685AD91" w14:textId="565F1EAF"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84</w:t>
            </w:r>
          </w:p>
        </w:tc>
        <w:tc>
          <w:tcPr>
            <w:tcW w:w="1080" w:type="dxa"/>
            <w:tcBorders>
              <w:top w:val="nil"/>
              <w:left w:val="nil"/>
              <w:bottom w:val="single" w:sz="4" w:space="0" w:color="auto"/>
              <w:right w:val="single" w:sz="4" w:space="0" w:color="auto"/>
            </w:tcBorders>
            <w:shd w:val="clear" w:color="auto" w:fill="C6EFCE"/>
            <w:noWrap/>
            <w:vAlign w:val="center"/>
          </w:tcPr>
          <w:p w14:paraId="61607EAC"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Q2</w:t>
            </w:r>
          </w:p>
        </w:tc>
        <w:tc>
          <w:tcPr>
            <w:tcW w:w="840" w:type="dxa"/>
            <w:tcBorders>
              <w:top w:val="nil"/>
              <w:left w:val="nil"/>
              <w:bottom w:val="single" w:sz="4" w:space="0" w:color="auto"/>
              <w:right w:val="single" w:sz="4" w:space="0" w:color="auto"/>
            </w:tcBorders>
            <w:shd w:val="clear" w:color="auto" w:fill="C6EFCE"/>
            <w:noWrap/>
            <w:vAlign w:val="center"/>
          </w:tcPr>
          <w:p w14:paraId="4DE87502"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2026</w:t>
            </w:r>
          </w:p>
        </w:tc>
        <w:tc>
          <w:tcPr>
            <w:tcW w:w="3594" w:type="dxa"/>
            <w:tcBorders>
              <w:top w:val="nil"/>
              <w:left w:val="single" w:sz="4" w:space="0" w:color="auto"/>
              <w:bottom w:val="single" w:sz="4" w:space="0" w:color="auto"/>
              <w:right w:val="single" w:sz="4" w:space="0" w:color="auto"/>
            </w:tcBorders>
            <w:shd w:val="clear" w:color="auto" w:fill="C6EFCE"/>
            <w:noWrap/>
            <w:vAlign w:val="center"/>
          </w:tcPr>
          <w:p w14:paraId="69DDB679" w14:textId="3461E1BC" w:rsidR="006A41D9" w:rsidRPr="001961AA" w:rsidRDefault="006A41D9" w:rsidP="00BD6DD1">
            <w:pPr>
              <w:spacing w:after="0"/>
              <w:rPr>
                <w:rFonts w:ascii="Times New Roman" w:hAnsi="Times New Roman" w:cs="Times New Roman"/>
                <w:noProof/>
                <w:color w:val="006100"/>
                <w:lang w:val="en-GB"/>
              </w:rPr>
            </w:pPr>
            <w:r w:rsidRPr="001961AA">
              <w:rPr>
                <w:rFonts w:ascii="Times New Roman" w:hAnsi="Times New Roman"/>
                <w:noProof/>
                <w:color w:val="006100"/>
                <w:lang w:val="en-GB"/>
              </w:rPr>
              <w:t>Completion of 59 interventions to upgrade rail infrastructure, and make 25 stations accessible (I-3.09) in accordance with Commission Regulation (EU) No 1300/2014 on at least 4 criteria:</w:t>
            </w:r>
          </w:p>
          <w:p w14:paraId="79AE3D9C" w14:textId="77777777" w:rsidR="006A41D9" w:rsidRPr="001961AA" w:rsidRDefault="006A41D9" w:rsidP="00BD6DD1">
            <w:pPr>
              <w:spacing w:after="0"/>
              <w:rPr>
                <w:rFonts w:ascii="Times New Roman" w:hAnsi="Times New Roman" w:cs="Times New Roman"/>
                <w:noProof/>
                <w:color w:val="006100"/>
                <w:lang w:val="en-GB"/>
              </w:rPr>
            </w:pPr>
            <w:r w:rsidRPr="001961AA">
              <w:rPr>
                <w:rFonts w:ascii="Times New Roman" w:hAnsi="Times New Roman"/>
                <w:noProof/>
                <w:color w:val="006100"/>
                <w:lang w:val="en-GB"/>
              </w:rPr>
              <w:t>- high platforms (76cm);</w:t>
            </w:r>
          </w:p>
          <w:p w14:paraId="2C7E7AF7" w14:textId="77777777" w:rsidR="006A41D9" w:rsidRPr="001961AA" w:rsidRDefault="006A41D9" w:rsidP="00BD6DD1">
            <w:pPr>
              <w:spacing w:after="0"/>
              <w:rPr>
                <w:rFonts w:ascii="Times New Roman" w:hAnsi="Times New Roman" w:cs="Times New Roman"/>
                <w:noProof/>
                <w:color w:val="006100"/>
                <w:lang w:val="en-GB"/>
              </w:rPr>
            </w:pPr>
            <w:r w:rsidRPr="001961AA">
              <w:rPr>
                <w:rFonts w:ascii="Times New Roman" w:hAnsi="Times New Roman"/>
                <w:noProof/>
                <w:color w:val="006100"/>
                <w:lang w:val="en-GB"/>
              </w:rPr>
              <w:t>- platforms accessible through ramps or lifts;</w:t>
            </w:r>
          </w:p>
          <w:p w14:paraId="0B4021C9" w14:textId="77777777" w:rsidR="006A41D9" w:rsidRPr="001961AA" w:rsidRDefault="006A41D9" w:rsidP="00BD6DD1">
            <w:pPr>
              <w:spacing w:after="0"/>
              <w:rPr>
                <w:rFonts w:ascii="Times New Roman" w:hAnsi="Times New Roman" w:cs="Times New Roman"/>
                <w:noProof/>
                <w:color w:val="006100"/>
                <w:lang w:val="en-GB"/>
              </w:rPr>
            </w:pPr>
            <w:r w:rsidRPr="001961AA">
              <w:rPr>
                <w:rFonts w:ascii="Times New Roman" w:hAnsi="Times New Roman"/>
                <w:noProof/>
                <w:color w:val="006100"/>
                <w:lang w:val="en-GB"/>
              </w:rPr>
              <w:t>- tactile warning surface guiding system; and</w:t>
            </w:r>
          </w:p>
          <w:p w14:paraId="23AA94A0" w14:textId="23C36742" w:rsidR="006A41D9" w:rsidRPr="001961AA" w:rsidRDefault="006A41D9" w:rsidP="00D70E10">
            <w:pPr>
              <w:spacing w:after="0"/>
              <w:rPr>
                <w:rFonts w:ascii="Times New Roman" w:hAnsi="Times New Roman" w:cs="Times New Roman"/>
                <w:noProof/>
                <w:color w:val="006100"/>
                <w:lang w:val="en-GB"/>
              </w:rPr>
            </w:pPr>
            <w:r w:rsidRPr="001961AA">
              <w:rPr>
                <w:rFonts w:ascii="Times New Roman" w:hAnsi="Times New Roman"/>
                <w:noProof/>
                <w:color w:val="006100"/>
                <w:lang w:val="en-GB"/>
              </w:rPr>
              <w:t>- at least one ticket vending machine accessible to persons with reduced mobility.</w:t>
            </w:r>
          </w:p>
        </w:tc>
      </w:tr>
      <w:tr w:rsidR="009E6286" w:rsidRPr="001961AA" w14:paraId="31F22158" w14:textId="77777777" w:rsidTr="009E6286">
        <w:trPr>
          <w:gridAfter w:val="1"/>
          <w:wAfter w:w="33" w:type="dxa"/>
          <w:trHeight w:val="309"/>
          <w:jc w:val="center"/>
        </w:trPr>
        <w:tc>
          <w:tcPr>
            <w:tcW w:w="69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A8416FF"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106</w:t>
            </w:r>
          </w:p>
        </w:tc>
        <w:tc>
          <w:tcPr>
            <w:tcW w:w="1459" w:type="dxa"/>
            <w:tcBorders>
              <w:top w:val="nil"/>
              <w:left w:val="single" w:sz="4" w:space="0" w:color="auto"/>
              <w:bottom w:val="single" w:sz="4" w:space="0" w:color="auto"/>
              <w:right w:val="single" w:sz="4" w:space="0" w:color="auto"/>
            </w:tcBorders>
            <w:shd w:val="clear" w:color="auto" w:fill="C6EFCE"/>
            <w:noWrap/>
            <w:vAlign w:val="center"/>
          </w:tcPr>
          <w:p w14:paraId="48732062" w14:textId="2A1DCBC1" w:rsidR="006A41D9" w:rsidRPr="001961AA" w:rsidRDefault="006A41D9" w:rsidP="00BD6DD1">
            <w:pPr>
              <w:spacing w:after="0"/>
              <w:rPr>
                <w:rFonts w:ascii="Times New Roman" w:hAnsi="Times New Roman" w:cs="Times New Roman"/>
                <w:noProof/>
                <w:color w:val="006100"/>
                <w:lang w:val="en-GB"/>
              </w:rPr>
            </w:pPr>
            <w:r w:rsidRPr="001961AA">
              <w:rPr>
                <w:rFonts w:ascii="Times New Roman" w:hAnsi="Times New Roman"/>
                <w:noProof/>
                <w:color w:val="006100"/>
                <w:lang w:val="en-GB"/>
              </w:rPr>
              <w:t>Canal Albert andTrilogiport (I-3.11)</w:t>
            </w:r>
          </w:p>
        </w:tc>
        <w:tc>
          <w:tcPr>
            <w:tcW w:w="1200" w:type="dxa"/>
            <w:tcBorders>
              <w:top w:val="nil"/>
              <w:left w:val="nil"/>
              <w:bottom w:val="single" w:sz="4" w:space="0" w:color="auto"/>
              <w:right w:val="single" w:sz="4" w:space="0" w:color="auto"/>
            </w:tcBorders>
            <w:shd w:val="clear" w:color="auto" w:fill="C6EFCE"/>
            <w:noWrap/>
            <w:vAlign w:val="center"/>
          </w:tcPr>
          <w:p w14:paraId="03AE3116" w14:textId="5781F43D" w:rsidR="006A41D9" w:rsidRPr="001961AA" w:rsidRDefault="006A41D9" w:rsidP="00BD6DD1">
            <w:pPr>
              <w:spacing w:after="0"/>
              <w:rPr>
                <w:rFonts w:ascii="Times New Roman" w:hAnsi="Times New Roman" w:cs="Times New Roman"/>
                <w:noProof/>
                <w:color w:val="006100"/>
                <w:lang w:val="en-GB"/>
              </w:rPr>
            </w:pPr>
            <w:r w:rsidRPr="001961AA">
              <w:rPr>
                <w:rFonts w:ascii="Times New Roman" w:hAnsi="Times New Roman"/>
                <w:noProof/>
                <w:color w:val="006100"/>
                <w:lang w:val="en-GB"/>
              </w:rPr>
              <w:t>M</w:t>
            </w:r>
          </w:p>
        </w:tc>
        <w:tc>
          <w:tcPr>
            <w:tcW w:w="1680" w:type="dxa"/>
            <w:tcBorders>
              <w:top w:val="nil"/>
              <w:left w:val="nil"/>
              <w:bottom w:val="single" w:sz="4" w:space="0" w:color="auto"/>
              <w:right w:val="single" w:sz="4" w:space="0" w:color="auto"/>
            </w:tcBorders>
            <w:shd w:val="clear" w:color="auto" w:fill="C6EFCE"/>
            <w:noWrap/>
            <w:vAlign w:val="center"/>
          </w:tcPr>
          <w:p w14:paraId="4C9DD888" w14:textId="77777777" w:rsidR="006A41D9" w:rsidRPr="001961AA" w:rsidRDefault="006A41D9" w:rsidP="00BD6DD1">
            <w:pPr>
              <w:spacing w:after="0"/>
              <w:rPr>
                <w:rFonts w:ascii="Times New Roman" w:hAnsi="Times New Roman" w:cs="Times New Roman"/>
                <w:noProof/>
                <w:color w:val="006100"/>
                <w:lang w:val="en-GB"/>
              </w:rPr>
            </w:pPr>
            <w:r w:rsidRPr="001961AA">
              <w:rPr>
                <w:rFonts w:ascii="Times New Roman" w:hAnsi="Times New Roman"/>
                <w:noProof/>
                <w:color w:val="006100"/>
                <w:lang w:val="en-GB"/>
              </w:rPr>
              <w:t xml:space="preserve">Award of contracts for the works of the bridges over Canal Albert / and a new platform at Trilogiport </w:t>
            </w:r>
          </w:p>
        </w:tc>
        <w:tc>
          <w:tcPr>
            <w:tcW w:w="1680" w:type="dxa"/>
            <w:tcBorders>
              <w:top w:val="nil"/>
              <w:left w:val="single" w:sz="4" w:space="0" w:color="auto"/>
              <w:bottom w:val="single" w:sz="4" w:space="0" w:color="auto"/>
              <w:right w:val="single" w:sz="4" w:space="0" w:color="auto"/>
            </w:tcBorders>
            <w:shd w:val="clear" w:color="auto" w:fill="C6EFCE"/>
            <w:noWrap/>
            <w:vAlign w:val="center"/>
          </w:tcPr>
          <w:p w14:paraId="5E88B471"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Written notification of contract awards</w:t>
            </w:r>
          </w:p>
        </w:tc>
        <w:tc>
          <w:tcPr>
            <w:tcW w:w="1440" w:type="dxa"/>
            <w:tcBorders>
              <w:top w:val="nil"/>
              <w:left w:val="nil"/>
              <w:bottom w:val="single" w:sz="4" w:space="0" w:color="auto"/>
              <w:right w:val="single" w:sz="4" w:space="0" w:color="auto"/>
            </w:tcBorders>
            <w:shd w:val="clear" w:color="auto" w:fill="C6EFCE"/>
            <w:noWrap/>
            <w:vAlign w:val="center"/>
          </w:tcPr>
          <w:p w14:paraId="3D7F477D" w14:textId="09A990D9"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1080" w:type="dxa"/>
            <w:tcBorders>
              <w:top w:val="nil"/>
              <w:left w:val="nil"/>
              <w:bottom w:val="single" w:sz="4" w:space="0" w:color="auto"/>
              <w:right w:val="single" w:sz="4" w:space="0" w:color="auto"/>
            </w:tcBorders>
            <w:shd w:val="clear" w:color="auto" w:fill="C6EFCE"/>
            <w:noWrap/>
            <w:vAlign w:val="center"/>
          </w:tcPr>
          <w:p w14:paraId="56E66A97" w14:textId="647578D6"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720" w:type="dxa"/>
            <w:tcBorders>
              <w:top w:val="nil"/>
              <w:left w:val="nil"/>
              <w:bottom w:val="single" w:sz="4" w:space="0" w:color="auto"/>
              <w:right w:val="single" w:sz="4" w:space="0" w:color="auto"/>
            </w:tcBorders>
            <w:shd w:val="clear" w:color="auto" w:fill="C6EFCE"/>
            <w:noWrap/>
            <w:vAlign w:val="center"/>
          </w:tcPr>
          <w:p w14:paraId="6093F713" w14:textId="465C7807"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1080" w:type="dxa"/>
            <w:tcBorders>
              <w:top w:val="nil"/>
              <w:left w:val="nil"/>
              <w:bottom w:val="single" w:sz="4" w:space="0" w:color="auto"/>
              <w:right w:val="single" w:sz="4" w:space="0" w:color="auto"/>
            </w:tcBorders>
            <w:shd w:val="clear" w:color="auto" w:fill="C6EFCE"/>
            <w:noWrap/>
            <w:vAlign w:val="center"/>
          </w:tcPr>
          <w:p w14:paraId="277A740A" w14:textId="541E7883"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Q1</w:t>
            </w:r>
          </w:p>
        </w:tc>
        <w:tc>
          <w:tcPr>
            <w:tcW w:w="840" w:type="dxa"/>
            <w:tcBorders>
              <w:top w:val="nil"/>
              <w:left w:val="nil"/>
              <w:bottom w:val="single" w:sz="4" w:space="0" w:color="auto"/>
              <w:right w:val="single" w:sz="4" w:space="0" w:color="auto"/>
            </w:tcBorders>
            <w:shd w:val="clear" w:color="auto" w:fill="C6EFCE"/>
            <w:noWrap/>
            <w:vAlign w:val="center"/>
          </w:tcPr>
          <w:p w14:paraId="1FC258D6" w14:textId="30022BC8"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2025</w:t>
            </w:r>
          </w:p>
        </w:tc>
        <w:tc>
          <w:tcPr>
            <w:tcW w:w="3594" w:type="dxa"/>
            <w:tcBorders>
              <w:top w:val="nil"/>
              <w:left w:val="single" w:sz="4" w:space="0" w:color="auto"/>
              <w:bottom w:val="single" w:sz="4" w:space="0" w:color="auto"/>
              <w:right w:val="single" w:sz="4" w:space="0" w:color="auto"/>
            </w:tcBorders>
            <w:shd w:val="clear" w:color="auto" w:fill="C6EFCE"/>
            <w:noWrap/>
            <w:vAlign w:val="center"/>
          </w:tcPr>
          <w:p w14:paraId="7DD6BBDE"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Award of all contracts for the works of the new multimodal platform of Trilogiport in Liège and the 4 bridges above the Albert-Canal (Lanaye, Lixhe, Haccourt and Hermalle-sous-Argenteau bridges).</w:t>
            </w:r>
          </w:p>
        </w:tc>
      </w:tr>
      <w:tr w:rsidR="009E6286" w:rsidRPr="001961AA" w14:paraId="28734752" w14:textId="77777777" w:rsidTr="009E6286">
        <w:trPr>
          <w:gridAfter w:val="1"/>
          <w:wAfter w:w="33" w:type="dxa"/>
          <w:trHeight w:val="309"/>
          <w:jc w:val="center"/>
        </w:trPr>
        <w:tc>
          <w:tcPr>
            <w:tcW w:w="69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0F603D0"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107</w:t>
            </w:r>
          </w:p>
        </w:tc>
        <w:tc>
          <w:tcPr>
            <w:tcW w:w="1459" w:type="dxa"/>
            <w:tcBorders>
              <w:top w:val="nil"/>
              <w:left w:val="single" w:sz="4" w:space="0" w:color="auto"/>
              <w:bottom w:val="single" w:sz="4" w:space="0" w:color="auto"/>
              <w:right w:val="single" w:sz="4" w:space="0" w:color="auto"/>
            </w:tcBorders>
            <w:shd w:val="clear" w:color="auto" w:fill="C6EFCE"/>
            <w:noWrap/>
            <w:vAlign w:val="center"/>
          </w:tcPr>
          <w:p w14:paraId="68FD0A0B" w14:textId="5E566A9A" w:rsidR="006A41D9" w:rsidRPr="001961AA" w:rsidRDefault="006A41D9" w:rsidP="00BD6DD1">
            <w:pPr>
              <w:spacing w:after="0"/>
              <w:rPr>
                <w:rFonts w:ascii="Times New Roman" w:hAnsi="Times New Roman" w:cs="Times New Roman"/>
                <w:noProof/>
                <w:color w:val="006100"/>
                <w:lang w:val="en-GB"/>
              </w:rPr>
            </w:pPr>
            <w:r w:rsidRPr="001961AA">
              <w:rPr>
                <w:rFonts w:ascii="Times New Roman" w:hAnsi="Times New Roman"/>
                <w:noProof/>
                <w:color w:val="006100"/>
                <w:lang w:val="en-GB"/>
              </w:rPr>
              <w:t>Canal Albert and Trilogiport (I-3.11)</w:t>
            </w:r>
          </w:p>
        </w:tc>
        <w:tc>
          <w:tcPr>
            <w:tcW w:w="1200" w:type="dxa"/>
            <w:tcBorders>
              <w:top w:val="nil"/>
              <w:left w:val="nil"/>
              <w:bottom w:val="single" w:sz="4" w:space="0" w:color="auto"/>
              <w:right w:val="single" w:sz="4" w:space="0" w:color="auto"/>
            </w:tcBorders>
            <w:shd w:val="clear" w:color="auto" w:fill="C6EFCE"/>
            <w:noWrap/>
            <w:vAlign w:val="center"/>
          </w:tcPr>
          <w:p w14:paraId="4E772CC6" w14:textId="3CD49435" w:rsidR="006A41D9" w:rsidRPr="001961AA" w:rsidRDefault="006A41D9" w:rsidP="00BD6DD1">
            <w:pPr>
              <w:spacing w:after="0"/>
              <w:rPr>
                <w:rFonts w:ascii="Times New Roman" w:hAnsi="Times New Roman" w:cs="Times New Roman"/>
                <w:noProof/>
                <w:color w:val="006100"/>
                <w:lang w:val="en-GB"/>
              </w:rPr>
            </w:pPr>
            <w:r w:rsidRPr="001961AA">
              <w:rPr>
                <w:rFonts w:ascii="Times New Roman" w:hAnsi="Times New Roman"/>
                <w:noProof/>
                <w:color w:val="006100"/>
                <w:lang w:val="en-GB"/>
              </w:rPr>
              <w:t>T</w:t>
            </w:r>
          </w:p>
        </w:tc>
        <w:tc>
          <w:tcPr>
            <w:tcW w:w="1680" w:type="dxa"/>
            <w:tcBorders>
              <w:top w:val="nil"/>
              <w:left w:val="nil"/>
              <w:bottom w:val="single" w:sz="4" w:space="0" w:color="auto"/>
              <w:right w:val="single" w:sz="4" w:space="0" w:color="auto"/>
            </w:tcBorders>
            <w:shd w:val="clear" w:color="auto" w:fill="C6EFCE"/>
            <w:noWrap/>
            <w:vAlign w:val="center"/>
          </w:tcPr>
          <w:p w14:paraId="4CFD8D88" w14:textId="77777777" w:rsidR="006A41D9" w:rsidRPr="001961AA" w:rsidRDefault="006A41D9" w:rsidP="00BD6DD1">
            <w:pPr>
              <w:spacing w:after="0"/>
              <w:rPr>
                <w:rFonts w:ascii="Times New Roman" w:hAnsi="Times New Roman" w:cs="Times New Roman"/>
                <w:noProof/>
                <w:color w:val="006100"/>
                <w:lang w:val="en-GB"/>
              </w:rPr>
            </w:pPr>
            <w:r w:rsidRPr="001961AA">
              <w:rPr>
                <w:rFonts w:ascii="Times New Roman" w:hAnsi="Times New Roman"/>
                <w:noProof/>
                <w:color w:val="006100"/>
                <w:lang w:val="en-GB"/>
              </w:rPr>
              <w:t>Completion of the works of the bridges over Canal Albert / and a new platform at Trilogiport</w:t>
            </w:r>
          </w:p>
        </w:tc>
        <w:tc>
          <w:tcPr>
            <w:tcW w:w="1680" w:type="dxa"/>
            <w:tcBorders>
              <w:top w:val="nil"/>
              <w:left w:val="single" w:sz="4" w:space="0" w:color="auto"/>
              <w:bottom w:val="single" w:sz="4" w:space="0" w:color="auto"/>
              <w:right w:val="single" w:sz="4" w:space="0" w:color="auto"/>
            </w:tcBorders>
            <w:shd w:val="clear" w:color="auto" w:fill="C6EFCE"/>
            <w:noWrap/>
            <w:vAlign w:val="center"/>
          </w:tcPr>
          <w:p w14:paraId="362B7FEF" w14:textId="77777777"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1440" w:type="dxa"/>
            <w:tcBorders>
              <w:top w:val="nil"/>
              <w:left w:val="nil"/>
              <w:bottom w:val="single" w:sz="4" w:space="0" w:color="auto"/>
              <w:right w:val="single" w:sz="4" w:space="0" w:color="auto"/>
            </w:tcBorders>
            <w:shd w:val="clear" w:color="auto" w:fill="C6EFCE"/>
            <w:noWrap/>
            <w:vAlign w:val="center"/>
          </w:tcPr>
          <w:p w14:paraId="3DD7D262"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Number of works</w:t>
            </w:r>
          </w:p>
        </w:tc>
        <w:tc>
          <w:tcPr>
            <w:tcW w:w="1080" w:type="dxa"/>
            <w:tcBorders>
              <w:top w:val="nil"/>
              <w:left w:val="nil"/>
              <w:bottom w:val="single" w:sz="4" w:space="0" w:color="auto"/>
              <w:right w:val="single" w:sz="4" w:space="0" w:color="auto"/>
            </w:tcBorders>
            <w:shd w:val="clear" w:color="auto" w:fill="C6EFCE"/>
            <w:noWrap/>
            <w:vAlign w:val="center"/>
          </w:tcPr>
          <w:p w14:paraId="1BAEDC49"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0</w:t>
            </w:r>
          </w:p>
        </w:tc>
        <w:tc>
          <w:tcPr>
            <w:tcW w:w="720" w:type="dxa"/>
            <w:tcBorders>
              <w:top w:val="nil"/>
              <w:left w:val="nil"/>
              <w:bottom w:val="single" w:sz="4" w:space="0" w:color="auto"/>
              <w:right w:val="single" w:sz="4" w:space="0" w:color="auto"/>
            </w:tcBorders>
            <w:shd w:val="clear" w:color="auto" w:fill="C6EFCE"/>
            <w:noWrap/>
            <w:vAlign w:val="center"/>
          </w:tcPr>
          <w:p w14:paraId="1E459877"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5</w:t>
            </w:r>
          </w:p>
        </w:tc>
        <w:tc>
          <w:tcPr>
            <w:tcW w:w="1080" w:type="dxa"/>
            <w:tcBorders>
              <w:top w:val="nil"/>
              <w:left w:val="nil"/>
              <w:bottom w:val="single" w:sz="4" w:space="0" w:color="auto"/>
              <w:right w:val="single" w:sz="4" w:space="0" w:color="auto"/>
            </w:tcBorders>
            <w:shd w:val="clear" w:color="auto" w:fill="C6EFCE"/>
            <w:noWrap/>
            <w:vAlign w:val="center"/>
          </w:tcPr>
          <w:p w14:paraId="6EF6CCB1" w14:textId="344472B5"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Q2</w:t>
            </w:r>
          </w:p>
        </w:tc>
        <w:tc>
          <w:tcPr>
            <w:tcW w:w="840" w:type="dxa"/>
            <w:tcBorders>
              <w:top w:val="nil"/>
              <w:left w:val="nil"/>
              <w:bottom w:val="single" w:sz="4" w:space="0" w:color="auto"/>
              <w:right w:val="single" w:sz="4" w:space="0" w:color="auto"/>
            </w:tcBorders>
            <w:shd w:val="clear" w:color="auto" w:fill="C6EFCE"/>
            <w:noWrap/>
            <w:vAlign w:val="center"/>
          </w:tcPr>
          <w:p w14:paraId="0D179CBD" w14:textId="40F15EA6"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2026</w:t>
            </w:r>
          </w:p>
        </w:tc>
        <w:tc>
          <w:tcPr>
            <w:tcW w:w="3594" w:type="dxa"/>
            <w:tcBorders>
              <w:top w:val="nil"/>
              <w:left w:val="single" w:sz="4" w:space="0" w:color="auto"/>
              <w:bottom w:val="single" w:sz="4" w:space="0" w:color="auto"/>
              <w:right w:val="single" w:sz="4" w:space="0" w:color="auto"/>
            </w:tcBorders>
            <w:shd w:val="clear" w:color="auto" w:fill="C6EFCE"/>
            <w:noWrap/>
            <w:vAlign w:val="center"/>
          </w:tcPr>
          <w:p w14:paraId="5DE4AAA4" w14:textId="774091B1" w:rsidR="006A41D9" w:rsidRPr="001961AA" w:rsidRDefault="006A41D9" w:rsidP="00BD6DD1">
            <w:pPr>
              <w:spacing w:after="0"/>
              <w:rPr>
                <w:rFonts w:ascii="Times New Roman" w:hAnsi="Times New Roman" w:cs="Times New Roman"/>
                <w:noProof/>
                <w:color w:val="006100"/>
                <w:lang w:val="en-GB"/>
              </w:rPr>
            </w:pPr>
            <w:r w:rsidRPr="001961AA">
              <w:rPr>
                <w:rFonts w:ascii="Times New Roman" w:hAnsi="Times New Roman"/>
                <w:noProof/>
                <w:color w:val="006100"/>
                <w:lang w:val="en-GB"/>
              </w:rPr>
              <w:t>Completion of the works in the multimodal platform of Trilogiport in Liège (reception of “procès-verbal de reception provisoire”) and of the works to increase the height of 3 bridges above the Albert-Canal (Lixhe, Haccourt and Hermalle-sous-Argenteau bridges) and install complementary signalling in one bridge above the Albert-Canal (Lanaye).</w:t>
            </w:r>
          </w:p>
        </w:tc>
      </w:tr>
      <w:tr w:rsidR="009E6286" w:rsidRPr="001961AA" w14:paraId="57267D25" w14:textId="77777777" w:rsidTr="009E6286">
        <w:trPr>
          <w:gridAfter w:val="1"/>
          <w:wAfter w:w="33" w:type="dxa"/>
          <w:trHeight w:val="309"/>
          <w:jc w:val="center"/>
        </w:trPr>
        <w:tc>
          <w:tcPr>
            <w:tcW w:w="69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983E449"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108</w:t>
            </w:r>
          </w:p>
        </w:tc>
        <w:tc>
          <w:tcPr>
            <w:tcW w:w="1459" w:type="dxa"/>
            <w:tcBorders>
              <w:top w:val="nil"/>
              <w:left w:val="single" w:sz="4" w:space="0" w:color="auto"/>
              <w:bottom w:val="single" w:sz="4" w:space="0" w:color="auto"/>
              <w:right w:val="single" w:sz="4" w:space="0" w:color="auto"/>
            </w:tcBorders>
            <w:shd w:val="clear" w:color="auto" w:fill="C6EFCE"/>
            <w:noWrap/>
            <w:vAlign w:val="center"/>
          </w:tcPr>
          <w:p w14:paraId="03D9BA03" w14:textId="77777777" w:rsidR="006A41D9" w:rsidRPr="001961AA" w:rsidRDefault="006A41D9" w:rsidP="00BD6DD1">
            <w:pPr>
              <w:spacing w:after="0"/>
              <w:rPr>
                <w:rFonts w:ascii="Times New Roman" w:hAnsi="Times New Roman" w:cs="Times New Roman"/>
                <w:noProof/>
                <w:color w:val="006100"/>
                <w:lang w:val="en-GB"/>
              </w:rPr>
            </w:pPr>
            <w:r w:rsidRPr="001961AA">
              <w:rPr>
                <w:rFonts w:ascii="Times New Roman" w:hAnsi="Times New Roman"/>
                <w:noProof/>
                <w:color w:val="006100"/>
                <w:lang w:val="en-GB"/>
              </w:rPr>
              <w:t xml:space="preserve">Unlocking of Open Data for Smart Mobility application (I-3D) </w:t>
            </w:r>
          </w:p>
        </w:tc>
        <w:tc>
          <w:tcPr>
            <w:tcW w:w="1200" w:type="dxa"/>
            <w:tcBorders>
              <w:top w:val="nil"/>
              <w:left w:val="nil"/>
              <w:bottom w:val="single" w:sz="4" w:space="0" w:color="auto"/>
              <w:right w:val="single" w:sz="4" w:space="0" w:color="auto"/>
            </w:tcBorders>
            <w:shd w:val="clear" w:color="auto" w:fill="C6EFCE"/>
            <w:noWrap/>
            <w:vAlign w:val="center"/>
          </w:tcPr>
          <w:p w14:paraId="52C1B15F" w14:textId="18490EBA" w:rsidR="006A41D9" w:rsidRPr="001961AA" w:rsidRDefault="006A41D9" w:rsidP="00BD6DD1">
            <w:pPr>
              <w:spacing w:after="0"/>
              <w:rPr>
                <w:rFonts w:ascii="Times New Roman" w:hAnsi="Times New Roman" w:cs="Times New Roman"/>
                <w:noProof/>
                <w:color w:val="006100"/>
                <w:lang w:val="en-GB"/>
              </w:rPr>
            </w:pPr>
            <w:r w:rsidRPr="001961AA">
              <w:rPr>
                <w:rFonts w:ascii="Times New Roman" w:hAnsi="Times New Roman"/>
                <w:noProof/>
                <w:color w:val="006100"/>
                <w:lang w:val="en-GB"/>
              </w:rPr>
              <w:t>T</w:t>
            </w:r>
          </w:p>
        </w:tc>
        <w:tc>
          <w:tcPr>
            <w:tcW w:w="1680" w:type="dxa"/>
            <w:tcBorders>
              <w:top w:val="nil"/>
              <w:left w:val="nil"/>
              <w:bottom w:val="single" w:sz="4" w:space="0" w:color="auto"/>
              <w:right w:val="single" w:sz="4" w:space="0" w:color="auto"/>
            </w:tcBorders>
            <w:shd w:val="clear" w:color="auto" w:fill="C6EFCE"/>
            <w:noWrap/>
            <w:vAlign w:val="center"/>
          </w:tcPr>
          <w:p w14:paraId="6BBE70C3" w14:textId="77777777" w:rsidR="006A41D9" w:rsidRPr="001961AA" w:rsidRDefault="006A41D9" w:rsidP="00BD6DD1">
            <w:pPr>
              <w:spacing w:after="0"/>
              <w:rPr>
                <w:rFonts w:ascii="Times New Roman" w:hAnsi="Times New Roman" w:cs="Times New Roman"/>
                <w:noProof/>
                <w:color w:val="006100"/>
                <w:lang w:val="en-GB"/>
              </w:rPr>
            </w:pPr>
            <w:r w:rsidRPr="001961AA">
              <w:rPr>
                <w:rFonts w:ascii="Times New Roman" w:hAnsi="Times New Roman"/>
                <w:noProof/>
                <w:color w:val="006100"/>
                <w:lang w:val="en-GB"/>
              </w:rPr>
              <w:t xml:space="preserve">Unlocking of Open Data for Smart Mobility application </w:t>
            </w:r>
          </w:p>
        </w:tc>
        <w:tc>
          <w:tcPr>
            <w:tcW w:w="1680" w:type="dxa"/>
            <w:tcBorders>
              <w:top w:val="nil"/>
              <w:left w:val="single" w:sz="4" w:space="0" w:color="auto"/>
              <w:bottom w:val="single" w:sz="4" w:space="0" w:color="auto"/>
              <w:right w:val="single" w:sz="4" w:space="0" w:color="auto"/>
            </w:tcBorders>
            <w:shd w:val="clear" w:color="auto" w:fill="C6EFCE"/>
            <w:noWrap/>
            <w:vAlign w:val="center"/>
          </w:tcPr>
          <w:p w14:paraId="03F8CE39" w14:textId="77777777"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1440" w:type="dxa"/>
            <w:tcBorders>
              <w:top w:val="nil"/>
              <w:left w:val="nil"/>
              <w:bottom w:val="single" w:sz="4" w:space="0" w:color="auto"/>
              <w:right w:val="single" w:sz="4" w:space="0" w:color="auto"/>
            </w:tcBorders>
            <w:shd w:val="clear" w:color="auto" w:fill="C6EFCE"/>
            <w:noWrap/>
            <w:vAlign w:val="center"/>
          </w:tcPr>
          <w:p w14:paraId="7B0C0B0A"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Projects</w:t>
            </w:r>
          </w:p>
        </w:tc>
        <w:tc>
          <w:tcPr>
            <w:tcW w:w="1080" w:type="dxa"/>
            <w:tcBorders>
              <w:top w:val="nil"/>
              <w:left w:val="nil"/>
              <w:bottom w:val="single" w:sz="4" w:space="0" w:color="auto"/>
              <w:right w:val="single" w:sz="4" w:space="0" w:color="auto"/>
            </w:tcBorders>
            <w:shd w:val="clear" w:color="auto" w:fill="C6EFCE"/>
            <w:noWrap/>
            <w:vAlign w:val="center"/>
          </w:tcPr>
          <w:p w14:paraId="18107087"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0</w:t>
            </w:r>
          </w:p>
        </w:tc>
        <w:tc>
          <w:tcPr>
            <w:tcW w:w="720" w:type="dxa"/>
            <w:tcBorders>
              <w:top w:val="nil"/>
              <w:left w:val="nil"/>
              <w:bottom w:val="single" w:sz="4" w:space="0" w:color="auto"/>
              <w:right w:val="single" w:sz="4" w:space="0" w:color="auto"/>
            </w:tcBorders>
            <w:shd w:val="clear" w:color="auto" w:fill="C6EFCE"/>
            <w:noWrap/>
            <w:vAlign w:val="center"/>
          </w:tcPr>
          <w:p w14:paraId="49B9A21D"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3</w:t>
            </w:r>
          </w:p>
        </w:tc>
        <w:tc>
          <w:tcPr>
            <w:tcW w:w="1080" w:type="dxa"/>
            <w:tcBorders>
              <w:top w:val="nil"/>
              <w:left w:val="nil"/>
              <w:bottom w:val="single" w:sz="4" w:space="0" w:color="auto"/>
              <w:right w:val="single" w:sz="4" w:space="0" w:color="auto"/>
            </w:tcBorders>
            <w:shd w:val="clear" w:color="auto" w:fill="C6EFCE"/>
            <w:noWrap/>
            <w:vAlign w:val="center"/>
          </w:tcPr>
          <w:p w14:paraId="718D1FC7"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Q1</w:t>
            </w:r>
          </w:p>
        </w:tc>
        <w:tc>
          <w:tcPr>
            <w:tcW w:w="840" w:type="dxa"/>
            <w:tcBorders>
              <w:top w:val="nil"/>
              <w:left w:val="nil"/>
              <w:bottom w:val="single" w:sz="4" w:space="0" w:color="auto"/>
              <w:right w:val="single" w:sz="4" w:space="0" w:color="auto"/>
            </w:tcBorders>
            <w:shd w:val="clear" w:color="auto" w:fill="C6EFCE"/>
            <w:noWrap/>
            <w:vAlign w:val="center"/>
          </w:tcPr>
          <w:p w14:paraId="4E090F0D"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2025</w:t>
            </w:r>
          </w:p>
        </w:tc>
        <w:tc>
          <w:tcPr>
            <w:tcW w:w="3594" w:type="dxa"/>
            <w:tcBorders>
              <w:top w:val="nil"/>
              <w:left w:val="single" w:sz="4" w:space="0" w:color="auto"/>
              <w:bottom w:val="single" w:sz="4" w:space="0" w:color="auto"/>
              <w:right w:val="single" w:sz="4" w:space="0" w:color="auto"/>
            </w:tcBorders>
            <w:shd w:val="clear" w:color="auto" w:fill="C6EFCE"/>
            <w:noWrap/>
            <w:vAlign w:val="center"/>
          </w:tcPr>
          <w:p w14:paraId="4C934601" w14:textId="77777777" w:rsidR="006A41D9" w:rsidRPr="001961AA" w:rsidRDefault="006A41D9" w:rsidP="00BD6DD1">
            <w:pPr>
              <w:spacing w:after="0"/>
              <w:rPr>
                <w:rFonts w:ascii="Times New Roman" w:hAnsi="Times New Roman" w:cs="Times New Roman"/>
                <w:noProof/>
                <w:color w:val="006100"/>
                <w:lang w:val="en-GB"/>
              </w:rPr>
            </w:pPr>
            <w:r w:rsidRPr="001961AA">
              <w:rPr>
                <w:rFonts w:ascii="Times New Roman" w:hAnsi="Times New Roman"/>
                <w:noProof/>
                <w:color w:val="006100"/>
                <w:lang w:val="en-GB"/>
              </w:rPr>
              <w:t>Unlocking of Open Data for Smart Mobility application:</w:t>
            </w:r>
          </w:p>
          <w:p w14:paraId="48F17DDD" w14:textId="77777777" w:rsidR="006A41D9" w:rsidRPr="001961AA" w:rsidRDefault="006A41D9" w:rsidP="00BD6DD1">
            <w:pPr>
              <w:spacing w:after="0"/>
              <w:rPr>
                <w:rFonts w:ascii="Times New Roman" w:hAnsi="Times New Roman" w:cs="Times New Roman"/>
                <w:noProof/>
                <w:color w:val="006100"/>
                <w:lang w:val="en-GB"/>
              </w:rPr>
            </w:pPr>
            <w:r w:rsidRPr="001961AA">
              <w:rPr>
                <w:rFonts w:ascii="Times New Roman" w:hAnsi="Times New Roman"/>
                <w:noProof/>
                <w:color w:val="006100"/>
                <w:lang w:val="en-GB"/>
              </w:rPr>
              <w:t>- SNCB ticketing (1 project),</w:t>
            </w:r>
          </w:p>
          <w:p w14:paraId="73765788" w14:textId="77777777" w:rsidR="006A41D9" w:rsidRPr="001961AA" w:rsidRDefault="006A41D9" w:rsidP="00BD6DD1">
            <w:pPr>
              <w:spacing w:after="0"/>
              <w:rPr>
                <w:rFonts w:ascii="Times New Roman" w:hAnsi="Times New Roman" w:cs="Times New Roman"/>
                <w:noProof/>
                <w:color w:val="006100"/>
                <w:lang w:val="en-GB"/>
              </w:rPr>
            </w:pPr>
            <w:r w:rsidRPr="001961AA">
              <w:rPr>
                <w:rFonts w:ascii="Times New Roman" w:hAnsi="Times New Roman"/>
                <w:noProof/>
                <w:color w:val="006100"/>
                <w:lang w:val="en-GB"/>
              </w:rPr>
              <w:t>- SNCB planning &amp; realtime data (1 project)</w:t>
            </w:r>
          </w:p>
          <w:p w14:paraId="1E08EADA"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 Brussels mobility services (1 project)</w:t>
            </w:r>
          </w:p>
        </w:tc>
      </w:tr>
      <w:tr w:rsidR="009E6286" w:rsidRPr="001961AA" w14:paraId="29B19588" w14:textId="77777777" w:rsidTr="009E6286">
        <w:trPr>
          <w:gridAfter w:val="1"/>
          <w:wAfter w:w="33" w:type="dxa"/>
          <w:trHeight w:val="309"/>
          <w:jc w:val="center"/>
        </w:trPr>
        <w:tc>
          <w:tcPr>
            <w:tcW w:w="69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A9BC702"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109</w:t>
            </w:r>
          </w:p>
        </w:tc>
        <w:tc>
          <w:tcPr>
            <w:tcW w:w="1459" w:type="dxa"/>
            <w:tcBorders>
              <w:top w:val="nil"/>
              <w:left w:val="single" w:sz="4" w:space="0" w:color="auto"/>
              <w:bottom w:val="single" w:sz="4" w:space="0" w:color="auto"/>
              <w:right w:val="single" w:sz="4" w:space="0" w:color="auto"/>
            </w:tcBorders>
            <w:shd w:val="clear" w:color="auto" w:fill="C6EFCE"/>
            <w:noWrap/>
            <w:vAlign w:val="center"/>
          </w:tcPr>
          <w:p w14:paraId="452E9E5F" w14:textId="77777777" w:rsidR="006A41D9" w:rsidRPr="001961AA" w:rsidRDefault="006A41D9" w:rsidP="00BD6DD1">
            <w:pPr>
              <w:spacing w:after="0"/>
              <w:rPr>
                <w:rFonts w:ascii="Times New Roman" w:hAnsi="Times New Roman" w:cs="Times New Roman"/>
                <w:noProof/>
                <w:color w:val="006100"/>
                <w:lang w:val="en-GB"/>
              </w:rPr>
            </w:pPr>
            <w:r w:rsidRPr="001961AA">
              <w:rPr>
                <w:rFonts w:ascii="Times New Roman" w:hAnsi="Times New Roman"/>
                <w:noProof/>
                <w:color w:val="006100"/>
                <w:lang w:val="en-GB"/>
              </w:rPr>
              <w:t>Go Live of rail IT modules (I-3E)</w:t>
            </w:r>
          </w:p>
        </w:tc>
        <w:tc>
          <w:tcPr>
            <w:tcW w:w="1200" w:type="dxa"/>
            <w:tcBorders>
              <w:top w:val="nil"/>
              <w:left w:val="nil"/>
              <w:bottom w:val="single" w:sz="4" w:space="0" w:color="auto"/>
              <w:right w:val="single" w:sz="4" w:space="0" w:color="auto"/>
            </w:tcBorders>
            <w:shd w:val="clear" w:color="auto" w:fill="C6EFCE"/>
            <w:noWrap/>
            <w:vAlign w:val="center"/>
          </w:tcPr>
          <w:p w14:paraId="287E8C16" w14:textId="0EC70D55" w:rsidR="006A41D9" w:rsidRPr="001961AA" w:rsidRDefault="006A41D9" w:rsidP="00BD6DD1">
            <w:pPr>
              <w:spacing w:after="0"/>
              <w:rPr>
                <w:rFonts w:ascii="Times New Roman" w:hAnsi="Times New Roman" w:cs="Times New Roman"/>
                <w:noProof/>
                <w:color w:val="006100"/>
                <w:lang w:val="en-GB"/>
              </w:rPr>
            </w:pPr>
            <w:r w:rsidRPr="001961AA">
              <w:rPr>
                <w:rFonts w:ascii="Times New Roman" w:hAnsi="Times New Roman"/>
                <w:noProof/>
                <w:color w:val="006100"/>
                <w:lang w:val="en-GB"/>
              </w:rPr>
              <w:t>T</w:t>
            </w:r>
          </w:p>
        </w:tc>
        <w:tc>
          <w:tcPr>
            <w:tcW w:w="1680" w:type="dxa"/>
            <w:tcBorders>
              <w:top w:val="nil"/>
              <w:left w:val="nil"/>
              <w:bottom w:val="single" w:sz="4" w:space="0" w:color="auto"/>
              <w:right w:val="single" w:sz="4" w:space="0" w:color="auto"/>
            </w:tcBorders>
            <w:shd w:val="clear" w:color="auto" w:fill="C6EFCE"/>
            <w:noWrap/>
            <w:vAlign w:val="center"/>
          </w:tcPr>
          <w:p w14:paraId="19D0FF36" w14:textId="77777777" w:rsidR="006A41D9" w:rsidRPr="001961AA" w:rsidRDefault="006A41D9" w:rsidP="00BD6DD1">
            <w:pPr>
              <w:spacing w:after="0"/>
              <w:rPr>
                <w:rFonts w:ascii="Times New Roman" w:hAnsi="Times New Roman" w:cs="Times New Roman"/>
                <w:noProof/>
                <w:color w:val="006100"/>
                <w:lang w:val="en-GB"/>
              </w:rPr>
            </w:pPr>
            <w:r w:rsidRPr="001961AA">
              <w:rPr>
                <w:rFonts w:ascii="Times New Roman" w:hAnsi="Times New Roman"/>
                <w:noProof/>
                <w:color w:val="006100"/>
                <w:lang w:val="en-GB"/>
              </w:rPr>
              <w:t>Go Live of rail IT modules</w:t>
            </w:r>
          </w:p>
        </w:tc>
        <w:tc>
          <w:tcPr>
            <w:tcW w:w="1680" w:type="dxa"/>
            <w:tcBorders>
              <w:top w:val="nil"/>
              <w:left w:val="single" w:sz="4" w:space="0" w:color="auto"/>
              <w:bottom w:val="single" w:sz="4" w:space="0" w:color="auto"/>
              <w:right w:val="single" w:sz="4" w:space="0" w:color="auto"/>
            </w:tcBorders>
            <w:shd w:val="clear" w:color="auto" w:fill="C6EFCE"/>
            <w:noWrap/>
            <w:vAlign w:val="center"/>
          </w:tcPr>
          <w:p w14:paraId="01DB7E95" w14:textId="77777777" w:rsidR="006A41D9" w:rsidRPr="001961AA" w:rsidRDefault="006A41D9" w:rsidP="00BD6DD1">
            <w:pPr>
              <w:spacing w:after="0"/>
              <w:rPr>
                <w:rFonts w:ascii="Times New Roman" w:hAnsi="Times New Roman" w:cs="Times New Roman"/>
                <w:noProof/>
                <w:color w:val="006100"/>
                <w:lang w:val="en-GB" w:eastAsia="en-GB"/>
              </w:rPr>
            </w:pPr>
          </w:p>
        </w:tc>
        <w:tc>
          <w:tcPr>
            <w:tcW w:w="1440" w:type="dxa"/>
            <w:tcBorders>
              <w:top w:val="nil"/>
              <w:left w:val="nil"/>
              <w:bottom w:val="single" w:sz="4" w:space="0" w:color="auto"/>
              <w:right w:val="single" w:sz="4" w:space="0" w:color="auto"/>
            </w:tcBorders>
            <w:shd w:val="clear" w:color="auto" w:fill="C6EFCE"/>
            <w:noWrap/>
            <w:vAlign w:val="center"/>
          </w:tcPr>
          <w:p w14:paraId="5C93C3F0" w14:textId="77777777" w:rsidR="006A41D9" w:rsidRPr="001961AA" w:rsidRDefault="006A41D9" w:rsidP="00BD6DD1">
            <w:pPr>
              <w:spacing w:after="0"/>
              <w:rPr>
                <w:rFonts w:ascii="Times New Roman" w:hAnsi="Times New Roman" w:cs="Times New Roman"/>
                <w:noProof/>
                <w:color w:val="006100"/>
                <w:lang w:val="en-GB"/>
              </w:rPr>
            </w:pPr>
            <w:r w:rsidRPr="001961AA">
              <w:rPr>
                <w:rFonts w:ascii="Times New Roman" w:hAnsi="Times New Roman"/>
                <w:noProof/>
                <w:color w:val="006100"/>
                <w:lang w:val="en-GB"/>
              </w:rPr>
              <w:t>Modules</w:t>
            </w:r>
          </w:p>
        </w:tc>
        <w:tc>
          <w:tcPr>
            <w:tcW w:w="1080" w:type="dxa"/>
            <w:tcBorders>
              <w:top w:val="nil"/>
              <w:left w:val="nil"/>
              <w:bottom w:val="single" w:sz="4" w:space="0" w:color="auto"/>
              <w:right w:val="single" w:sz="4" w:space="0" w:color="auto"/>
            </w:tcBorders>
            <w:shd w:val="clear" w:color="auto" w:fill="C6EFCE"/>
            <w:noWrap/>
            <w:vAlign w:val="center"/>
          </w:tcPr>
          <w:p w14:paraId="2BD0B5AB"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0</w:t>
            </w:r>
          </w:p>
        </w:tc>
        <w:tc>
          <w:tcPr>
            <w:tcW w:w="720" w:type="dxa"/>
            <w:tcBorders>
              <w:top w:val="nil"/>
              <w:left w:val="nil"/>
              <w:bottom w:val="single" w:sz="4" w:space="0" w:color="auto"/>
              <w:right w:val="single" w:sz="4" w:space="0" w:color="auto"/>
            </w:tcBorders>
            <w:shd w:val="clear" w:color="auto" w:fill="C6EFCE"/>
            <w:noWrap/>
            <w:vAlign w:val="center"/>
          </w:tcPr>
          <w:p w14:paraId="00D625AF"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10</w:t>
            </w:r>
          </w:p>
        </w:tc>
        <w:tc>
          <w:tcPr>
            <w:tcW w:w="1080" w:type="dxa"/>
            <w:tcBorders>
              <w:top w:val="nil"/>
              <w:left w:val="nil"/>
              <w:bottom w:val="single" w:sz="4" w:space="0" w:color="auto"/>
              <w:right w:val="single" w:sz="4" w:space="0" w:color="auto"/>
            </w:tcBorders>
            <w:shd w:val="clear" w:color="auto" w:fill="C6EFCE"/>
            <w:noWrap/>
            <w:vAlign w:val="center"/>
          </w:tcPr>
          <w:p w14:paraId="327065C5"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Q4</w:t>
            </w:r>
          </w:p>
        </w:tc>
        <w:tc>
          <w:tcPr>
            <w:tcW w:w="840" w:type="dxa"/>
            <w:tcBorders>
              <w:top w:val="nil"/>
              <w:left w:val="nil"/>
              <w:bottom w:val="single" w:sz="4" w:space="0" w:color="auto"/>
              <w:right w:val="single" w:sz="4" w:space="0" w:color="auto"/>
            </w:tcBorders>
            <w:shd w:val="clear" w:color="auto" w:fill="C6EFCE"/>
            <w:noWrap/>
            <w:vAlign w:val="center"/>
          </w:tcPr>
          <w:p w14:paraId="1CFCFD14"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2024</w:t>
            </w:r>
          </w:p>
        </w:tc>
        <w:tc>
          <w:tcPr>
            <w:tcW w:w="3594" w:type="dxa"/>
            <w:tcBorders>
              <w:top w:val="nil"/>
              <w:left w:val="single" w:sz="4" w:space="0" w:color="auto"/>
              <w:bottom w:val="single" w:sz="4" w:space="0" w:color="auto"/>
              <w:right w:val="single" w:sz="4" w:space="0" w:color="auto"/>
            </w:tcBorders>
            <w:shd w:val="clear" w:color="auto" w:fill="C6EFCE"/>
            <w:noWrap/>
            <w:vAlign w:val="center"/>
          </w:tcPr>
          <w:p w14:paraId="3085A452" w14:textId="77777777" w:rsidR="006A41D9" w:rsidRPr="001961AA" w:rsidRDefault="006A41D9" w:rsidP="00BD6DD1">
            <w:pPr>
              <w:spacing w:after="0"/>
              <w:rPr>
                <w:rFonts w:ascii="Times New Roman" w:hAnsi="Times New Roman" w:cs="Times New Roman"/>
                <w:noProof/>
                <w:color w:val="006100"/>
                <w:lang w:val="en-GB"/>
              </w:rPr>
            </w:pPr>
            <w:r w:rsidRPr="001961AA">
              <w:rPr>
                <w:rFonts w:ascii="Times New Roman" w:hAnsi="Times New Roman"/>
                <w:noProof/>
                <w:color w:val="006100"/>
                <w:lang w:val="en-GB"/>
              </w:rPr>
              <w:t>Go Live of rail IT modules: - Infrabel traffic management system (1 module)</w:t>
            </w:r>
          </w:p>
          <w:p w14:paraId="11FDBAE4" w14:textId="77777777" w:rsidR="006A41D9" w:rsidRPr="001961AA" w:rsidRDefault="006A41D9" w:rsidP="00BD6DD1">
            <w:pPr>
              <w:spacing w:after="0"/>
              <w:rPr>
                <w:rFonts w:ascii="Times New Roman" w:hAnsi="Times New Roman" w:cs="Times New Roman"/>
                <w:noProof/>
                <w:color w:val="006100"/>
                <w:lang w:val="en-GB"/>
              </w:rPr>
            </w:pPr>
            <w:r w:rsidRPr="001961AA">
              <w:rPr>
                <w:rFonts w:ascii="Times New Roman" w:hAnsi="Times New Roman"/>
                <w:noProof/>
                <w:color w:val="006100"/>
                <w:lang w:val="en-GB"/>
              </w:rPr>
              <w:t>SNCB-NMBS Routeplanner (1 module)</w:t>
            </w:r>
          </w:p>
          <w:p w14:paraId="4DF77789"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SNCB-NMBS Ticketing components (8 modules) enabling better operations and customer experience in freight and passenger railway.</w:t>
            </w:r>
          </w:p>
        </w:tc>
      </w:tr>
      <w:tr w:rsidR="009E6286" w:rsidRPr="001961AA" w14:paraId="4F444083" w14:textId="77777777" w:rsidTr="009E6286">
        <w:trPr>
          <w:gridAfter w:val="1"/>
          <w:wAfter w:w="33" w:type="dxa"/>
          <w:trHeight w:val="309"/>
          <w:jc w:val="center"/>
        </w:trPr>
        <w:tc>
          <w:tcPr>
            <w:tcW w:w="69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CC23A9B"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110</w:t>
            </w:r>
          </w:p>
        </w:tc>
        <w:tc>
          <w:tcPr>
            <w:tcW w:w="1459" w:type="dxa"/>
            <w:tcBorders>
              <w:top w:val="nil"/>
              <w:left w:val="single" w:sz="4" w:space="0" w:color="auto"/>
              <w:bottom w:val="single" w:sz="4" w:space="0" w:color="auto"/>
              <w:right w:val="single" w:sz="4" w:space="0" w:color="auto"/>
            </w:tcBorders>
            <w:shd w:val="clear" w:color="auto" w:fill="C6EFCE"/>
            <w:noWrap/>
            <w:vAlign w:val="center"/>
          </w:tcPr>
          <w:p w14:paraId="624F08A0" w14:textId="77777777" w:rsidR="006A41D9" w:rsidRPr="001961AA" w:rsidRDefault="006A41D9" w:rsidP="00BD6DD1">
            <w:pPr>
              <w:spacing w:after="0"/>
              <w:rPr>
                <w:rFonts w:ascii="Times New Roman" w:hAnsi="Times New Roman" w:cs="Times New Roman"/>
                <w:noProof/>
                <w:color w:val="006100"/>
                <w:lang w:val="en-GB"/>
              </w:rPr>
            </w:pPr>
            <w:r w:rsidRPr="001961AA">
              <w:rPr>
                <w:rFonts w:ascii="Times New Roman" w:hAnsi="Times New Roman"/>
                <w:noProof/>
                <w:color w:val="006100"/>
                <w:lang w:val="en-GB"/>
              </w:rPr>
              <w:t>Mobiliteitsbudget (R-3.02)</w:t>
            </w:r>
          </w:p>
        </w:tc>
        <w:tc>
          <w:tcPr>
            <w:tcW w:w="1200" w:type="dxa"/>
            <w:tcBorders>
              <w:top w:val="nil"/>
              <w:left w:val="nil"/>
              <w:bottom w:val="single" w:sz="4" w:space="0" w:color="auto"/>
              <w:right w:val="single" w:sz="4" w:space="0" w:color="auto"/>
            </w:tcBorders>
            <w:shd w:val="clear" w:color="auto" w:fill="C6EFCE"/>
            <w:noWrap/>
            <w:vAlign w:val="center"/>
          </w:tcPr>
          <w:p w14:paraId="0D0AC46F" w14:textId="12058696" w:rsidR="006A41D9" w:rsidRPr="001961AA" w:rsidRDefault="006A41D9" w:rsidP="00BD6DD1">
            <w:pPr>
              <w:spacing w:after="0"/>
              <w:rPr>
                <w:rFonts w:ascii="Times New Roman" w:hAnsi="Times New Roman" w:cs="Times New Roman"/>
                <w:noProof/>
                <w:color w:val="006100"/>
                <w:lang w:val="en-GB"/>
              </w:rPr>
            </w:pPr>
            <w:r w:rsidRPr="001961AA">
              <w:rPr>
                <w:rFonts w:ascii="Times New Roman" w:hAnsi="Times New Roman"/>
                <w:noProof/>
                <w:color w:val="006100"/>
                <w:lang w:val="en-GB"/>
              </w:rPr>
              <w:t>M</w:t>
            </w:r>
          </w:p>
        </w:tc>
        <w:tc>
          <w:tcPr>
            <w:tcW w:w="1680" w:type="dxa"/>
            <w:tcBorders>
              <w:top w:val="nil"/>
              <w:left w:val="nil"/>
              <w:bottom w:val="single" w:sz="4" w:space="0" w:color="auto"/>
              <w:right w:val="single" w:sz="4" w:space="0" w:color="auto"/>
            </w:tcBorders>
            <w:shd w:val="clear" w:color="auto" w:fill="C6EFCE"/>
            <w:noWrap/>
            <w:vAlign w:val="center"/>
          </w:tcPr>
          <w:p w14:paraId="711E95C9" w14:textId="77777777" w:rsidR="006A41D9" w:rsidRPr="001961AA" w:rsidRDefault="006A41D9" w:rsidP="00BD6DD1">
            <w:pPr>
              <w:spacing w:after="0"/>
              <w:rPr>
                <w:rFonts w:ascii="Times New Roman" w:hAnsi="Times New Roman" w:cs="Times New Roman"/>
                <w:noProof/>
                <w:color w:val="006100"/>
                <w:lang w:val="en-GB"/>
              </w:rPr>
            </w:pPr>
            <w:r w:rsidRPr="001961AA">
              <w:rPr>
                <w:rFonts w:ascii="Times New Roman" w:hAnsi="Times New Roman"/>
                <w:noProof/>
                <w:color w:val="006100"/>
                <w:lang w:val="en-GB"/>
              </w:rPr>
              <w:t>Adoption of the mobility budget</w:t>
            </w:r>
          </w:p>
        </w:tc>
        <w:tc>
          <w:tcPr>
            <w:tcW w:w="1680" w:type="dxa"/>
            <w:tcBorders>
              <w:top w:val="nil"/>
              <w:left w:val="single" w:sz="4" w:space="0" w:color="auto"/>
              <w:bottom w:val="single" w:sz="4" w:space="0" w:color="auto"/>
              <w:right w:val="single" w:sz="4" w:space="0" w:color="auto"/>
            </w:tcBorders>
            <w:shd w:val="clear" w:color="auto" w:fill="C6EFCE"/>
            <w:noWrap/>
            <w:vAlign w:val="center"/>
          </w:tcPr>
          <w:p w14:paraId="3D653A74"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Adoption of the mobility budget</w:t>
            </w:r>
          </w:p>
        </w:tc>
        <w:tc>
          <w:tcPr>
            <w:tcW w:w="1440" w:type="dxa"/>
            <w:tcBorders>
              <w:top w:val="nil"/>
              <w:left w:val="nil"/>
              <w:bottom w:val="single" w:sz="4" w:space="0" w:color="auto"/>
              <w:right w:val="single" w:sz="4" w:space="0" w:color="auto"/>
            </w:tcBorders>
            <w:shd w:val="clear" w:color="auto" w:fill="C6EFCE"/>
            <w:noWrap/>
            <w:vAlign w:val="center"/>
          </w:tcPr>
          <w:p w14:paraId="6F80467C"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w:t>
            </w:r>
          </w:p>
        </w:tc>
        <w:tc>
          <w:tcPr>
            <w:tcW w:w="1080" w:type="dxa"/>
            <w:tcBorders>
              <w:top w:val="nil"/>
              <w:left w:val="nil"/>
              <w:bottom w:val="single" w:sz="4" w:space="0" w:color="auto"/>
              <w:right w:val="single" w:sz="4" w:space="0" w:color="auto"/>
            </w:tcBorders>
            <w:shd w:val="clear" w:color="auto" w:fill="C6EFCE"/>
            <w:noWrap/>
            <w:vAlign w:val="center"/>
          </w:tcPr>
          <w:p w14:paraId="271CF4CA"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w:t>
            </w:r>
          </w:p>
        </w:tc>
        <w:tc>
          <w:tcPr>
            <w:tcW w:w="720" w:type="dxa"/>
            <w:tcBorders>
              <w:top w:val="nil"/>
              <w:left w:val="nil"/>
              <w:bottom w:val="single" w:sz="4" w:space="0" w:color="auto"/>
              <w:right w:val="single" w:sz="4" w:space="0" w:color="auto"/>
            </w:tcBorders>
            <w:shd w:val="clear" w:color="auto" w:fill="C6EFCE"/>
            <w:noWrap/>
            <w:vAlign w:val="center"/>
          </w:tcPr>
          <w:p w14:paraId="1CE7B909"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w:t>
            </w:r>
          </w:p>
        </w:tc>
        <w:tc>
          <w:tcPr>
            <w:tcW w:w="1080" w:type="dxa"/>
            <w:tcBorders>
              <w:top w:val="nil"/>
              <w:left w:val="nil"/>
              <w:bottom w:val="single" w:sz="4" w:space="0" w:color="auto"/>
              <w:right w:val="single" w:sz="4" w:space="0" w:color="auto"/>
            </w:tcBorders>
            <w:shd w:val="clear" w:color="auto" w:fill="C6EFCE"/>
            <w:noWrap/>
            <w:vAlign w:val="center"/>
          </w:tcPr>
          <w:p w14:paraId="00B244F9"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Q3</w:t>
            </w:r>
          </w:p>
        </w:tc>
        <w:tc>
          <w:tcPr>
            <w:tcW w:w="840" w:type="dxa"/>
            <w:tcBorders>
              <w:top w:val="nil"/>
              <w:left w:val="nil"/>
              <w:bottom w:val="single" w:sz="4" w:space="0" w:color="auto"/>
              <w:right w:val="single" w:sz="4" w:space="0" w:color="auto"/>
            </w:tcBorders>
            <w:shd w:val="clear" w:color="auto" w:fill="C6EFCE"/>
            <w:noWrap/>
            <w:vAlign w:val="center"/>
          </w:tcPr>
          <w:p w14:paraId="520CA87F"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2021</w:t>
            </w:r>
          </w:p>
        </w:tc>
        <w:tc>
          <w:tcPr>
            <w:tcW w:w="3594" w:type="dxa"/>
            <w:tcBorders>
              <w:top w:val="nil"/>
              <w:left w:val="single" w:sz="4" w:space="0" w:color="auto"/>
              <w:bottom w:val="single" w:sz="4" w:space="0" w:color="auto"/>
              <w:right w:val="single" w:sz="4" w:space="0" w:color="auto"/>
            </w:tcBorders>
            <w:shd w:val="clear" w:color="auto" w:fill="C6EFCE"/>
            <w:noWrap/>
            <w:vAlign w:val="center"/>
          </w:tcPr>
          <w:p w14:paraId="4AA8F823"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Adoption of the mobility budget.</w:t>
            </w:r>
          </w:p>
        </w:tc>
      </w:tr>
      <w:tr w:rsidR="009E6286" w:rsidRPr="001961AA" w14:paraId="35D00F79" w14:textId="77777777" w:rsidTr="009E6286">
        <w:trPr>
          <w:gridAfter w:val="1"/>
          <w:wAfter w:w="33" w:type="dxa"/>
          <w:trHeight w:val="309"/>
          <w:jc w:val="center"/>
        </w:trPr>
        <w:tc>
          <w:tcPr>
            <w:tcW w:w="69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86BCDB7"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111</w:t>
            </w:r>
          </w:p>
        </w:tc>
        <w:tc>
          <w:tcPr>
            <w:tcW w:w="1459" w:type="dxa"/>
            <w:tcBorders>
              <w:top w:val="nil"/>
              <w:left w:val="single" w:sz="4" w:space="0" w:color="auto"/>
              <w:bottom w:val="single" w:sz="4" w:space="0" w:color="auto"/>
              <w:right w:val="single" w:sz="4" w:space="0" w:color="auto"/>
            </w:tcBorders>
            <w:shd w:val="clear" w:color="auto" w:fill="C6EFCE"/>
            <w:noWrap/>
            <w:vAlign w:val="center"/>
          </w:tcPr>
          <w:p w14:paraId="2ABF9D14" w14:textId="77777777" w:rsidR="006A41D9" w:rsidRPr="001961AA" w:rsidRDefault="006A41D9" w:rsidP="00BD6DD1">
            <w:pPr>
              <w:spacing w:after="0"/>
              <w:rPr>
                <w:rFonts w:ascii="Times New Roman" w:hAnsi="Times New Roman" w:cs="Times New Roman"/>
                <w:noProof/>
                <w:color w:val="006100"/>
                <w:lang w:val="en-GB"/>
              </w:rPr>
            </w:pPr>
            <w:r w:rsidRPr="001961AA">
              <w:rPr>
                <w:rFonts w:ascii="Times New Roman" w:hAnsi="Times New Roman"/>
                <w:noProof/>
                <w:color w:val="006100"/>
                <w:lang w:val="en-GB"/>
              </w:rPr>
              <w:t>SNCB/INFRABEL Performance (R-3.01)</w:t>
            </w:r>
          </w:p>
        </w:tc>
        <w:tc>
          <w:tcPr>
            <w:tcW w:w="1200" w:type="dxa"/>
            <w:tcBorders>
              <w:top w:val="nil"/>
              <w:left w:val="nil"/>
              <w:bottom w:val="single" w:sz="4" w:space="0" w:color="auto"/>
              <w:right w:val="single" w:sz="4" w:space="0" w:color="auto"/>
            </w:tcBorders>
            <w:shd w:val="clear" w:color="auto" w:fill="C6EFCE"/>
            <w:noWrap/>
            <w:vAlign w:val="center"/>
          </w:tcPr>
          <w:p w14:paraId="13F9D991" w14:textId="3816D13D" w:rsidR="006A41D9" w:rsidRPr="001961AA" w:rsidRDefault="006A41D9" w:rsidP="00BD6DD1">
            <w:pPr>
              <w:spacing w:after="0"/>
              <w:rPr>
                <w:rFonts w:ascii="Times New Roman" w:hAnsi="Times New Roman" w:cs="Times New Roman"/>
                <w:noProof/>
                <w:color w:val="006100"/>
                <w:lang w:val="en-GB"/>
              </w:rPr>
            </w:pPr>
            <w:r w:rsidRPr="001961AA">
              <w:rPr>
                <w:rFonts w:ascii="Times New Roman" w:hAnsi="Times New Roman"/>
                <w:noProof/>
                <w:color w:val="006100"/>
                <w:lang w:val="en-GB"/>
              </w:rPr>
              <w:t>M</w:t>
            </w:r>
          </w:p>
        </w:tc>
        <w:tc>
          <w:tcPr>
            <w:tcW w:w="1680" w:type="dxa"/>
            <w:tcBorders>
              <w:top w:val="nil"/>
              <w:left w:val="nil"/>
              <w:bottom w:val="single" w:sz="4" w:space="0" w:color="auto"/>
              <w:right w:val="single" w:sz="4" w:space="0" w:color="auto"/>
            </w:tcBorders>
            <w:shd w:val="clear" w:color="auto" w:fill="C6EFCE"/>
            <w:noWrap/>
            <w:vAlign w:val="center"/>
          </w:tcPr>
          <w:p w14:paraId="731C4639" w14:textId="77777777" w:rsidR="006A41D9" w:rsidRPr="001961AA" w:rsidRDefault="006A41D9" w:rsidP="00BD6DD1">
            <w:pPr>
              <w:spacing w:after="0"/>
              <w:rPr>
                <w:rFonts w:ascii="Times New Roman" w:hAnsi="Times New Roman" w:cs="Times New Roman"/>
                <w:noProof/>
                <w:color w:val="006100"/>
                <w:lang w:val="en-GB"/>
              </w:rPr>
            </w:pPr>
            <w:r w:rsidRPr="001961AA">
              <w:rPr>
                <w:rFonts w:ascii="Times New Roman" w:hAnsi="Times New Roman"/>
                <w:noProof/>
                <w:color w:val="006100"/>
                <w:lang w:val="en-GB"/>
              </w:rPr>
              <w:t>Approval of the new performance contracts of NMBS-SNCB and Infrabel and the pluri-annual investment plan, contract</w:t>
            </w:r>
          </w:p>
        </w:tc>
        <w:tc>
          <w:tcPr>
            <w:tcW w:w="1680" w:type="dxa"/>
            <w:tcBorders>
              <w:top w:val="nil"/>
              <w:left w:val="single" w:sz="4" w:space="0" w:color="auto"/>
              <w:bottom w:val="single" w:sz="4" w:space="0" w:color="auto"/>
              <w:right w:val="single" w:sz="4" w:space="0" w:color="auto"/>
            </w:tcBorders>
            <w:shd w:val="clear" w:color="auto" w:fill="C6EFCE"/>
            <w:noWrap/>
            <w:vAlign w:val="center"/>
          </w:tcPr>
          <w:p w14:paraId="1EBEDB8A"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Approval of contracts</w:t>
            </w:r>
          </w:p>
        </w:tc>
        <w:tc>
          <w:tcPr>
            <w:tcW w:w="1440" w:type="dxa"/>
            <w:tcBorders>
              <w:top w:val="nil"/>
              <w:left w:val="nil"/>
              <w:bottom w:val="single" w:sz="4" w:space="0" w:color="auto"/>
              <w:right w:val="single" w:sz="4" w:space="0" w:color="auto"/>
            </w:tcBorders>
            <w:shd w:val="clear" w:color="auto" w:fill="C6EFCE"/>
            <w:noWrap/>
            <w:vAlign w:val="center"/>
          </w:tcPr>
          <w:p w14:paraId="1AF90717"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w:t>
            </w:r>
          </w:p>
        </w:tc>
        <w:tc>
          <w:tcPr>
            <w:tcW w:w="1080" w:type="dxa"/>
            <w:tcBorders>
              <w:top w:val="nil"/>
              <w:left w:val="nil"/>
              <w:bottom w:val="single" w:sz="4" w:space="0" w:color="auto"/>
              <w:right w:val="single" w:sz="4" w:space="0" w:color="auto"/>
            </w:tcBorders>
            <w:shd w:val="clear" w:color="auto" w:fill="C6EFCE"/>
            <w:noWrap/>
            <w:vAlign w:val="center"/>
          </w:tcPr>
          <w:p w14:paraId="5E91BB8B"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w:t>
            </w:r>
          </w:p>
        </w:tc>
        <w:tc>
          <w:tcPr>
            <w:tcW w:w="720" w:type="dxa"/>
            <w:tcBorders>
              <w:top w:val="nil"/>
              <w:left w:val="nil"/>
              <w:bottom w:val="single" w:sz="4" w:space="0" w:color="auto"/>
              <w:right w:val="single" w:sz="4" w:space="0" w:color="auto"/>
            </w:tcBorders>
            <w:shd w:val="clear" w:color="auto" w:fill="C6EFCE"/>
            <w:noWrap/>
            <w:vAlign w:val="center"/>
          </w:tcPr>
          <w:p w14:paraId="17D4BA8F"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w:t>
            </w:r>
          </w:p>
        </w:tc>
        <w:tc>
          <w:tcPr>
            <w:tcW w:w="1080" w:type="dxa"/>
            <w:tcBorders>
              <w:top w:val="nil"/>
              <w:left w:val="nil"/>
              <w:bottom w:val="single" w:sz="4" w:space="0" w:color="auto"/>
              <w:right w:val="single" w:sz="4" w:space="0" w:color="auto"/>
            </w:tcBorders>
            <w:shd w:val="clear" w:color="auto" w:fill="C6EFCE"/>
            <w:noWrap/>
            <w:vAlign w:val="center"/>
          </w:tcPr>
          <w:p w14:paraId="5705CB7A"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Q2</w:t>
            </w:r>
          </w:p>
        </w:tc>
        <w:tc>
          <w:tcPr>
            <w:tcW w:w="840" w:type="dxa"/>
            <w:tcBorders>
              <w:top w:val="nil"/>
              <w:left w:val="nil"/>
              <w:bottom w:val="single" w:sz="4" w:space="0" w:color="auto"/>
              <w:right w:val="single" w:sz="4" w:space="0" w:color="auto"/>
            </w:tcBorders>
            <w:shd w:val="clear" w:color="auto" w:fill="C6EFCE"/>
            <w:noWrap/>
            <w:vAlign w:val="center"/>
          </w:tcPr>
          <w:p w14:paraId="145BE4C2"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2023</w:t>
            </w:r>
          </w:p>
        </w:tc>
        <w:tc>
          <w:tcPr>
            <w:tcW w:w="3594" w:type="dxa"/>
            <w:tcBorders>
              <w:top w:val="nil"/>
              <w:left w:val="single" w:sz="4" w:space="0" w:color="auto"/>
              <w:bottom w:val="single" w:sz="4" w:space="0" w:color="auto"/>
              <w:right w:val="single" w:sz="4" w:space="0" w:color="auto"/>
            </w:tcBorders>
            <w:shd w:val="clear" w:color="auto" w:fill="C6EFCE"/>
            <w:noWrap/>
            <w:vAlign w:val="center"/>
          </w:tcPr>
          <w:p w14:paraId="2463AD5C" w14:textId="77777777" w:rsidR="006A41D9" w:rsidRPr="001961AA" w:rsidRDefault="006A41D9" w:rsidP="00BD6DD1">
            <w:pPr>
              <w:spacing w:after="0"/>
              <w:rPr>
                <w:rFonts w:ascii="Times New Roman" w:hAnsi="Times New Roman" w:cs="Times New Roman"/>
                <w:noProof/>
                <w:color w:val="006100"/>
                <w:lang w:val="en-GB"/>
              </w:rPr>
            </w:pPr>
            <w:r w:rsidRPr="001961AA">
              <w:rPr>
                <w:rFonts w:ascii="Times New Roman" w:hAnsi="Times New Roman"/>
                <w:noProof/>
                <w:color w:val="006100"/>
                <w:lang w:val="en-GB"/>
              </w:rPr>
              <w:t>The new performance contract shall include provisions to ensure:</w:t>
            </w:r>
          </w:p>
          <w:p w14:paraId="1EFE75D2"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 the timely execution of the works for the RER-GEN in line with the law adopting the inter-regional cooperation agreement on strategic railway investments (Annex Ia of the Loi portant assentiment à l’accord de coopération du 5 octobre 2018 entre l’Etat fédéral, la Région ﬂamande, la Région wallonne et la Région de Bruxelles-Capitale relatif au ﬁnancement des infrastructures ferroviaires stratégiques / Wet houdende instemming met het samenwerkingsakkoord van 5 oktober 2018 tussen de Federale Staat, het Vlaamse Gewest, het Waalse Gewest en het Brusselse Hoofdstedelijke Gewest betreffende de ﬁnanciering van de strategische spoorweginfrastructuren, Moniteur belge – 11.03.2019 – Belgisch Staatsblad)</w:t>
            </w:r>
          </w:p>
          <w:p w14:paraId="22FAB323"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 Right incentives for efficiency and service quality embedded in the contract</w:t>
            </w:r>
          </w:p>
          <w:p w14:paraId="06B701E3"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 the completion of investments I-3.09 ‘Rail-Accessible and multimodal train stations - FED’, I-3.10 ‘Rail – efficient network - FED’ and I-3.12 ‘Rail – Smart mobility - FED’, included in this component of the RRP</w:t>
            </w:r>
          </w:p>
        </w:tc>
      </w:tr>
      <w:tr w:rsidR="009E6286" w:rsidRPr="001961AA" w14:paraId="5686CCBB" w14:textId="77777777" w:rsidTr="009E6286">
        <w:trPr>
          <w:gridAfter w:val="1"/>
          <w:wAfter w:w="33" w:type="dxa"/>
          <w:trHeight w:val="309"/>
          <w:jc w:val="center"/>
        </w:trPr>
        <w:tc>
          <w:tcPr>
            <w:tcW w:w="69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9EE5CAB" w14:textId="3ED262BB"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112</w:t>
            </w:r>
          </w:p>
        </w:tc>
        <w:tc>
          <w:tcPr>
            <w:tcW w:w="1459" w:type="dxa"/>
            <w:tcBorders>
              <w:top w:val="nil"/>
              <w:left w:val="single" w:sz="4" w:space="0" w:color="auto"/>
              <w:bottom w:val="single" w:sz="4" w:space="0" w:color="auto"/>
              <w:right w:val="single" w:sz="4" w:space="0" w:color="auto"/>
            </w:tcBorders>
            <w:shd w:val="clear" w:color="auto" w:fill="C6EFCE"/>
            <w:noWrap/>
            <w:vAlign w:val="center"/>
          </w:tcPr>
          <w:p w14:paraId="1865B915" w14:textId="559055B0" w:rsidR="006A41D9" w:rsidRPr="001961AA" w:rsidRDefault="00147068" w:rsidP="00BD6DD1">
            <w:pPr>
              <w:spacing w:after="0"/>
              <w:rPr>
                <w:rFonts w:ascii="Times New Roman" w:hAnsi="Times New Roman" w:cs="Times New Roman"/>
                <w:noProof/>
                <w:color w:val="006100"/>
                <w:lang w:val="en-GB"/>
              </w:rPr>
            </w:pPr>
            <w:r w:rsidRPr="001961AA">
              <w:rPr>
                <w:rFonts w:ascii="Times New Roman" w:hAnsi="Times New Roman"/>
                <w:noProof/>
                <w:color w:val="006100"/>
                <w:lang w:val="en-GB"/>
              </w:rPr>
              <w:t xml:space="preserve">‘Smart Mobility tools’ of Brussels Capital Region (I-3F) </w:t>
            </w:r>
            <w:r w:rsidRPr="001961AA">
              <w:rPr>
                <w:noProof/>
                <w:lang w:val="en-GB"/>
              </w:rPr>
              <w:t xml:space="preserve"> </w:t>
            </w:r>
          </w:p>
        </w:tc>
        <w:tc>
          <w:tcPr>
            <w:tcW w:w="1200" w:type="dxa"/>
            <w:tcBorders>
              <w:top w:val="nil"/>
              <w:left w:val="nil"/>
              <w:bottom w:val="single" w:sz="4" w:space="0" w:color="auto"/>
              <w:right w:val="single" w:sz="4" w:space="0" w:color="auto"/>
            </w:tcBorders>
            <w:shd w:val="clear" w:color="auto" w:fill="C6EFCE"/>
            <w:noWrap/>
            <w:vAlign w:val="center"/>
          </w:tcPr>
          <w:p w14:paraId="117A0D82" w14:textId="03222592" w:rsidR="006A41D9" w:rsidRPr="001961AA" w:rsidRDefault="00823406" w:rsidP="00BD6DD1">
            <w:pPr>
              <w:spacing w:after="0"/>
              <w:rPr>
                <w:rFonts w:ascii="Times New Roman" w:hAnsi="Times New Roman" w:cs="Times New Roman"/>
                <w:noProof/>
                <w:color w:val="006100"/>
                <w:lang w:val="en-GB"/>
              </w:rPr>
            </w:pPr>
            <w:r w:rsidRPr="001961AA">
              <w:rPr>
                <w:rFonts w:ascii="Times New Roman" w:hAnsi="Times New Roman"/>
                <w:noProof/>
                <w:color w:val="006100"/>
                <w:lang w:val="en-GB"/>
              </w:rPr>
              <w:t>T</w:t>
            </w:r>
          </w:p>
        </w:tc>
        <w:tc>
          <w:tcPr>
            <w:tcW w:w="1680" w:type="dxa"/>
            <w:tcBorders>
              <w:top w:val="nil"/>
              <w:left w:val="nil"/>
              <w:bottom w:val="single" w:sz="4" w:space="0" w:color="auto"/>
              <w:right w:val="single" w:sz="4" w:space="0" w:color="auto"/>
            </w:tcBorders>
            <w:shd w:val="clear" w:color="auto" w:fill="C6EFCE"/>
            <w:noWrap/>
            <w:vAlign w:val="center"/>
          </w:tcPr>
          <w:p w14:paraId="1264F485" w14:textId="5ECE2A5E" w:rsidR="006A41D9" w:rsidRPr="001961AA" w:rsidRDefault="000E43B2" w:rsidP="00BD6DD1">
            <w:pPr>
              <w:spacing w:after="0"/>
              <w:rPr>
                <w:rFonts w:ascii="Times New Roman" w:hAnsi="Times New Roman" w:cs="Times New Roman"/>
                <w:noProof/>
                <w:color w:val="006100"/>
                <w:lang w:val="en-GB"/>
              </w:rPr>
            </w:pPr>
            <w:r w:rsidRPr="001961AA">
              <w:rPr>
                <w:rFonts w:ascii="Times New Roman" w:hAnsi="Times New Roman"/>
                <w:noProof/>
                <w:color w:val="006100"/>
                <w:lang w:val="en-GB"/>
              </w:rPr>
              <w:t xml:space="preserve">Smart Mobility tools are in operation  </w:t>
            </w:r>
          </w:p>
        </w:tc>
        <w:tc>
          <w:tcPr>
            <w:tcW w:w="1680" w:type="dxa"/>
            <w:tcBorders>
              <w:top w:val="nil"/>
              <w:left w:val="single" w:sz="4" w:space="0" w:color="auto"/>
              <w:bottom w:val="single" w:sz="4" w:space="0" w:color="auto"/>
              <w:right w:val="single" w:sz="4" w:space="0" w:color="auto"/>
            </w:tcBorders>
            <w:shd w:val="clear" w:color="auto" w:fill="C6EFCE"/>
            <w:noWrap/>
            <w:vAlign w:val="center"/>
          </w:tcPr>
          <w:p w14:paraId="46053FF3" w14:textId="263C404D"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1440" w:type="dxa"/>
            <w:tcBorders>
              <w:top w:val="nil"/>
              <w:left w:val="nil"/>
              <w:bottom w:val="single" w:sz="4" w:space="0" w:color="auto"/>
              <w:right w:val="single" w:sz="4" w:space="0" w:color="auto"/>
            </w:tcBorders>
            <w:shd w:val="clear" w:color="auto" w:fill="C6EFCE"/>
            <w:noWrap/>
            <w:vAlign w:val="center"/>
          </w:tcPr>
          <w:p w14:paraId="52731881" w14:textId="658DE801" w:rsidR="00823406" w:rsidRPr="001961AA" w:rsidRDefault="00FD5044"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Cameras</w:t>
            </w:r>
          </w:p>
        </w:tc>
        <w:tc>
          <w:tcPr>
            <w:tcW w:w="1080" w:type="dxa"/>
            <w:tcBorders>
              <w:top w:val="nil"/>
              <w:left w:val="nil"/>
              <w:bottom w:val="single" w:sz="4" w:space="0" w:color="auto"/>
              <w:right w:val="single" w:sz="4" w:space="0" w:color="auto"/>
            </w:tcBorders>
            <w:shd w:val="clear" w:color="auto" w:fill="C6EFCE"/>
            <w:noWrap/>
            <w:vAlign w:val="center"/>
          </w:tcPr>
          <w:p w14:paraId="247FF4CA" w14:textId="5CB137F5" w:rsidR="00823406" w:rsidRPr="001961AA" w:rsidRDefault="00084CA0"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0</w:t>
            </w:r>
          </w:p>
        </w:tc>
        <w:tc>
          <w:tcPr>
            <w:tcW w:w="720" w:type="dxa"/>
            <w:tcBorders>
              <w:top w:val="nil"/>
              <w:left w:val="nil"/>
              <w:bottom w:val="single" w:sz="4" w:space="0" w:color="auto"/>
              <w:right w:val="single" w:sz="4" w:space="0" w:color="auto"/>
            </w:tcBorders>
            <w:shd w:val="clear" w:color="auto" w:fill="C6EFCE"/>
            <w:noWrap/>
            <w:vAlign w:val="center"/>
          </w:tcPr>
          <w:p w14:paraId="5BDEC0BF" w14:textId="50FFA906" w:rsidR="00084CA0" w:rsidRPr="001961AA" w:rsidRDefault="00084CA0"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159</w:t>
            </w:r>
          </w:p>
        </w:tc>
        <w:tc>
          <w:tcPr>
            <w:tcW w:w="1080" w:type="dxa"/>
            <w:tcBorders>
              <w:top w:val="nil"/>
              <w:left w:val="nil"/>
              <w:bottom w:val="single" w:sz="4" w:space="0" w:color="auto"/>
              <w:right w:val="single" w:sz="4" w:space="0" w:color="auto"/>
            </w:tcBorders>
            <w:shd w:val="clear" w:color="auto" w:fill="C6EFCE"/>
            <w:noWrap/>
            <w:vAlign w:val="center"/>
          </w:tcPr>
          <w:p w14:paraId="0B9557A6" w14:textId="707B8FE1"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Q3</w:t>
            </w:r>
          </w:p>
        </w:tc>
        <w:tc>
          <w:tcPr>
            <w:tcW w:w="840" w:type="dxa"/>
            <w:tcBorders>
              <w:top w:val="nil"/>
              <w:left w:val="nil"/>
              <w:bottom w:val="single" w:sz="4" w:space="0" w:color="auto"/>
              <w:right w:val="single" w:sz="4" w:space="0" w:color="auto"/>
            </w:tcBorders>
            <w:shd w:val="clear" w:color="auto" w:fill="C6EFCE"/>
            <w:noWrap/>
            <w:vAlign w:val="center"/>
          </w:tcPr>
          <w:p w14:paraId="7B50433C" w14:textId="4F4B96A2"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2023</w:t>
            </w:r>
          </w:p>
        </w:tc>
        <w:tc>
          <w:tcPr>
            <w:tcW w:w="3594" w:type="dxa"/>
            <w:tcBorders>
              <w:top w:val="nil"/>
              <w:left w:val="single" w:sz="4" w:space="0" w:color="auto"/>
              <w:bottom w:val="single" w:sz="4" w:space="0" w:color="auto"/>
              <w:right w:val="single" w:sz="4" w:space="0" w:color="auto"/>
            </w:tcBorders>
            <w:shd w:val="clear" w:color="auto" w:fill="C6EFCE"/>
            <w:noWrap/>
            <w:vAlign w:val="center"/>
          </w:tcPr>
          <w:p w14:paraId="7BED3BC2" w14:textId="7DEF3225" w:rsidR="00FD5044" w:rsidRPr="001961AA" w:rsidRDefault="0007662C" w:rsidP="002B63A3">
            <w:pPr>
              <w:spacing w:after="0"/>
              <w:rPr>
                <w:rFonts w:ascii="Times New Roman" w:hAnsi="Times New Roman" w:cs="Times New Roman"/>
                <w:noProof/>
                <w:color w:val="006100"/>
                <w:lang w:val="en-GB"/>
              </w:rPr>
            </w:pPr>
            <w:r w:rsidRPr="001961AA">
              <w:rPr>
                <w:rFonts w:ascii="Times New Roman" w:hAnsi="Times New Roman"/>
                <w:noProof/>
                <w:color w:val="006100"/>
                <w:lang w:val="en-GB"/>
              </w:rPr>
              <w:t>159 ANPR cameras are installed and in operation (I-3.15b).</w:t>
            </w:r>
          </w:p>
          <w:p w14:paraId="0A1D764B" w14:textId="6A00EEDD" w:rsidR="00FD5044" w:rsidRPr="001961AA" w:rsidRDefault="00FD5044" w:rsidP="00FD5044">
            <w:pPr>
              <w:spacing w:after="0"/>
              <w:rPr>
                <w:rFonts w:ascii="Times New Roman" w:hAnsi="Times New Roman" w:cs="Times New Roman"/>
                <w:iCs/>
                <w:noProof/>
                <w:color w:val="006100"/>
                <w:lang w:val="en-GB"/>
              </w:rPr>
            </w:pPr>
            <w:r w:rsidRPr="001961AA">
              <w:rPr>
                <w:rFonts w:ascii="Times New Roman" w:hAnsi="Times New Roman"/>
                <w:noProof/>
                <w:color w:val="006100"/>
                <w:lang w:val="en-GB"/>
              </w:rPr>
              <w:t xml:space="preserve">In addition, FLOYA application is in operation (I-3.15a).  </w:t>
            </w:r>
          </w:p>
          <w:p w14:paraId="42A1DC22" w14:textId="274FCDE6" w:rsidR="006A41D9" w:rsidRPr="001961AA" w:rsidRDefault="006A41D9" w:rsidP="002B63A3">
            <w:pPr>
              <w:spacing w:after="0"/>
              <w:rPr>
                <w:rFonts w:ascii="Times New Roman" w:eastAsia="Times New Roman" w:hAnsi="Times New Roman" w:cs="Times New Roman"/>
                <w:noProof/>
                <w:color w:val="006100"/>
                <w:lang w:val="en-GB" w:eastAsia="en-GB"/>
              </w:rPr>
            </w:pPr>
          </w:p>
        </w:tc>
      </w:tr>
      <w:tr w:rsidR="009E6286" w:rsidRPr="001961AA" w14:paraId="2A131E84" w14:textId="77777777" w:rsidTr="009E6286">
        <w:trPr>
          <w:gridAfter w:val="1"/>
          <w:wAfter w:w="33" w:type="dxa"/>
          <w:trHeight w:val="309"/>
          <w:jc w:val="center"/>
        </w:trPr>
        <w:tc>
          <w:tcPr>
            <w:tcW w:w="69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C690D9C"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113</w:t>
            </w:r>
          </w:p>
        </w:tc>
        <w:tc>
          <w:tcPr>
            <w:tcW w:w="1459" w:type="dxa"/>
            <w:tcBorders>
              <w:top w:val="nil"/>
              <w:left w:val="single" w:sz="4" w:space="0" w:color="auto"/>
              <w:bottom w:val="single" w:sz="4" w:space="0" w:color="auto"/>
              <w:right w:val="single" w:sz="4" w:space="0" w:color="auto"/>
            </w:tcBorders>
            <w:shd w:val="clear" w:color="auto" w:fill="C6EFCE"/>
            <w:noWrap/>
            <w:vAlign w:val="center"/>
          </w:tcPr>
          <w:p w14:paraId="353BCDD3" w14:textId="77777777" w:rsidR="006A41D9" w:rsidRPr="001961AA" w:rsidRDefault="006A41D9" w:rsidP="00BD6DD1">
            <w:pPr>
              <w:spacing w:after="0"/>
              <w:rPr>
                <w:rFonts w:ascii="Times New Roman" w:hAnsi="Times New Roman" w:cs="Times New Roman"/>
                <w:noProof/>
                <w:color w:val="006100"/>
                <w:lang w:val="en-GB"/>
              </w:rPr>
            </w:pPr>
            <w:r w:rsidRPr="001961AA">
              <w:rPr>
                <w:rFonts w:ascii="Times New Roman" w:hAnsi="Times New Roman"/>
                <w:noProof/>
                <w:color w:val="006100"/>
                <w:lang w:val="en-GB"/>
              </w:rPr>
              <w:t>Modal shift grants (I-3.14)</w:t>
            </w:r>
          </w:p>
        </w:tc>
        <w:tc>
          <w:tcPr>
            <w:tcW w:w="1200" w:type="dxa"/>
            <w:tcBorders>
              <w:top w:val="nil"/>
              <w:left w:val="nil"/>
              <w:bottom w:val="single" w:sz="4" w:space="0" w:color="auto"/>
              <w:right w:val="single" w:sz="4" w:space="0" w:color="auto"/>
            </w:tcBorders>
            <w:shd w:val="clear" w:color="auto" w:fill="C6EFCE"/>
            <w:noWrap/>
            <w:vAlign w:val="center"/>
          </w:tcPr>
          <w:p w14:paraId="5253DB50" w14:textId="4A9BCF5F" w:rsidR="006A41D9" w:rsidRPr="001961AA" w:rsidRDefault="006A41D9" w:rsidP="00BD6DD1">
            <w:pPr>
              <w:spacing w:after="0"/>
              <w:rPr>
                <w:rFonts w:ascii="Times New Roman" w:hAnsi="Times New Roman" w:cs="Times New Roman"/>
                <w:noProof/>
                <w:color w:val="006100"/>
                <w:lang w:val="en-GB"/>
              </w:rPr>
            </w:pPr>
            <w:r w:rsidRPr="001961AA">
              <w:rPr>
                <w:rFonts w:ascii="Times New Roman" w:hAnsi="Times New Roman"/>
                <w:noProof/>
                <w:color w:val="006100"/>
                <w:lang w:val="en-GB"/>
              </w:rPr>
              <w:t>T</w:t>
            </w:r>
          </w:p>
        </w:tc>
        <w:tc>
          <w:tcPr>
            <w:tcW w:w="1680" w:type="dxa"/>
            <w:tcBorders>
              <w:top w:val="nil"/>
              <w:left w:val="nil"/>
              <w:bottom w:val="single" w:sz="4" w:space="0" w:color="auto"/>
              <w:right w:val="single" w:sz="4" w:space="0" w:color="auto"/>
            </w:tcBorders>
            <w:shd w:val="clear" w:color="auto" w:fill="C6EFCE"/>
            <w:noWrap/>
            <w:vAlign w:val="center"/>
          </w:tcPr>
          <w:p w14:paraId="761166B9" w14:textId="53C7FFB8" w:rsidR="006A41D9" w:rsidRPr="001961AA" w:rsidRDefault="006A41D9" w:rsidP="00BD6DD1">
            <w:pPr>
              <w:spacing w:after="0"/>
              <w:rPr>
                <w:rFonts w:ascii="Times New Roman" w:hAnsi="Times New Roman" w:cs="Times New Roman"/>
                <w:noProof/>
                <w:color w:val="006100"/>
                <w:lang w:val="en-GB"/>
              </w:rPr>
            </w:pPr>
            <w:r w:rsidRPr="001961AA">
              <w:rPr>
                <w:rFonts w:ascii="Times New Roman" w:hAnsi="Times New Roman"/>
                <w:noProof/>
                <w:color w:val="006100"/>
                <w:lang w:val="en-GB"/>
              </w:rPr>
              <w:t>First 4 375 new modal shift grants applications</w:t>
            </w:r>
          </w:p>
        </w:tc>
        <w:tc>
          <w:tcPr>
            <w:tcW w:w="1680" w:type="dxa"/>
            <w:tcBorders>
              <w:top w:val="nil"/>
              <w:left w:val="single" w:sz="4" w:space="0" w:color="auto"/>
              <w:bottom w:val="single" w:sz="4" w:space="0" w:color="auto"/>
              <w:right w:val="single" w:sz="4" w:space="0" w:color="auto"/>
            </w:tcBorders>
            <w:shd w:val="clear" w:color="auto" w:fill="C6EFCE"/>
            <w:noWrap/>
            <w:vAlign w:val="center"/>
          </w:tcPr>
          <w:p w14:paraId="149EBF2C" w14:textId="77777777"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1440" w:type="dxa"/>
            <w:tcBorders>
              <w:top w:val="nil"/>
              <w:left w:val="nil"/>
              <w:bottom w:val="single" w:sz="4" w:space="0" w:color="auto"/>
              <w:right w:val="single" w:sz="4" w:space="0" w:color="auto"/>
            </w:tcBorders>
            <w:shd w:val="clear" w:color="auto" w:fill="C6EFCE"/>
            <w:noWrap/>
            <w:vAlign w:val="center"/>
          </w:tcPr>
          <w:p w14:paraId="2918A71E"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Number</w:t>
            </w:r>
          </w:p>
        </w:tc>
        <w:tc>
          <w:tcPr>
            <w:tcW w:w="1080" w:type="dxa"/>
            <w:tcBorders>
              <w:top w:val="nil"/>
              <w:left w:val="nil"/>
              <w:bottom w:val="single" w:sz="4" w:space="0" w:color="auto"/>
              <w:right w:val="single" w:sz="4" w:space="0" w:color="auto"/>
            </w:tcBorders>
            <w:shd w:val="clear" w:color="auto" w:fill="C6EFCE"/>
            <w:noWrap/>
            <w:vAlign w:val="center"/>
          </w:tcPr>
          <w:p w14:paraId="31D00337"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0</w:t>
            </w:r>
          </w:p>
        </w:tc>
        <w:tc>
          <w:tcPr>
            <w:tcW w:w="720" w:type="dxa"/>
            <w:tcBorders>
              <w:top w:val="nil"/>
              <w:left w:val="nil"/>
              <w:bottom w:val="single" w:sz="4" w:space="0" w:color="auto"/>
              <w:right w:val="single" w:sz="4" w:space="0" w:color="auto"/>
            </w:tcBorders>
            <w:shd w:val="clear" w:color="auto" w:fill="C6EFCE"/>
            <w:noWrap/>
            <w:vAlign w:val="center"/>
          </w:tcPr>
          <w:p w14:paraId="7C002008" w14:textId="0DEC836F" w:rsidR="006A41D9" w:rsidRPr="001961AA" w:rsidRDefault="006A41D9" w:rsidP="00415E58">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4 375</w:t>
            </w:r>
          </w:p>
        </w:tc>
        <w:tc>
          <w:tcPr>
            <w:tcW w:w="1080" w:type="dxa"/>
            <w:tcBorders>
              <w:top w:val="nil"/>
              <w:left w:val="nil"/>
              <w:bottom w:val="single" w:sz="4" w:space="0" w:color="auto"/>
              <w:right w:val="single" w:sz="4" w:space="0" w:color="auto"/>
            </w:tcBorders>
            <w:shd w:val="clear" w:color="auto" w:fill="C6EFCE"/>
            <w:noWrap/>
            <w:vAlign w:val="center"/>
          </w:tcPr>
          <w:p w14:paraId="2BD9C4E0"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Q4</w:t>
            </w:r>
          </w:p>
        </w:tc>
        <w:tc>
          <w:tcPr>
            <w:tcW w:w="840" w:type="dxa"/>
            <w:tcBorders>
              <w:top w:val="nil"/>
              <w:left w:val="nil"/>
              <w:bottom w:val="single" w:sz="4" w:space="0" w:color="auto"/>
              <w:right w:val="single" w:sz="4" w:space="0" w:color="auto"/>
            </w:tcBorders>
            <w:shd w:val="clear" w:color="auto" w:fill="C6EFCE"/>
            <w:noWrap/>
            <w:vAlign w:val="center"/>
          </w:tcPr>
          <w:p w14:paraId="5C62837D"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2023</w:t>
            </w:r>
          </w:p>
        </w:tc>
        <w:tc>
          <w:tcPr>
            <w:tcW w:w="3594" w:type="dxa"/>
            <w:tcBorders>
              <w:top w:val="nil"/>
              <w:left w:val="single" w:sz="4" w:space="0" w:color="auto"/>
              <w:bottom w:val="single" w:sz="4" w:space="0" w:color="auto"/>
              <w:right w:val="single" w:sz="4" w:space="0" w:color="auto"/>
            </w:tcBorders>
            <w:shd w:val="clear" w:color="auto" w:fill="C6EFCE"/>
            <w:noWrap/>
            <w:vAlign w:val="center"/>
          </w:tcPr>
          <w:p w14:paraId="4A5B4281" w14:textId="26045A69"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First 4 375 new modal shift grants have been applied for.</w:t>
            </w:r>
          </w:p>
        </w:tc>
      </w:tr>
    </w:tbl>
    <w:p w14:paraId="3A8664A7" w14:textId="77777777" w:rsidR="006A41D9" w:rsidRPr="001961AA" w:rsidRDefault="006A41D9" w:rsidP="00BD6DD1">
      <w:pPr>
        <w:pStyle w:val="Text1"/>
        <w:ind w:left="709"/>
        <w:rPr>
          <w:noProof/>
          <w:sz w:val="22"/>
          <w:lang w:val="en-GB"/>
        </w:rPr>
      </w:pPr>
    </w:p>
    <w:p w14:paraId="50D02512" w14:textId="77777777" w:rsidR="006A41D9" w:rsidRPr="001961AA" w:rsidRDefault="006A41D9" w:rsidP="00BD6DD1">
      <w:pPr>
        <w:ind w:left="709"/>
        <w:rPr>
          <w:rFonts w:ascii="Times New Roman" w:hAnsi="Times New Roman" w:cs="Times New Roman"/>
          <w:noProof/>
          <w:lang w:val="en-GB"/>
        </w:rPr>
        <w:sectPr w:rsidR="006A41D9" w:rsidRPr="001961AA" w:rsidSect="008A4840">
          <w:headerReference w:type="even" r:id="rId132"/>
          <w:headerReference w:type="default" r:id="rId133"/>
          <w:footerReference w:type="even" r:id="rId134"/>
          <w:footerReference w:type="default" r:id="rId135"/>
          <w:headerReference w:type="first" r:id="rId136"/>
          <w:footerReference w:type="first" r:id="rId137"/>
          <w:pgSz w:w="16839" w:h="11907" w:orient="landscape"/>
          <w:pgMar w:top="1134" w:right="1134" w:bottom="1134" w:left="1134" w:header="567" w:footer="567" w:gutter="0"/>
          <w:cols w:space="720"/>
          <w:docGrid w:linePitch="360"/>
        </w:sectPr>
      </w:pPr>
    </w:p>
    <w:p w14:paraId="5C2B0B8A" w14:textId="4D7B40D8" w:rsidR="006A41D9" w:rsidRPr="001961AA" w:rsidRDefault="006A41D9" w:rsidP="00143925">
      <w:pPr>
        <w:pStyle w:val="ManualHeading1"/>
        <w:spacing w:before="120"/>
        <w:ind w:left="0" w:firstLine="0"/>
        <w:rPr>
          <w:noProof/>
          <w:lang w:val="en-GB"/>
        </w:rPr>
      </w:pPr>
      <w:r w:rsidRPr="001961AA">
        <w:rPr>
          <w:noProof/>
          <w:lang w:val="en-GB"/>
        </w:rPr>
        <w:t>I. COMPONENT 3.3: Greening road transport</w:t>
      </w:r>
    </w:p>
    <w:p w14:paraId="7A668B77" w14:textId="77777777" w:rsidR="006A41D9" w:rsidRPr="001961AA" w:rsidRDefault="006A41D9" w:rsidP="00BD6DD1">
      <w:pPr>
        <w:spacing w:before="120" w:after="120" w:line="240" w:lineRule="auto"/>
        <w:jc w:val="both"/>
        <w:rPr>
          <w:rFonts w:ascii="Times New Roman" w:hAnsi="Times New Roman" w:cs="Times New Roman"/>
          <w:noProof/>
          <w:sz w:val="24"/>
          <w:szCs w:val="24"/>
          <w:lang w:val="en-GB"/>
        </w:rPr>
      </w:pPr>
      <w:r w:rsidRPr="001961AA">
        <w:rPr>
          <w:rFonts w:ascii="Times New Roman" w:hAnsi="Times New Roman"/>
          <w:noProof/>
          <w:sz w:val="24"/>
          <w:lang w:val="en-GB"/>
        </w:rPr>
        <w:t>The measures proposed under this component of the Belgian recovery and resilience plan aim to support low-emission road transport.</w:t>
      </w:r>
    </w:p>
    <w:p w14:paraId="4B01485E" w14:textId="77777777" w:rsidR="006A41D9" w:rsidRPr="001961AA" w:rsidRDefault="006A41D9" w:rsidP="00BD6DD1">
      <w:pPr>
        <w:spacing w:before="120" w:after="120" w:line="240" w:lineRule="auto"/>
        <w:jc w:val="both"/>
        <w:rPr>
          <w:rFonts w:ascii="Times New Roman" w:eastAsia="Times New Roman" w:hAnsi="Times New Roman" w:cs="Times New Roman"/>
          <w:noProof/>
          <w:sz w:val="24"/>
          <w:szCs w:val="24"/>
          <w:lang w:val="en-GB"/>
        </w:rPr>
      </w:pPr>
      <w:r w:rsidRPr="001961AA">
        <w:rPr>
          <w:rFonts w:ascii="Times New Roman" w:hAnsi="Times New Roman"/>
          <w:noProof/>
          <w:sz w:val="24"/>
          <w:lang w:val="en-GB"/>
        </w:rPr>
        <w:t>The component contributes to addressing Country Specific Recommendation 2019.3 to focus investment-related economic policy on sustainable transport, including upgrading rail infrastructure, the low carbon and energy transition […] Tackle the growing mobility challenges, by reinforcing incentives and removing barriers to increase the supply and demand of collective and low emission transport and Country Specific Recommendation 2020.3 to focus investment on the green and digital transition, in particular on infrastructure for sustainable transport.</w:t>
      </w:r>
    </w:p>
    <w:p w14:paraId="0B422CF9" w14:textId="77777777" w:rsidR="006A41D9" w:rsidRPr="001961AA" w:rsidRDefault="006A41D9" w:rsidP="00BD6DD1">
      <w:pPr>
        <w:spacing w:before="120" w:after="120" w:line="240" w:lineRule="auto"/>
        <w:jc w:val="both"/>
        <w:rPr>
          <w:rFonts w:ascii="Times New Roman" w:hAnsi="Times New Roman" w:cs="Times New Roman"/>
          <w:noProof/>
          <w:sz w:val="24"/>
          <w:szCs w:val="24"/>
          <w:lang w:val="en-GB"/>
        </w:rPr>
      </w:pPr>
      <w:r w:rsidRPr="001961AA">
        <w:rPr>
          <w:rFonts w:ascii="Times New Roman" w:hAnsi="Times New Roman"/>
          <w:noProof/>
          <w:sz w:val="24"/>
          <w:lang w:val="en-GB"/>
        </w:rPr>
        <w:t>It is expected that no measure in this component does significant harm to environmental objectives within the meaning of Article 17 of Regulation (EU) 2020/852, taking into account the description of the measures and the mitigating steps set out in the recovery and resilience plan in accordance with the DNSH Technical Guidance (2021/C58/01).</w:t>
      </w:r>
    </w:p>
    <w:p w14:paraId="04C3F260" w14:textId="77777777" w:rsidR="006A41D9" w:rsidRPr="001961AA" w:rsidRDefault="006A41D9" w:rsidP="00BD6DD1">
      <w:pPr>
        <w:jc w:val="both"/>
        <w:rPr>
          <w:rFonts w:ascii="Times New Roman" w:hAnsi="Times New Roman" w:cs="Times New Roman"/>
          <w:b/>
          <w:bCs/>
          <w:noProof/>
          <w:u w:val="single"/>
          <w:lang w:val="en-GB"/>
        </w:rPr>
      </w:pPr>
      <w:r w:rsidRPr="001961AA">
        <w:rPr>
          <w:rFonts w:ascii="Times New Roman" w:hAnsi="Times New Roman"/>
          <w:b/>
          <w:noProof/>
          <w:u w:val="single"/>
          <w:lang w:val="en-GB"/>
        </w:rPr>
        <w:t xml:space="preserve">I.1. </w:t>
      </w:r>
      <w:r w:rsidRPr="001961AA">
        <w:rPr>
          <w:noProof/>
          <w:lang w:val="en-GB"/>
        </w:rPr>
        <w:tab/>
      </w:r>
      <w:r w:rsidRPr="001961AA">
        <w:rPr>
          <w:rFonts w:ascii="Times New Roman" w:hAnsi="Times New Roman"/>
          <w:b/>
          <w:noProof/>
          <w:u w:val="single"/>
          <w:lang w:val="en-GB"/>
        </w:rPr>
        <w:t>Description of the reforms and investments for non-repayable financial support</w:t>
      </w:r>
    </w:p>
    <w:p w14:paraId="6C35FCE7" w14:textId="77777777" w:rsidR="006A41D9" w:rsidRPr="001961AA" w:rsidRDefault="006A41D9" w:rsidP="00BD6DD1">
      <w:pPr>
        <w:pStyle w:val="Text1"/>
        <w:ind w:left="0"/>
        <w:rPr>
          <w:noProof/>
          <w:u w:val="single"/>
          <w:lang w:val="en-GB"/>
        </w:rPr>
      </w:pPr>
      <w:r w:rsidRPr="001961AA">
        <w:rPr>
          <w:noProof/>
          <w:u w:val="single"/>
          <w:lang w:val="en-GB"/>
        </w:rPr>
        <w:t>Investment I-3F: ‘Charging stations’</w:t>
      </w:r>
    </w:p>
    <w:p w14:paraId="6E341450" w14:textId="77777777" w:rsidR="006A41D9" w:rsidRPr="001961AA" w:rsidRDefault="006A41D9" w:rsidP="00BD6DD1">
      <w:pPr>
        <w:pStyle w:val="Text1"/>
        <w:ind w:left="0"/>
        <w:rPr>
          <w:noProof/>
          <w:color w:val="000000"/>
          <w:lang w:val="en-GB"/>
        </w:rPr>
      </w:pPr>
      <w:r w:rsidRPr="001961AA">
        <w:rPr>
          <w:noProof/>
          <w:color w:val="000000"/>
          <w:lang w:val="en-GB"/>
        </w:rPr>
        <w:t>The objectives of the investment are to deploy electric charging stations. This measure is composed of the following four sub-measures:</w:t>
      </w:r>
    </w:p>
    <w:p w14:paraId="5EFC3E91" w14:textId="77777777" w:rsidR="006A41D9" w:rsidRPr="001961AA" w:rsidRDefault="006A41D9" w:rsidP="00AA525D">
      <w:pPr>
        <w:pStyle w:val="Text1"/>
        <w:numPr>
          <w:ilvl w:val="0"/>
          <w:numId w:val="53"/>
        </w:numPr>
        <w:contextualSpacing/>
        <w:rPr>
          <w:noProof/>
          <w:lang w:val="en-GB"/>
        </w:rPr>
      </w:pPr>
      <w:r w:rsidRPr="001961AA">
        <w:rPr>
          <w:noProof/>
          <w:lang w:val="en-GB"/>
        </w:rPr>
        <w:t>Reform R-3.04: ‘Charging stations - WAL’ of the Walloon Region</w:t>
      </w:r>
    </w:p>
    <w:p w14:paraId="0DF9241C" w14:textId="77777777" w:rsidR="006A41D9" w:rsidRPr="001961AA" w:rsidRDefault="006A41D9" w:rsidP="00AA525D">
      <w:pPr>
        <w:pStyle w:val="Text1"/>
        <w:numPr>
          <w:ilvl w:val="0"/>
          <w:numId w:val="53"/>
        </w:numPr>
        <w:contextualSpacing/>
        <w:rPr>
          <w:noProof/>
          <w:lang w:val="en-GB"/>
        </w:rPr>
      </w:pPr>
      <w:r w:rsidRPr="001961AA">
        <w:rPr>
          <w:noProof/>
          <w:lang w:val="en-GB"/>
        </w:rPr>
        <w:t>Reform R-3.05: ‘Charging stations - RBC’ of the Brussels-Capital Region</w:t>
      </w:r>
    </w:p>
    <w:p w14:paraId="29EAFB13" w14:textId="77777777" w:rsidR="006A41D9" w:rsidRPr="001961AA" w:rsidRDefault="006A41D9" w:rsidP="00AA525D">
      <w:pPr>
        <w:pStyle w:val="Text1"/>
        <w:numPr>
          <w:ilvl w:val="0"/>
          <w:numId w:val="53"/>
        </w:numPr>
        <w:contextualSpacing/>
        <w:rPr>
          <w:noProof/>
          <w:lang w:val="en-GB"/>
        </w:rPr>
      </w:pPr>
      <w:r w:rsidRPr="001961AA">
        <w:rPr>
          <w:noProof/>
          <w:lang w:val="en-GB"/>
        </w:rPr>
        <w:t>Investment I-3.18: ‘Charging stations - FED’ of the Federal State</w:t>
      </w:r>
    </w:p>
    <w:p w14:paraId="36AEC485" w14:textId="77777777" w:rsidR="006A41D9" w:rsidRPr="001961AA" w:rsidRDefault="006A41D9" w:rsidP="00AA525D">
      <w:pPr>
        <w:pStyle w:val="Text1"/>
        <w:numPr>
          <w:ilvl w:val="0"/>
          <w:numId w:val="53"/>
        </w:numPr>
        <w:contextualSpacing/>
        <w:rPr>
          <w:noProof/>
          <w:lang w:val="en-GB"/>
        </w:rPr>
      </w:pPr>
      <w:r w:rsidRPr="001961AA">
        <w:rPr>
          <w:noProof/>
          <w:lang w:val="en-GB"/>
        </w:rPr>
        <w:t>Investment I-3.19: ‘Charging stations - VLA’ of the Flemish Region</w:t>
      </w:r>
    </w:p>
    <w:p w14:paraId="69B5FA21" w14:textId="77777777" w:rsidR="006A41D9" w:rsidRPr="001961AA" w:rsidRDefault="006A41D9" w:rsidP="00BD6DD1">
      <w:pPr>
        <w:pStyle w:val="Text1"/>
        <w:ind w:left="0"/>
        <w:rPr>
          <w:noProof/>
          <w:color w:val="000000"/>
          <w:lang w:val="en-GB"/>
        </w:rPr>
      </w:pPr>
    </w:p>
    <w:p w14:paraId="0549BFB3" w14:textId="77777777" w:rsidR="006A41D9" w:rsidRPr="001961AA" w:rsidRDefault="006A41D9" w:rsidP="000766C3">
      <w:pPr>
        <w:pStyle w:val="Text1"/>
        <w:ind w:left="0"/>
        <w:rPr>
          <w:noProof/>
          <w:color w:val="000000"/>
          <w:u w:val="single"/>
          <w:lang w:val="en-GB"/>
        </w:rPr>
      </w:pPr>
      <w:r w:rsidRPr="001961AA">
        <w:rPr>
          <w:noProof/>
          <w:color w:val="000000"/>
          <w:u w:val="single"/>
          <w:lang w:val="en-GB"/>
        </w:rPr>
        <w:t>Investment I-3G: ‘Greening the bus fleet’</w:t>
      </w:r>
    </w:p>
    <w:p w14:paraId="794BE53B" w14:textId="77777777" w:rsidR="006A41D9" w:rsidRPr="001961AA" w:rsidRDefault="006A41D9" w:rsidP="00AA525D">
      <w:pPr>
        <w:pStyle w:val="Text1"/>
        <w:numPr>
          <w:ilvl w:val="0"/>
          <w:numId w:val="54"/>
        </w:numPr>
        <w:contextualSpacing/>
        <w:rPr>
          <w:noProof/>
          <w:lang w:val="en-GB"/>
        </w:rPr>
      </w:pPr>
      <w:r w:rsidRPr="001961AA">
        <w:rPr>
          <w:noProof/>
          <w:lang w:val="en-GB"/>
        </w:rPr>
        <w:t>Investment I-3.16: ‘Greening the bus fleet - VLA’ of the Flemish Region</w:t>
      </w:r>
    </w:p>
    <w:p w14:paraId="6FA5F2E7" w14:textId="48C273E4" w:rsidR="006A41D9" w:rsidRPr="001961AA" w:rsidRDefault="006A41D9" w:rsidP="00AA525D">
      <w:pPr>
        <w:pStyle w:val="Text1"/>
        <w:numPr>
          <w:ilvl w:val="0"/>
          <w:numId w:val="54"/>
        </w:numPr>
        <w:contextualSpacing/>
        <w:rPr>
          <w:noProof/>
          <w:lang w:val="en-GB"/>
        </w:rPr>
      </w:pPr>
      <w:r w:rsidRPr="001961AA">
        <w:rPr>
          <w:noProof/>
          <w:lang w:val="en-GB"/>
        </w:rPr>
        <w:t>Investment I-3.17: ‘Greening the bus fleet - RBC’ of the Brussels-Capital Region</w:t>
      </w:r>
    </w:p>
    <w:p w14:paraId="66E4BB55" w14:textId="40D875C4" w:rsidR="0011748F" w:rsidRPr="001961AA" w:rsidRDefault="0011748F" w:rsidP="00AA525D">
      <w:pPr>
        <w:pStyle w:val="Text1"/>
        <w:numPr>
          <w:ilvl w:val="0"/>
          <w:numId w:val="54"/>
        </w:numPr>
        <w:contextualSpacing/>
        <w:rPr>
          <w:noProof/>
          <w:lang w:val="en-GB"/>
        </w:rPr>
      </w:pPr>
      <w:r w:rsidRPr="001961AA">
        <w:rPr>
          <w:noProof/>
          <w:lang w:val="en-GB"/>
        </w:rPr>
        <w:t>Investment I-3.20: ‘Greening the bus fleet - WAL’ of the Walloon Region</w:t>
      </w:r>
    </w:p>
    <w:p w14:paraId="4C648C77" w14:textId="77777777" w:rsidR="006A41D9" w:rsidRPr="001961AA" w:rsidRDefault="006A41D9" w:rsidP="00BD6DD1">
      <w:pPr>
        <w:pStyle w:val="Text1"/>
        <w:ind w:left="0"/>
        <w:rPr>
          <w:noProof/>
          <w:u w:val="single"/>
          <w:lang w:val="en-GB"/>
        </w:rPr>
      </w:pPr>
    </w:p>
    <w:p w14:paraId="486D9782" w14:textId="77777777" w:rsidR="006A41D9" w:rsidRPr="001961AA" w:rsidRDefault="006A41D9" w:rsidP="00BD6DD1">
      <w:pPr>
        <w:pStyle w:val="Text1"/>
        <w:ind w:left="0"/>
        <w:rPr>
          <w:noProof/>
          <w:u w:val="single"/>
          <w:lang w:val="en-GB"/>
        </w:rPr>
      </w:pPr>
      <w:r w:rsidRPr="001961AA">
        <w:rPr>
          <w:noProof/>
          <w:u w:val="single"/>
          <w:lang w:val="en-GB"/>
        </w:rPr>
        <w:t>Reform R-3.03: ‘Zero-emission company cars -FED’ of the Federal State</w:t>
      </w:r>
    </w:p>
    <w:p w14:paraId="2F5A2DBF" w14:textId="3054EFF6" w:rsidR="006A41D9" w:rsidRPr="001961AA" w:rsidRDefault="006A41D9" w:rsidP="00BD6DD1">
      <w:pPr>
        <w:jc w:val="both"/>
        <w:rPr>
          <w:rFonts w:ascii="Times New Roman" w:hAnsi="Times New Roman" w:cs="Times New Roman"/>
          <w:noProof/>
          <w:sz w:val="24"/>
          <w:szCs w:val="24"/>
          <w:lang w:val="en-GB"/>
        </w:rPr>
      </w:pPr>
      <w:r w:rsidRPr="001961AA">
        <w:rPr>
          <w:rFonts w:ascii="Times New Roman" w:hAnsi="Times New Roman"/>
          <w:noProof/>
          <w:sz w:val="24"/>
          <w:lang w:val="en-GB"/>
        </w:rPr>
        <w:t>This reform consists in phasing-out the existing company car tax scheme to conventional cars and limiting it as from 2026 to electric cars. The reformed company car taxation scheme shall foresee: (1) No deductibility of conventional company cars acquired as from 2026 (2) a progressive reduction of the tax deductibility rate of conventional company cars, acquired between July 1st and 31 December 2025, to reach 0% by 2028, (3) a progressive reduction of the tax deductibility rate of zero-emission company cars to reach at most 67,5% by 2031, and (4) a tax deductibility of petrol and diesel fuel for hybrid company cars, acquired between 2023 and 2025, reduced to 50% by January 2023. Furthermore, (5) for conventional cars acquired from July 1st 2023, the CO2 contribution shall rise at a rate of 2.25 from July 1st, 2023 and increase progressively in 2025, 2026 to a factor of 5.50 in 2027. (6) For zero-emission company cars, acquired from July 1st 2023, the minimum solidarity contribution shall increase, starting from the year 2025, in such a way that, in the long run, for the average company car, the same amount of social security contributions shall be owed as is the case at the time of adoption of the plan. The reform, including the transition periods and implementation phases mentioned above, shall be adopted by 30 September 2021 and shall enter into force on 1 January 2023.</w:t>
      </w:r>
    </w:p>
    <w:p w14:paraId="3199B1DC" w14:textId="77777777" w:rsidR="006A41D9" w:rsidRPr="001961AA" w:rsidRDefault="006A41D9" w:rsidP="00490226">
      <w:pPr>
        <w:pStyle w:val="Text1"/>
        <w:pageBreakBefore/>
        <w:ind w:left="0"/>
        <w:rPr>
          <w:noProof/>
          <w:szCs w:val="24"/>
          <w:u w:val="single"/>
          <w:lang w:val="en-GB"/>
        </w:rPr>
      </w:pPr>
      <w:r w:rsidRPr="001961AA">
        <w:rPr>
          <w:noProof/>
          <w:u w:val="single"/>
          <w:lang w:val="en-GB"/>
        </w:rPr>
        <w:t>Reform R-3.04: ‘Charging stations - WAL’ of the Walloon Region</w:t>
      </w:r>
    </w:p>
    <w:p w14:paraId="7049049C" w14:textId="42FED4D9" w:rsidR="006A41D9" w:rsidRPr="001961AA" w:rsidRDefault="006A41D9" w:rsidP="00BD6DD1">
      <w:pPr>
        <w:spacing w:before="120" w:after="120" w:line="240" w:lineRule="auto"/>
        <w:jc w:val="both"/>
        <w:rPr>
          <w:rFonts w:ascii="Times New Roman" w:hAnsi="Times New Roman" w:cs="Times New Roman"/>
          <w:noProof/>
          <w:sz w:val="24"/>
          <w:szCs w:val="24"/>
          <w:lang w:val="en-GB"/>
        </w:rPr>
      </w:pPr>
      <w:r w:rsidRPr="001961AA">
        <w:rPr>
          <w:rFonts w:ascii="Times New Roman" w:hAnsi="Times New Roman"/>
          <w:noProof/>
          <w:sz w:val="24"/>
          <w:lang w:val="en-GB"/>
        </w:rPr>
        <w:t>This reform consists in adopting a legislative framework and award of concessions for charging infrastructure in the Walloon Region and installing 4</w:t>
      </w:r>
      <w:r w:rsidRPr="001961AA">
        <w:rPr>
          <w:rFonts w:ascii="Times New Roman" w:hAnsi="Times New Roman"/>
          <w:noProof/>
          <w:color w:val="006100"/>
          <w:lang w:val="en-GB"/>
        </w:rPr>
        <w:t xml:space="preserve"> </w:t>
      </w:r>
      <w:r w:rsidRPr="001961AA">
        <w:rPr>
          <w:rFonts w:ascii="Times New Roman" w:hAnsi="Times New Roman"/>
          <w:noProof/>
          <w:sz w:val="24"/>
          <w:lang w:val="en-GB"/>
        </w:rPr>
        <w:t>708 public charging points equivalent. The target for the number of public charging points equivalent (CPE) to be installed shall take into account of the indicative target of one CPE for ten electric vehicles. The plan to deploy electric charging stations shall be adopted by 30 September 2022 by the Walloon Government.</w:t>
      </w:r>
    </w:p>
    <w:p w14:paraId="3C42BDA6" w14:textId="77777777" w:rsidR="006A41D9" w:rsidRPr="001961AA" w:rsidRDefault="006A41D9" w:rsidP="00BD6DD1">
      <w:pPr>
        <w:pStyle w:val="Text1"/>
        <w:ind w:left="0"/>
        <w:rPr>
          <w:noProof/>
          <w:szCs w:val="24"/>
          <w:u w:val="single"/>
          <w:lang w:val="en-GB"/>
        </w:rPr>
      </w:pPr>
      <w:r w:rsidRPr="001961AA">
        <w:rPr>
          <w:noProof/>
          <w:u w:val="single"/>
          <w:lang w:val="en-GB"/>
        </w:rPr>
        <w:t>Reform R-3.05: ‘Charging stations - RBC’ of the Brussels-Capital Region</w:t>
      </w:r>
    </w:p>
    <w:p w14:paraId="67724F36" w14:textId="453856E8" w:rsidR="006A41D9" w:rsidRPr="001961AA" w:rsidRDefault="006A41D9" w:rsidP="00BD6DD1">
      <w:pPr>
        <w:spacing w:before="120" w:after="120" w:line="240" w:lineRule="auto"/>
        <w:jc w:val="both"/>
        <w:rPr>
          <w:rFonts w:ascii="Times New Roman" w:hAnsi="Times New Roman" w:cs="Times New Roman"/>
          <w:noProof/>
          <w:color w:val="000000" w:themeColor="text1"/>
          <w:sz w:val="24"/>
          <w:szCs w:val="24"/>
          <w:lang w:val="en-GB"/>
        </w:rPr>
      </w:pPr>
      <w:r w:rsidRPr="001961AA">
        <w:rPr>
          <w:rFonts w:ascii="Times New Roman" w:hAnsi="Times New Roman"/>
          <w:noProof/>
          <w:sz w:val="24"/>
          <w:lang w:val="en-GB"/>
        </w:rPr>
        <w:t xml:space="preserve">This measure consists in adopting a legislative framework and award of concessions for charging infrastructure in the Brussels-Capital Region and installing 360 public charging points equivalent by 31 December 2023. This plan shall be in line with the Directive 2014/94/EU on Alternative Fuels Infrastructure The decree specifying the security standards to be followed for installing off-street charging points in the Brussels-Capital Region shall be adopted by 1 March 2022 at the latest and enter into </w:t>
      </w:r>
      <w:r w:rsidRPr="001961AA">
        <w:rPr>
          <w:rFonts w:ascii="Times New Roman" w:hAnsi="Times New Roman"/>
          <w:noProof/>
          <w:color w:val="000000" w:themeColor="text1"/>
          <w:sz w:val="24"/>
          <w:lang w:val="en-GB"/>
        </w:rPr>
        <w:t xml:space="preserve">force by 31 July 2022. The implementation of the measure as a whole shall be completed by 30 June 2026. </w:t>
      </w:r>
    </w:p>
    <w:p w14:paraId="2755B684" w14:textId="77777777" w:rsidR="006A41D9" w:rsidRPr="001961AA" w:rsidRDefault="006A41D9" w:rsidP="00BD6DD1">
      <w:pPr>
        <w:pStyle w:val="Text1"/>
        <w:ind w:left="0"/>
        <w:rPr>
          <w:noProof/>
          <w:szCs w:val="24"/>
          <w:u w:val="single"/>
          <w:lang w:val="en-GB"/>
        </w:rPr>
      </w:pPr>
      <w:r w:rsidRPr="001961AA">
        <w:rPr>
          <w:noProof/>
          <w:u w:val="single"/>
          <w:lang w:val="en-GB"/>
        </w:rPr>
        <w:t>Reform R-3.06: ‘Stimulation zero-emission transport - VLA’ of the Flemish Region</w:t>
      </w:r>
    </w:p>
    <w:p w14:paraId="1E47AF03" w14:textId="5421F8FF" w:rsidR="006A41D9" w:rsidRPr="001961AA" w:rsidRDefault="006A41D9" w:rsidP="00BD6DD1">
      <w:pPr>
        <w:spacing w:before="120" w:after="120" w:line="240" w:lineRule="auto"/>
        <w:jc w:val="both"/>
        <w:rPr>
          <w:rFonts w:ascii="Times New Roman" w:hAnsi="Times New Roman" w:cs="Times New Roman"/>
          <w:noProof/>
          <w:sz w:val="24"/>
          <w:szCs w:val="24"/>
          <w:lang w:val="en-GB"/>
        </w:rPr>
      </w:pPr>
      <w:r w:rsidRPr="001961AA">
        <w:rPr>
          <w:rFonts w:ascii="Times New Roman" w:hAnsi="Times New Roman"/>
          <w:noProof/>
          <w:sz w:val="24"/>
          <w:lang w:val="en-GB"/>
        </w:rPr>
        <w:t>This measure consists in adopting a legislative framework to incentivise the deployment of public charging points through concessions and semi-public points through grants in the Flemish Region. The legislative framework shall enable the mapping of the future charging points, launch the concession tenders for public charging points, stimulate the deployment of semi-public charging points on private properties, reduce administrative burden to shorten the lead time for the installation of charging points and stimulate smart electricity charging to balance the supply and demand of electricity. The legislative framework shall enter into force by 1 January 2022.</w:t>
      </w:r>
    </w:p>
    <w:p w14:paraId="3F11BD63" w14:textId="77777777" w:rsidR="006A41D9" w:rsidRPr="001961AA" w:rsidRDefault="006A41D9" w:rsidP="00BD6DD1">
      <w:pPr>
        <w:pStyle w:val="Text1"/>
        <w:ind w:left="0"/>
        <w:rPr>
          <w:noProof/>
          <w:szCs w:val="24"/>
          <w:u w:val="single"/>
          <w:lang w:val="en-GB"/>
        </w:rPr>
      </w:pPr>
      <w:r w:rsidRPr="001961AA">
        <w:rPr>
          <w:noProof/>
          <w:u w:val="single"/>
          <w:lang w:val="en-GB"/>
        </w:rPr>
        <w:t>Reform R-3.07: ‘Emission Fraud’ of the Flemish Region</w:t>
      </w:r>
    </w:p>
    <w:p w14:paraId="269B5AC1" w14:textId="77777777" w:rsidR="006A41D9" w:rsidRPr="001961AA" w:rsidRDefault="006A41D9" w:rsidP="00BD6DD1">
      <w:pPr>
        <w:spacing w:before="120" w:after="120" w:line="240" w:lineRule="auto"/>
        <w:jc w:val="both"/>
        <w:rPr>
          <w:rFonts w:ascii="Times New Roman" w:hAnsi="Times New Roman" w:cs="Times New Roman"/>
          <w:noProof/>
          <w:sz w:val="24"/>
          <w:szCs w:val="24"/>
          <w:lang w:val="en-GB"/>
        </w:rPr>
      </w:pPr>
      <w:r w:rsidRPr="001961AA">
        <w:rPr>
          <w:rFonts w:ascii="Times New Roman" w:hAnsi="Times New Roman"/>
          <w:noProof/>
          <w:sz w:val="24"/>
          <w:lang w:val="en-GB"/>
        </w:rPr>
        <w:t xml:space="preserve">This measure consists in (i) adopting a new legal framework for NOx tests (if ongoing research yields a feasible procedure), large-scale vehicle-emission monitoring, improved road-side inspections and a efficient in service conformity test program and (ii) an IT system that integrates emission data with observations of periodic technical and roadside inspections to further improve the in service conformity test program. </w:t>
      </w:r>
    </w:p>
    <w:p w14:paraId="30F56526" w14:textId="03F5ED11" w:rsidR="006A41D9" w:rsidRPr="001961AA" w:rsidRDefault="006A41D9" w:rsidP="00BD6DD1">
      <w:pPr>
        <w:spacing w:before="120" w:after="120" w:line="240" w:lineRule="auto"/>
        <w:jc w:val="both"/>
        <w:rPr>
          <w:rFonts w:ascii="Times New Roman" w:hAnsi="Times New Roman" w:cs="Times New Roman"/>
          <w:noProof/>
          <w:sz w:val="24"/>
          <w:szCs w:val="24"/>
          <w:lang w:val="en-GB"/>
        </w:rPr>
      </w:pPr>
      <w:r w:rsidRPr="001961AA">
        <w:rPr>
          <w:rFonts w:ascii="Times New Roman" w:hAnsi="Times New Roman"/>
          <w:noProof/>
          <w:sz w:val="24"/>
          <w:lang w:val="en-GB"/>
        </w:rPr>
        <w:t xml:space="preserve">The legal framework shall be published by April 2023 and enter into force according to the following timeframe. Before 1 July 2023, large-scale vehicle emission monitoring shall be deployed, improved road-side inspections implemented and efficient in service conformity test program started. In case a feasible NOx testing procedure for technical inspection is developed before 31 March 2022, it shall be implemented in 2023. At the latest by 31 December 2024 the full measure shall be completed and implemented (full completion of IT system which allows further integration of road-side and periodic technical inspection with in service conformity program). </w:t>
      </w:r>
    </w:p>
    <w:p w14:paraId="51361DC6" w14:textId="77777777" w:rsidR="006A41D9" w:rsidRPr="001961AA" w:rsidRDefault="006A41D9" w:rsidP="00BD6DD1">
      <w:pPr>
        <w:pStyle w:val="Text1"/>
        <w:ind w:left="0"/>
        <w:rPr>
          <w:noProof/>
          <w:szCs w:val="24"/>
          <w:u w:val="single"/>
          <w:lang w:val="en-GB"/>
        </w:rPr>
      </w:pPr>
      <w:r w:rsidRPr="001961AA">
        <w:rPr>
          <w:noProof/>
          <w:u w:val="single"/>
          <w:lang w:val="en-GB"/>
        </w:rPr>
        <w:t>Investment I-3.16: ‘Greening the bus fleet - VLA’ of the Flemish Region</w:t>
      </w:r>
    </w:p>
    <w:p w14:paraId="24210CE6" w14:textId="77777777" w:rsidR="006A41D9" w:rsidRPr="001961AA" w:rsidRDefault="006A41D9" w:rsidP="00BD6DD1">
      <w:pPr>
        <w:spacing w:before="120" w:after="120" w:line="240" w:lineRule="auto"/>
        <w:jc w:val="both"/>
        <w:rPr>
          <w:rFonts w:ascii="Times New Roman" w:hAnsi="Times New Roman" w:cs="Times New Roman"/>
          <w:noProof/>
          <w:sz w:val="24"/>
          <w:szCs w:val="24"/>
          <w:lang w:val="en-GB"/>
        </w:rPr>
      </w:pPr>
      <w:r w:rsidRPr="001961AA">
        <w:rPr>
          <w:rFonts w:ascii="Times New Roman" w:hAnsi="Times New Roman"/>
          <w:noProof/>
          <w:sz w:val="24"/>
          <w:lang w:val="en-GB"/>
        </w:rPr>
        <w:t>This investment conducted for ‘VVM-De Lijn’, the Flemish regional public transport operator, consists in the:</w:t>
      </w:r>
    </w:p>
    <w:p w14:paraId="22F89079" w14:textId="18D4D1E7" w:rsidR="006A41D9" w:rsidRPr="001961AA" w:rsidRDefault="006A41D9" w:rsidP="00AA525D">
      <w:pPr>
        <w:pStyle w:val="ListParagraph"/>
        <w:numPr>
          <w:ilvl w:val="0"/>
          <w:numId w:val="55"/>
        </w:numPr>
        <w:spacing w:before="120" w:after="120" w:line="240" w:lineRule="auto"/>
        <w:jc w:val="both"/>
        <w:rPr>
          <w:rFonts w:ascii="Times New Roman" w:hAnsi="Times New Roman" w:cs="Times New Roman"/>
          <w:noProof/>
          <w:sz w:val="24"/>
          <w:szCs w:val="24"/>
          <w:lang w:val="en-GB"/>
        </w:rPr>
      </w:pPr>
      <w:r w:rsidRPr="001961AA">
        <w:rPr>
          <w:rFonts w:ascii="Times New Roman" w:hAnsi="Times New Roman"/>
          <w:noProof/>
          <w:sz w:val="24"/>
          <w:lang w:val="en-GB"/>
        </w:rPr>
        <w:t>retrofit of at least 225 M3 low-floor hybrids buses into plug-in hybrid buses,</w:t>
      </w:r>
    </w:p>
    <w:p w14:paraId="34CB3F49" w14:textId="646CC4B6" w:rsidR="006A41D9" w:rsidRPr="001961AA" w:rsidRDefault="006A41D9" w:rsidP="00AA525D">
      <w:pPr>
        <w:pStyle w:val="ListParagraph"/>
        <w:numPr>
          <w:ilvl w:val="0"/>
          <w:numId w:val="55"/>
        </w:numPr>
        <w:spacing w:before="120" w:after="120" w:line="240" w:lineRule="auto"/>
        <w:jc w:val="both"/>
        <w:rPr>
          <w:rFonts w:ascii="Times New Roman" w:hAnsi="Times New Roman" w:cs="Times New Roman"/>
          <w:noProof/>
          <w:sz w:val="24"/>
          <w:szCs w:val="24"/>
          <w:lang w:val="en-GB"/>
        </w:rPr>
      </w:pPr>
      <w:r w:rsidRPr="001961AA">
        <w:rPr>
          <w:rFonts w:ascii="Times New Roman" w:hAnsi="Times New Roman"/>
          <w:noProof/>
          <w:sz w:val="24"/>
          <w:lang w:val="en-GB"/>
        </w:rPr>
        <w:t>procurement of at least 32 M3 low-floor plug-in hybrid buses,</w:t>
      </w:r>
    </w:p>
    <w:p w14:paraId="74479860" w14:textId="470D5185" w:rsidR="006A41D9" w:rsidRPr="001961AA" w:rsidRDefault="006A41D9" w:rsidP="00AA525D">
      <w:pPr>
        <w:pStyle w:val="ListParagraph"/>
        <w:numPr>
          <w:ilvl w:val="0"/>
          <w:numId w:val="55"/>
        </w:numPr>
        <w:spacing w:before="120" w:after="120" w:line="240" w:lineRule="auto"/>
        <w:jc w:val="both"/>
        <w:rPr>
          <w:rFonts w:ascii="Times New Roman" w:hAnsi="Times New Roman" w:cs="Times New Roman"/>
          <w:noProof/>
          <w:sz w:val="24"/>
          <w:szCs w:val="24"/>
          <w:lang w:val="en-GB"/>
        </w:rPr>
      </w:pPr>
      <w:r w:rsidRPr="001961AA">
        <w:rPr>
          <w:rFonts w:ascii="Times New Roman" w:hAnsi="Times New Roman"/>
          <w:noProof/>
          <w:sz w:val="24"/>
          <w:lang w:val="en-GB"/>
        </w:rPr>
        <w:t>procurement of at least 54 M3 low-floor electric buses,</w:t>
      </w:r>
    </w:p>
    <w:p w14:paraId="79AD984D" w14:textId="22DC029C" w:rsidR="006A41D9" w:rsidRPr="001961AA" w:rsidRDefault="006A41D9" w:rsidP="00AA525D">
      <w:pPr>
        <w:pStyle w:val="ListParagraph"/>
        <w:numPr>
          <w:ilvl w:val="0"/>
          <w:numId w:val="55"/>
        </w:numPr>
        <w:spacing w:before="120" w:after="120" w:line="240" w:lineRule="auto"/>
        <w:jc w:val="both"/>
        <w:rPr>
          <w:rFonts w:ascii="Times New Roman" w:hAnsi="Times New Roman" w:cs="Times New Roman"/>
          <w:noProof/>
          <w:sz w:val="24"/>
          <w:szCs w:val="24"/>
          <w:lang w:val="en-GB"/>
        </w:rPr>
      </w:pPr>
      <w:r w:rsidRPr="001961AA">
        <w:rPr>
          <w:rFonts w:ascii="Times New Roman" w:hAnsi="Times New Roman"/>
          <w:noProof/>
          <w:sz w:val="24"/>
          <w:lang w:val="en-GB"/>
        </w:rPr>
        <w:t>installation of at least 345 bus charging stations.</w:t>
      </w:r>
    </w:p>
    <w:p w14:paraId="13B8C4E0" w14:textId="77777777" w:rsidR="006A41D9" w:rsidRPr="001961AA" w:rsidRDefault="006A41D9" w:rsidP="00BD6DD1">
      <w:pPr>
        <w:spacing w:before="120" w:after="120" w:line="240" w:lineRule="auto"/>
        <w:jc w:val="both"/>
        <w:rPr>
          <w:rFonts w:ascii="Times New Roman" w:hAnsi="Times New Roman" w:cs="Times New Roman"/>
          <w:noProof/>
          <w:sz w:val="24"/>
          <w:szCs w:val="24"/>
          <w:lang w:val="en-GB"/>
        </w:rPr>
      </w:pPr>
      <w:r w:rsidRPr="001961AA">
        <w:rPr>
          <w:rFonts w:ascii="Times New Roman" w:hAnsi="Times New Roman"/>
          <w:noProof/>
          <w:sz w:val="24"/>
          <w:lang w:val="en-GB"/>
        </w:rPr>
        <w:t>The implementation of the investment shall be completed by 31 December 2025.</w:t>
      </w:r>
    </w:p>
    <w:p w14:paraId="32658571" w14:textId="77777777" w:rsidR="006A41D9" w:rsidRPr="001961AA" w:rsidRDefault="006A41D9" w:rsidP="00490226">
      <w:pPr>
        <w:pStyle w:val="Text1"/>
        <w:pageBreakBefore/>
        <w:ind w:left="0"/>
        <w:rPr>
          <w:noProof/>
          <w:szCs w:val="24"/>
          <w:u w:val="single"/>
          <w:lang w:val="en-GB"/>
        </w:rPr>
      </w:pPr>
      <w:r w:rsidRPr="001961AA">
        <w:rPr>
          <w:noProof/>
          <w:u w:val="single"/>
          <w:lang w:val="en-GB"/>
        </w:rPr>
        <w:t xml:space="preserve">Investment I-3.17: ‘Greening the bus fleet - RBC’ of the Brussels-Capital Region </w:t>
      </w:r>
    </w:p>
    <w:p w14:paraId="6A9BE489" w14:textId="1B545921" w:rsidR="006A41D9" w:rsidRPr="001961AA" w:rsidRDefault="006A41D9" w:rsidP="00BD6DD1">
      <w:pPr>
        <w:spacing w:before="120" w:after="120" w:line="240" w:lineRule="auto"/>
        <w:jc w:val="both"/>
        <w:rPr>
          <w:rFonts w:ascii="Times New Roman" w:hAnsi="Times New Roman" w:cs="Times New Roman"/>
          <w:noProof/>
          <w:sz w:val="24"/>
          <w:szCs w:val="24"/>
          <w:lang w:val="en-GB"/>
        </w:rPr>
      </w:pPr>
      <w:r w:rsidRPr="001961AA">
        <w:rPr>
          <w:rFonts w:ascii="Times New Roman" w:hAnsi="Times New Roman"/>
          <w:noProof/>
          <w:sz w:val="24"/>
          <w:lang w:val="en-GB"/>
        </w:rPr>
        <w:t>This investment conducted for ‘STIB-MIVB’, the public transport operator of the Brussels-Capital Region, consists in the procurement of 33 M3 low-floor articulated electric buses. The implementation of the investment shall be completed by 31 December 2025.</w:t>
      </w:r>
    </w:p>
    <w:p w14:paraId="799B40FF" w14:textId="77777777" w:rsidR="006A41D9" w:rsidRPr="001961AA" w:rsidRDefault="006A41D9" w:rsidP="00BD6DD1">
      <w:pPr>
        <w:pStyle w:val="Text1"/>
        <w:ind w:left="0"/>
        <w:rPr>
          <w:noProof/>
          <w:szCs w:val="24"/>
          <w:u w:val="single"/>
          <w:lang w:val="en-GB"/>
        </w:rPr>
      </w:pPr>
      <w:r w:rsidRPr="001961AA">
        <w:rPr>
          <w:noProof/>
          <w:u w:val="single"/>
          <w:lang w:val="en-GB"/>
        </w:rPr>
        <w:t xml:space="preserve">Investment I-3.18: ‘Charging stations - FED’ of the Federal State </w:t>
      </w:r>
    </w:p>
    <w:p w14:paraId="580B567C" w14:textId="26D4F348" w:rsidR="00EB71F6" w:rsidRPr="001961AA" w:rsidRDefault="006A41D9" w:rsidP="009E4837">
      <w:pPr>
        <w:spacing w:before="120" w:after="120" w:line="240" w:lineRule="auto"/>
        <w:jc w:val="both"/>
        <w:rPr>
          <w:rFonts w:ascii="Times New Roman" w:hAnsi="Times New Roman" w:cs="Times New Roman"/>
          <w:noProof/>
          <w:sz w:val="24"/>
          <w:szCs w:val="24"/>
          <w:lang w:val="en-GB"/>
        </w:rPr>
      </w:pPr>
      <w:r w:rsidRPr="001961AA">
        <w:rPr>
          <w:rFonts w:ascii="Times New Roman" w:hAnsi="Times New Roman"/>
          <w:noProof/>
          <w:sz w:val="24"/>
          <w:lang w:val="en-GB"/>
        </w:rPr>
        <w:t>This investment consists in supporting a tax incentive for private and semi-public charging stations for electric cars. The tax incentive allows for the deductibility of the installation costs of a charging point at home and in shopping centres, supermarkets and corporate parking. The tax incentive shall allow for the deployment of at least 36 551 private charging points. The tax incentive shall enter into force by 30 September 2021. It is possible that other EU funds also contribute to the installation of charging stations that benefit from this tax incentive.</w:t>
      </w:r>
    </w:p>
    <w:p w14:paraId="6C78AFE3" w14:textId="4BF01401" w:rsidR="006A41D9" w:rsidRPr="001961AA" w:rsidRDefault="006A41D9" w:rsidP="00EB71F6">
      <w:pPr>
        <w:pStyle w:val="Text1"/>
        <w:ind w:left="0"/>
        <w:rPr>
          <w:noProof/>
          <w:szCs w:val="24"/>
          <w:u w:val="single"/>
          <w:lang w:val="en-GB"/>
        </w:rPr>
      </w:pPr>
      <w:r w:rsidRPr="001961AA">
        <w:rPr>
          <w:noProof/>
          <w:u w:val="single"/>
          <w:lang w:val="en-GB"/>
        </w:rPr>
        <w:t>Investment I-3.19: ‘Charging stations - VLA’ of the Flemish Region</w:t>
      </w:r>
    </w:p>
    <w:p w14:paraId="6D008635" w14:textId="3BCECB9A" w:rsidR="006A41D9" w:rsidRPr="001961AA" w:rsidRDefault="006A41D9" w:rsidP="00BD6DD1">
      <w:pPr>
        <w:spacing w:before="120" w:after="120" w:line="240" w:lineRule="auto"/>
        <w:jc w:val="both"/>
        <w:rPr>
          <w:rFonts w:ascii="Times New Roman" w:hAnsi="Times New Roman" w:cs="Times New Roman"/>
          <w:noProof/>
          <w:sz w:val="24"/>
          <w:szCs w:val="24"/>
          <w:lang w:val="en-GB"/>
        </w:rPr>
      </w:pPr>
      <w:r w:rsidRPr="001961AA">
        <w:rPr>
          <w:rFonts w:ascii="Times New Roman" w:hAnsi="Times New Roman"/>
          <w:noProof/>
          <w:sz w:val="24"/>
          <w:lang w:val="en-GB"/>
        </w:rPr>
        <w:t>This investment consists in installing 27 000 charging points equivalent (public and semi-public charging points) throughout the Flemish Region. The Flemish Region shall develop plans to optimise the deployment of charging points that are accessible 24 hours and support the development of storage facilities in areas far away from charging areas in motorways. The implementation of the investment shall be completed by 30 June 2026.</w:t>
      </w:r>
    </w:p>
    <w:p w14:paraId="6254B2B7" w14:textId="77D920CC" w:rsidR="004E6BE8" w:rsidRPr="001961AA" w:rsidRDefault="004E6BE8" w:rsidP="004E6BE8">
      <w:pPr>
        <w:spacing w:before="120" w:after="120" w:line="240" w:lineRule="auto"/>
        <w:jc w:val="both"/>
        <w:rPr>
          <w:rFonts w:ascii="Times New Roman" w:hAnsi="Times New Roman" w:cs="Times New Roman"/>
          <w:noProof/>
          <w:sz w:val="24"/>
          <w:szCs w:val="24"/>
          <w:u w:val="single"/>
          <w:lang w:val="en-GB"/>
        </w:rPr>
      </w:pPr>
      <w:r w:rsidRPr="001961AA">
        <w:rPr>
          <w:rFonts w:ascii="Times New Roman" w:hAnsi="Times New Roman"/>
          <w:noProof/>
          <w:sz w:val="24"/>
          <w:u w:val="single"/>
          <w:lang w:val="en-GB"/>
        </w:rPr>
        <w:t>Investment I-3.20: ‘Greening the bus fleet - WAL’ of the Walloon Region</w:t>
      </w:r>
    </w:p>
    <w:p w14:paraId="47B236E6" w14:textId="0DEBFC31" w:rsidR="00D46570" w:rsidRPr="001961AA" w:rsidRDefault="00D46570" w:rsidP="00D46570">
      <w:pPr>
        <w:spacing w:before="120" w:after="120" w:line="240" w:lineRule="auto"/>
        <w:jc w:val="both"/>
        <w:rPr>
          <w:rFonts w:ascii="Times New Roman" w:hAnsi="Times New Roman" w:cs="Times New Roman"/>
          <w:noProof/>
          <w:sz w:val="24"/>
          <w:szCs w:val="24"/>
          <w:lang w:val="en-GB"/>
        </w:rPr>
      </w:pPr>
      <w:r w:rsidRPr="001961AA">
        <w:rPr>
          <w:rFonts w:ascii="Times New Roman" w:hAnsi="Times New Roman"/>
          <w:noProof/>
          <w:sz w:val="24"/>
          <w:lang w:val="en-GB"/>
        </w:rPr>
        <w:t>This investment conducted for ‘Le TEC-OTW’, the public transport operator of the Walloon Region, consists in the procurement of 14 articulated electric buses, 18 bi-articulated electric buses, slow and fast charging stations, and of the construction of a bus depot for the electrical fleet. The implementation of the investment shall be completed by 30 June 2026.</w:t>
      </w:r>
    </w:p>
    <w:p w14:paraId="1BE202E8" w14:textId="5927AF12" w:rsidR="00ED6890" w:rsidRPr="001961AA" w:rsidRDefault="00ED6890" w:rsidP="00D46570">
      <w:pPr>
        <w:spacing w:before="120" w:after="120" w:line="240" w:lineRule="auto"/>
        <w:jc w:val="both"/>
        <w:rPr>
          <w:rFonts w:ascii="Times New Roman" w:hAnsi="Times New Roman" w:cs="Times New Roman"/>
          <w:noProof/>
          <w:sz w:val="24"/>
          <w:szCs w:val="24"/>
          <w:u w:val="single"/>
          <w:lang w:val="en-GB"/>
        </w:rPr>
      </w:pPr>
      <w:r w:rsidRPr="001961AA">
        <w:rPr>
          <w:rFonts w:ascii="Times New Roman" w:hAnsi="Times New Roman"/>
          <w:noProof/>
          <w:sz w:val="24"/>
          <w:u w:val="single"/>
          <w:lang w:val="en-GB"/>
        </w:rPr>
        <w:t>Investment I-3.21: 'Charging infrastructure for busses' of the Brussels-Capital Region</w:t>
      </w:r>
    </w:p>
    <w:p w14:paraId="017BED06" w14:textId="74738070" w:rsidR="008A4840" w:rsidRPr="001961AA" w:rsidRDefault="0052179C" w:rsidP="001B6E83">
      <w:pPr>
        <w:jc w:val="both"/>
        <w:rPr>
          <w:rFonts w:ascii="Times New Roman" w:eastAsia="Yu Gothic Light" w:hAnsi="Times New Roman" w:cs="Times New Roman"/>
          <w:noProof/>
          <w:sz w:val="24"/>
          <w:szCs w:val="24"/>
          <w:lang w:val="en-GB"/>
        </w:rPr>
        <w:sectPr w:rsidR="008A4840" w:rsidRPr="001961AA" w:rsidSect="008A4840">
          <w:headerReference w:type="even" r:id="rId138"/>
          <w:headerReference w:type="default" r:id="rId139"/>
          <w:footerReference w:type="even" r:id="rId140"/>
          <w:footerReference w:type="default" r:id="rId141"/>
          <w:headerReference w:type="first" r:id="rId142"/>
          <w:footerReference w:type="first" r:id="rId143"/>
          <w:pgSz w:w="11907" w:h="16839"/>
          <w:pgMar w:top="1134" w:right="1134" w:bottom="1134" w:left="1134" w:header="567" w:footer="567" w:gutter="0"/>
          <w:cols w:space="720"/>
          <w:docGrid w:linePitch="360"/>
        </w:sectPr>
      </w:pPr>
      <w:r w:rsidRPr="001961AA">
        <w:rPr>
          <w:rFonts w:ascii="Times New Roman" w:hAnsi="Times New Roman"/>
          <w:noProof/>
          <w:sz w:val="24"/>
          <w:lang w:val="en-GB"/>
        </w:rPr>
        <w:t>This investment consists in installing charging infrastructure for electric buses in Brussels-Capital Region. The charging infrastructure shall include overnight and opportunity charging stations with the respective electrical infrastructure in one bus depot, and opportunity charging stations with the respective electrical infrastructure in five bus line terminals. The implementation of the measure shall be completed by 30 June 2026</w:t>
      </w:r>
    </w:p>
    <w:p w14:paraId="731CDC7E" w14:textId="6100BD85" w:rsidR="008A4840" w:rsidRPr="001961AA" w:rsidRDefault="008A4840" w:rsidP="008A4840">
      <w:pPr>
        <w:pStyle w:val="Text1"/>
        <w:ind w:left="0"/>
        <w:rPr>
          <w:b/>
          <w:bCs/>
          <w:noProof/>
          <w:u w:val="single"/>
          <w:lang w:val="en-GB"/>
        </w:rPr>
      </w:pPr>
      <w:r w:rsidRPr="001961AA">
        <w:rPr>
          <w:b/>
          <w:noProof/>
          <w:u w:val="single"/>
          <w:lang w:val="en-GB"/>
        </w:rPr>
        <w:t xml:space="preserve">I.2. </w:t>
      </w:r>
      <w:r w:rsidRPr="001961AA">
        <w:rPr>
          <w:noProof/>
          <w:lang w:val="en-GB"/>
        </w:rPr>
        <w:tab/>
      </w:r>
      <w:r w:rsidRPr="001961AA">
        <w:rPr>
          <w:b/>
          <w:noProof/>
          <w:u w:val="single"/>
          <w:lang w:val="en-GB"/>
        </w:rPr>
        <w:t>Milestones, targets, indicators, and timetable for monitoring and implementation for non-repayable financial support</w:t>
      </w:r>
    </w:p>
    <w:tbl>
      <w:tblPr>
        <w:tblW w:w="15139" w:type="dxa"/>
        <w:tblInd w:w="-147" w:type="dxa"/>
        <w:tblLayout w:type="fixed"/>
        <w:tblLook w:val="04A0" w:firstRow="1" w:lastRow="0" w:firstColumn="1" w:lastColumn="0" w:noHBand="0" w:noVBand="1"/>
      </w:tblPr>
      <w:tblGrid>
        <w:gridCol w:w="709"/>
        <w:gridCol w:w="1418"/>
        <w:gridCol w:w="1134"/>
        <w:gridCol w:w="1559"/>
        <w:gridCol w:w="1442"/>
        <w:gridCol w:w="1080"/>
        <w:gridCol w:w="1022"/>
        <w:gridCol w:w="850"/>
        <w:gridCol w:w="1248"/>
        <w:gridCol w:w="720"/>
        <w:gridCol w:w="3957"/>
      </w:tblGrid>
      <w:tr w:rsidR="004868CC" w:rsidRPr="001961AA" w14:paraId="130D913F" w14:textId="77777777" w:rsidTr="00AA525D">
        <w:trPr>
          <w:trHeight w:val="927"/>
          <w:tblHeader/>
        </w:trPr>
        <w:tc>
          <w:tcPr>
            <w:tcW w:w="70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304CBCB" w14:textId="26CB4634" w:rsidR="006A41D9" w:rsidRPr="001961AA" w:rsidRDefault="006A41D9" w:rsidP="00BD6DD1">
            <w:pPr>
              <w:spacing w:after="0"/>
              <w:jc w:val="center"/>
              <w:rPr>
                <w:rFonts w:ascii="Times New Roman" w:eastAsia="Times New Roman" w:hAnsi="Times New Roman" w:cs="Times New Roman"/>
                <w:b/>
                <w:bCs/>
                <w:noProof/>
                <w:lang w:val="en-GB"/>
              </w:rPr>
            </w:pPr>
            <w:r w:rsidRPr="001961AA">
              <w:rPr>
                <w:rFonts w:ascii="Times New Roman" w:hAnsi="Times New Roman"/>
                <w:b/>
                <w:noProof/>
                <w:lang w:val="en-GB"/>
              </w:rPr>
              <w:t>Seq. Nb.</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4A0B14EB" w14:textId="77777777" w:rsidR="006A41D9" w:rsidRPr="001961AA" w:rsidRDefault="006A41D9" w:rsidP="00BD6DD1">
            <w:pPr>
              <w:spacing w:after="0"/>
              <w:jc w:val="center"/>
              <w:rPr>
                <w:rFonts w:ascii="Times New Roman" w:eastAsia="Times New Roman" w:hAnsi="Times New Roman" w:cs="Times New Roman"/>
                <w:b/>
                <w:bCs/>
                <w:noProof/>
                <w:lang w:val="en-GB"/>
              </w:rPr>
            </w:pPr>
            <w:r w:rsidRPr="001961AA">
              <w:rPr>
                <w:rFonts w:ascii="Times New Roman" w:hAnsi="Times New Roman"/>
                <w:b/>
                <w:noProof/>
                <w:lang w:val="en-GB"/>
              </w:rPr>
              <w:t>Related Measure (Reform or Investment)</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62E63F9" w14:textId="77777777" w:rsidR="006A41D9" w:rsidRPr="001961AA" w:rsidRDefault="006A41D9" w:rsidP="00BD6DD1">
            <w:pPr>
              <w:spacing w:after="0"/>
              <w:jc w:val="center"/>
              <w:rPr>
                <w:rFonts w:ascii="Times New Roman" w:eastAsia="Times New Roman" w:hAnsi="Times New Roman" w:cs="Times New Roman"/>
                <w:b/>
                <w:bCs/>
                <w:noProof/>
                <w:lang w:val="en-GB"/>
              </w:rPr>
            </w:pPr>
            <w:r w:rsidRPr="001961AA">
              <w:rPr>
                <w:rFonts w:ascii="Times New Roman" w:hAnsi="Times New Roman"/>
                <w:b/>
                <w:noProof/>
                <w:lang w:val="en-GB"/>
              </w:rPr>
              <w:t>Milestone / Target</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5CBE10CF" w14:textId="77777777" w:rsidR="006A41D9" w:rsidRPr="001961AA" w:rsidRDefault="006A41D9" w:rsidP="00BD6DD1">
            <w:pPr>
              <w:spacing w:after="0"/>
              <w:jc w:val="center"/>
              <w:rPr>
                <w:rFonts w:ascii="Times New Roman" w:eastAsia="Times New Roman" w:hAnsi="Times New Roman" w:cs="Times New Roman"/>
                <w:b/>
                <w:bCs/>
                <w:noProof/>
                <w:lang w:val="en-GB"/>
              </w:rPr>
            </w:pPr>
            <w:r w:rsidRPr="001961AA">
              <w:rPr>
                <w:rFonts w:ascii="Times New Roman" w:hAnsi="Times New Roman"/>
                <w:b/>
                <w:noProof/>
                <w:lang w:val="en-GB"/>
              </w:rPr>
              <w:t>Name</w:t>
            </w:r>
          </w:p>
        </w:tc>
        <w:tc>
          <w:tcPr>
            <w:tcW w:w="1442"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297CEBD" w14:textId="77777777" w:rsidR="006A41D9" w:rsidRPr="001961AA" w:rsidRDefault="006A41D9" w:rsidP="00BD6DD1">
            <w:pPr>
              <w:spacing w:after="0"/>
              <w:jc w:val="center"/>
              <w:rPr>
                <w:rFonts w:ascii="Times New Roman" w:eastAsia="Times New Roman" w:hAnsi="Times New Roman" w:cs="Times New Roman"/>
                <w:b/>
                <w:bCs/>
                <w:noProof/>
                <w:lang w:val="en-GB"/>
              </w:rPr>
            </w:pPr>
            <w:r w:rsidRPr="001961AA">
              <w:rPr>
                <w:rFonts w:ascii="Times New Roman" w:hAnsi="Times New Roman"/>
                <w:b/>
                <w:noProof/>
                <w:lang w:val="en-GB"/>
              </w:rPr>
              <w:t xml:space="preserve">Qualitative indicators </w:t>
            </w:r>
            <w:r w:rsidRPr="001961AA">
              <w:rPr>
                <w:noProof/>
                <w:lang w:val="en-GB"/>
              </w:rPr>
              <w:t xml:space="preserve"> </w:t>
            </w:r>
            <w:r w:rsidRPr="001961AA">
              <w:rPr>
                <w:noProof/>
                <w:lang w:val="en-GB"/>
              </w:rPr>
              <w:br/>
            </w:r>
            <w:r w:rsidRPr="001961AA">
              <w:rPr>
                <w:rFonts w:ascii="Times New Roman" w:hAnsi="Times New Roman"/>
                <w:b/>
                <w:noProof/>
                <w:lang w:val="en-GB"/>
              </w:rPr>
              <w:t>(for milestones)</w:t>
            </w:r>
          </w:p>
        </w:tc>
        <w:tc>
          <w:tcPr>
            <w:tcW w:w="2952" w:type="dxa"/>
            <w:gridSpan w:val="3"/>
            <w:tcBorders>
              <w:top w:val="single" w:sz="4" w:space="0" w:color="auto"/>
              <w:left w:val="single" w:sz="4" w:space="0" w:color="auto"/>
              <w:bottom w:val="single" w:sz="4" w:space="0" w:color="auto"/>
              <w:right w:val="single" w:sz="4" w:space="0" w:color="auto"/>
            </w:tcBorders>
            <w:shd w:val="clear" w:color="auto" w:fill="BDD7EE"/>
            <w:vAlign w:val="center"/>
            <w:hideMark/>
          </w:tcPr>
          <w:p w14:paraId="14E2CD9A" w14:textId="77777777" w:rsidR="006A41D9" w:rsidRPr="001961AA" w:rsidRDefault="006A41D9" w:rsidP="00BD6DD1">
            <w:pPr>
              <w:spacing w:after="0"/>
              <w:jc w:val="center"/>
              <w:rPr>
                <w:rFonts w:ascii="Times New Roman" w:eastAsia="Times New Roman" w:hAnsi="Times New Roman" w:cs="Times New Roman"/>
                <w:b/>
                <w:bCs/>
                <w:noProof/>
                <w:lang w:val="en-GB"/>
              </w:rPr>
            </w:pPr>
            <w:r w:rsidRPr="001961AA">
              <w:rPr>
                <w:rFonts w:ascii="Times New Roman" w:hAnsi="Times New Roman"/>
                <w:b/>
                <w:noProof/>
                <w:lang w:val="en-GB"/>
              </w:rPr>
              <w:t xml:space="preserve">Quantitative indicators </w:t>
            </w:r>
            <w:r w:rsidRPr="001961AA">
              <w:rPr>
                <w:noProof/>
                <w:lang w:val="en-GB"/>
              </w:rPr>
              <w:t xml:space="preserve"> </w:t>
            </w:r>
            <w:r w:rsidRPr="001961AA">
              <w:rPr>
                <w:noProof/>
                <w:lang w:val="en-GB"/>
              </w:rPr>
              <w:br/>
            </w:r>
            <w:r w:rsidRPr="001961AA">
              <w:rPr>
                <w:rFonts w:ascii="Times New Roman" w:hAnsi="Times New Roman"/>
                <w:b/>
                <w:noProof/>
                <w:lang w:val="en-GB"/>
              </w:rPr>
              <w:t>(for targets)</w:t>
            </w:r>
          </w:p>
        </w:tc>
        <w:tc>
          <w:tcPr>
            <w:tcW w:w="1968" w:type="dxa"/>
            <w:gridSpan w:val="2"/>
            <w:tcBorders>
              <w:top w:val="single" w:sz="4" w:space="0" w:color="auto"/>
              <w:left w:val="single" w:sz="4" w:space="0" w:color="auto"/>
              <w:bottom w:val="single" w:sz="4" w:space="0" w:color="auto"/>
              <w:right w:val="single" w:sz="4" w:space="0" w:color="auto"/>
            </w:tcBorders>
            <w:shd w:val="clear" w:color="auto" w:fill="BDD7EE"/>
            <w:vAlign w:val="center"/>
            <w:hideMark/>
          </w:tcPr>
          <w:p w14:paraId="5BF6557A" w14:textId="77777777" w:rsidR="006A41D9" w:rsidRPr="001961AA" w:rsidRDefault="006A41D9" w:rsidP="00BD6DD1">
            <w:pPr>
              <w:spacing w:after="0"/>
              <w:jc w:val="center"/>
              <w:rPr>
                <w:rFonts w:ascii="Times New Roman" w:eastAsia="Times New Roman" w:hAnsi="Times New Roman" w:cs="Times New Roman"/>
                <w:b/>
                <w:bCs/>
                <w:noProof/>
                <w:lang w:val="en-GB"/>
              </w:rPr>
            </w:pPr>
            <w:r w:rsidRPr="001961AA">
              <w:rPr>
                <w:rFonts w:ascii="Times New Roman" w:hAnsi="Times New Roman"/>
                <w:b/>
                <w:noProof/>
                <w:lang w:val="en-GB"/>
              </w:rPr>
              <w:t xml:space="preserve">Indicative timeline for completion </w:t>
            </w:r>
          </w:p>
        </w:tc>
        <w:tc>
          <w:tcPr>
            <w:tcW w:w="3957"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43A1392" w14:textId="77777777" w:rsidR="006A41D9" w:rsidRPr="001961AA" w:rsidRDefault="006A41D9" w:rsidP="00BD6DD1">
            <w:pPr>
              <w:spacing w:after="0"/>
              <w:jc w:val="center"/>
              <w:rPr>
                <w:rFonts w:ascii="Times New Roman" w:eastAsia="Times New Roman" w:hAnsi="Times New Roman" w:cs="Times New Roman"/>
                <w:b/>
                <w:bCs/>
                <w:noProof/>
                <w:lang w:val="en-GB"/>
              </w:rPr>
            </w:pPr>
            <w:r w:rsidRPr="001961AA">
              <w:rPr>
                <w:rFonts w:ascii="Times New Roman" w:hAnsi="Times New Roman"/>
                <w:b/>
                <w:noProof/>
                <w:lang w:val="en-GB"/>
              </w:rPr>
              <w:t>Description of each milestone and target</w:t>
            </w:r>
          </w:p>
        </w:tc>
      </w:tr>
      <w:tr w:rsidR="00292220" w:rsidRPr="001961AA" w14:paraId="0E51C20F" w14:textId="77777777" w:rsidTr="00AA525D">
        <w:trPr>
          <w:trHeight w:val="1013"/>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0A89E320" w14:textId="77777777" w:rsidR="006A41D9" w:rsidRPr="001961AA" w:rsidRDefault="006A41D9" w:rsidP="00BD6DD1">
            <w:pPr>
              <w:spacing w:after="0"/>
              <w:rPr>
                <w:rFonts w:ascii="Times New Roman" w:eastAsia="Times New Roman" w:hAnsi="Times New Roman" w:cs="Times New Roman"/>
                <w:b/>
                <w:bCs/>
                <w:noProof/>
                <w:szCs w:val="24"/>
                <w:lang w:val="en-GB" w:eastAsia="en-GB"/>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6DAEFCE" w14:textId="77777777" w:rsidR="006A41D9" w:rsidRPr="001961AA" w:rsidRDefault="006A41D9" w:rsidP="00BD6DD1">
            <w:pPr>
              <w:spacing w:after="0"/>
              <w:rPr>
                <w:rFonts w:ascii="Times New Roman" w:eastAsia="Times New Roman" w:hAnsi="Times New Roman" w:cs="Times New Roman"/>
                <w:b/>
                <w:bCs/>
                <w:noProof/>
                <w:szCs w:val="24"/>
                <w:lang w:val="en-GB" w:eastAsia="en-G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82E9FFA" w14:textId="77777777" w:rsidR="006A41D9" w:rsidRPr="001961AA" w:rsidRDefault="006A41D9" w:rsidP="00BD6DD1">
            <w:pPr>
              <w:spacing w:after="0"/>
              <w:rPr>
                <w:rFonts w:ascii="Times New Roman" w:eastAsia="Times New Roman" w:hAnsi="Times New Roman" w:cs="Times New Roman"/>
                <w:b/>
                <w:bCs/>
                <w:noProof/>
                <w:szCs w:val="24"/>
                <w:lang w:val="en-GB" w:eastAsia="en-GB"/>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FBC3A79" w14:textId="77777777" w:rsidR="006A41D9" w:rsidRPr="001961AA" w:rsidRDefault="006A41D9" w:rsidP="00BD6DD1">
            <w:pPr>
              <w:spacing w:after="0"/>
              <w:rPr>
                <w:rFonts w:ascii="Times New Roman" w:eastAsia="Times New Roman" w:hAnsi="Times New Roman" w:cs="Times New Roman"/>
                <w:b/>
                <w:bCs/>
                <w:noProof/>
                <w:szCs w:val="24"/>
                <w:lang w:val="en-GB" w:eastAsia="en-GB"/>
              </w:rPr>
            </w:pPr>
          </w:p>
        </w:tc>
        <w:tc>
          <w:tcPr>
            <w:tcW w:w="1442" w:type="dxa"/>
            <w:vMerge/>
            <w:tcBorders>
              <w:top w:val="single" w:sz="4" w:space="0" w:color="auto"/>
              <w:left w:val="single" w:sz="4" w:space="0" w:color="auto"/>
              <w:bottom w:val="single" w:sz="4" w:space="0" w:color="auto"/>
              <w:right w:val="single" w:sz="4" w:space="0" w:color="auto"/>
            </w:tcBorders>
            <w:vAlign w:val="center"/>
            <w:hideMark/>
          </w:tcPr>
          <w:p w14:paraId="631C0926" w14:textId="77777777" w:rsidR="006A41D9" w:rsidRPr="001961AA" w:rsidRDefault="006A41D9" w:rsidP="00BD6DD1">
            <w:pPr>
              <w:spacing w:after="0"/>
              <w:rPr>
                <w:rFonts w:ascii="Times New Roman" w:eastAsia="Times New Roman" w:hAnsi="Times New Roman" w:cs="Times New Roman"/>
                <w:b/>
                <w:bCs/>
                <w:noProof/>
                <w:szCs w:val="24"/>
                <w:lang w:val="en-GB" w:eastAsia="en-GB"/>
              </w:rPr>
            </w:pPr>
          </w:p>
        </w:tc>
        <w:tc>
          <w:tcPr>
            <w:tcW w:w="1080"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4597E4CD" w14:textId="77777777" w:rsidR="006A41D9" w:rsidRPr="001961AA" w:rsidRDefault="006A41D9" w:rsidP="00BD6DD1">
            <w:pPr>
              <w:spacing w:after="0"/>
              <w:jc w:val="center"/>
              <w:rPr>
                <w:rFonts w:ascii="Times New Roman" w:eastAsia="Times New Roman" w:hAnsi="Times New Roman" w:cs="Times New Roman"/>
                <w:b/>
                <w:noProof/>
                <w:lang w:val="en-GB"/>
              </w:rPr>
            </w:pPr>
            <w:r w:rsidRPr="001961AA">
              <w:rPr>
                <w:rFonts w:ascii="Times New Roman" w:hAnsi="Times New Roman"/>
                <w:b/>
                <w:noProof/>
                <w:lang w:val="en-GB"/>
              </w:rPr>
              <w:t>Unit of measure</w:t>
            </w:r>
          </w:p>
        </w:tc>
        <w:tc>
          <w:tcPr>
            <w:tcW w:w="1022" w:type="dxa"/>
            <w:tcBorders>
              <w:top w:val="nil"/>
              <w:left w:val="single" w:sz="4" w:space="0" w:color="auto"/>
              <w:bottom w:val="single" w:sz="4" w:space="0" w:color="auto"/>
              <w:right w:val="single" w:sz="4" w:space="0" w:color="auto"/>
            </w:tcBorders>
            <w:shd w:val="clear" w:color="auto" w:fill="BDD7EE"/>
            <w:vAlign w:val="center"/>
            <w:hideMark/>
          </w:tcPr>
          <w:p w14:paraId="6F3158D2" w14:textId="0EE84F66" w:rsidR="006A41D9" w:rsidRPr="001961AA" w:rsidRDefault="006A41D9" w:rsidP="00BD6DD1">
            <w:pPr>
              <w:spacing w:after="0"/>
              <w:jc w:val="center"/>
              <w:rPr>
                <w:rFonts w:ascii="Times New Roman" w:eastAsia="Times New Roman" w:hAnsi="Times New Roman" w:cs="Times New Roman"/>
                <w:b/>
                <w:noProof/>
                <w:lang w:val="en-GB"/>
              </w:rPr>
            </w:pPr>
            <w:r w:rsidRPr="001961AA">
              <w:rPr>
                <w:rFonts w:ascii="Times New Roman" w:hAnsi="Times New Roman"/>
                <w:b/>
                <w:noProof/>
                <w:lang w:val="en-GB"/>
              </w:rPr>
              <w:t>Baseline</w:t>
            </w:r>
          </w:p>
        </w:tc>
        <w:tc>
          <w:tcPr>
            <w:tcW w:w="850" w:type="dxa"/>
            <w:tcBorders>
              <w:top w:val="nil"/>
              <w:left w:val="nil"/>
              <w:bottom w:val="single" w:sz="4" w:space="0" w:color="auto"/>
              <w:right w:val="single" w:sz="4" w:space="0" w:color="auto"/>
            </w:tcBorders>
            <w:shd w:val="clear" w:color="auto" w:fill="BDD7EE"/>
            <w:vAlign w:val="center"/>
            <w:hideMark/>
          </w:tcPr>
          <w:p w14:paraId="53297403" w14:textId="44CB8FF4" w:rsidR="006A41D9" w:rsidRPr="001961AA" w:rsidRDefault="006A41D9" w:rsidP="00BD6DD1">
            <w:pPr>
              <w:spacing w:after="0"/>
              <w:jc w:val="center"/>
              <w:rPr>
                <w:rFonts w:ascii="Times New Roman" w:eastAsia="Times New Roman" w:hAnsi="Times New Roman" w:cs="Times New Roman"/>
                <w:b/>
                <w:noProof/>
                <w:lang w:val="en-GB"/>
              </w:rPr>
            </w:pPr>
            <w:r w:rsidRPr="001961AA">
              <w:rPr>
                <w:rFonts w:ascii="Times New Roman" w:hAnsi="Times New Roman"/>
                <w:b/>
                <w:noProof/>
                <w:lang w:val="en-GB"/>
              </w:rPr>
              <w:t>Goal</w:t>
            </w:r>
          </w:p>
        </w:tc>
        <w:tc>
          <w:tcPr>
            <w:tcW w:w="1248" w:type="dxa"/>
            <w:tcBorders>
              <w:top w:val="nil"/>
              <w:left w:val="nil"/>
              <w:bottom w:val="single" w:sz="4" w:space="0" w:color="auto"/>
              <w:right w:val="single" w:sz="4" w:space="0" w:color="auto"/>
            </w:tcBorders>
            <w:shd w:val="clear" w:color="auto" w:fill="BDD7EE"/>
            <w:vAlign w:val="center"/>
            <w:hideMark/>
          </w:tcPr>
          <w:p w14:paraId="78547D84" w14:textId="77777777" w:rsidR="006A41D9" w:rsidRPr="001961AA" w:rsidRDefault="006A41D9" w:rsidP="00BD6DD1">
            <w:pPr>
              <w:spacing w:after="0"/>
              <w:jc w:val="center"/>
              <w:rPr>
                <w:rFonts w:ascii="Times New Roman" w:eastAsia="Times New Roman" w:hAnsi="Times New Roman" w:cs="Times New Roman"/>
                <w:b/>
                <w:noProof/>
                <w:lang w:val="en-GB"/>
              </w:rPr>
            </w:pPr>
            <w:r w:rsidRPr="001961AA">
              <w:rPr>
                <w:rFonts w:ascii="Times New Roman" w:hAnsi="Times New Roman"/>
                <w:b/>
                <w:noProof/>
                <w:lang w:val="en-GB"/>
              </w:rPr>
              <w:t>Quarter</w:t>
            </w:r>
          </w:p>
        </w:tc>
        <w:tc>
          <w:tcPr>
            <w:tcW w:w="720" w:type="dxa"/>
            <w:tcBorders>
              <w:top w:val="nil"/>
              <w:left w:val="nil"/>
              <w:bottom w:val="single" w:sz="4" w:space="0" w:color="auto"/>
              <w:right w:val="single" w:sz="4" w:space="0" w:color="auto"/>
            </w:tcBorders>
            <w:shd w:val="clear" w:color="auto" w:fill="BDD7EE"/>
            <w:vAlign w:val="center"/>
            <w:hideMark/>
          </w:tcPr>
          <w:p w14:paraId="5C601668" w14:textId="77777777" w:rsidR="006A41D9" w:rsidRPr="001961AA" w:rsidRDefault="006A41D9" w:rsidP="00BD6DD1">
            <w:pPr>
              <w:spacing w:after="0"/>
              <w:jc w:val="center"/>
              <w:rPr>
                <w:rFonts w:ascii="Times New Roman" w:eastAsia="Times New Roman" w:hAnsi="Times New Roman" w:cs="Times New Roman"/>
                <w:b/>
                <w:noProof/>
                <w:lang w:val="en-GB"/>
              </w:rPr>
            </w:pPr>
            <w:r w:rsidRPr="001961AA">
              <w:rPr>
                <w:rFonts w:ascii="Times New Roman" w:hAnsi="Times New Roman"/>
                <w:b/>
                <w:noProof/>
                <w:lang w:val="en-GB"/>
              </w:rPr>
              <w:t>Year</w:t>
            </w:r>
          </w:p>
        </w:tc>
        <w:tc>
          <w:tcPr>
            <w:tcW w:w="3957" w:type="dxa"/>
            <w:vMerge/>
            <w:vAlign w:val="center"/>
            <w:hideMark/>
          </w:tcPr>
          <w:p w14:paraId="6D486B85" w14:textId="77777777" w:rsidR="006A41D9" w:rsidRPr="001961AA" w:rsidRDefault="006A41D9" w:rsidP="00BD6DD1">
            <w:pPr>
              <w:spacing w:after="0"/>
              <w:rPr>
                <w:rFonts w:ascii="Times New Roman" w:eastAsia="Times New Roman" w:hAnsi="Times New Roman" w:cs="Times New Roman"/>
                <w:b/>
                <w:bCs/>
                <w:noProof/>
                <w:szCs w:val="24"/>
                <w:lang w:val="en-GB" w:eastAsia="en-GB"/>
              </w:rPr>
            </w:pPr>
          </w:p>
        </w:tc>
      </w:tr>
      <w:tr w:rsidR="00292220" w:rsidRPr="001961AA" w14:paraId="6167AC20" w14:textId="77777777" w:rsidTr="00AA525D">
        <w:trPr>
          <w:trHeight w:val="309"/>
        </w:trPr>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718E6CEC" w14:textId="77777777" w:rsidR="009F1E8E" w:rsidRPr="001961AA" w:rsidRDefault="009F1E8E" w:rsidP="009F1E8E">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114</w:t>
            </w:r>
          </w:p>
        </w:tc>
        <w:tc>
          <w:tcPr>
            <w:tcW w:w="1418"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7FF591C4" w14:textId="77777777" w:rsidR="009F1E8E" w:rsidRPr="001961AA" w:rsidRDefault="009F1E8E" w:rsidP="009F1E8E">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Greening the bus fleet (I-3G)</w:t>
            </w:r>
          </w:p>
        </w:tc>
        <w:tc>
          <w:tcPr>
            <w:tcW w:w="1134" w:type="dxa"/>
            <w:tcBorders>
              <w:top w:val="single" w:sz="4" w:space="0" w:color="auto"/>
              <w:left w:val="nil"/>
              <w:bottom w:val="single" w:sz="4" w:space="0" w:color="auto"/>
              <w:right w:val="single" w:sz="4" w:space="0" w:color="auto"/>
            </w:tcBorders>
            <w:shd w:val="clear" w:color="auto" w:fill="C6EFCE"/>
            <w:noWrap/>
            <w:vAlign w:val="center"/>
            <w:hideMark/>
          </w:tcPr>
          <w:p w14:paraId="0AE60C1C" w14:textId="0BC4AC27" w:rsidR="009F1E8E" w:rsidRPr="001961AA" w:rsidRDefault="009F1E8E" w:rsidP="009F1E8E">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T</w:t>
            </w:r>
          </w:p>
        </w:tc>
        <w:tc>
          <w:tcPr>
            <w:tcW w:w="1559" w:type="dxa"/>
            <w:tcBorders>
              <w:top w:val="single" w:sz="4" w:space="0" w:color="auto"/>
              <w:left w:val="nil"/>
              <w:bottom w:val="single" w:sz="4" w:space="0" w:color="auto"/>
              <w:right w:val="single" w:sz="4" w:space="0" w:color="auto"/>
            </w:tcBorders>
            <w:shd w:val="clear" w:color="auto" w:fill="C6EFCE"/>
            <w:noWrap/>
            <w:vAlign w:val="center"/>
            <w:hideMark/>
          </w:tcPr>
          <w:p w14:paraId="366B440C" w14:textId="77777777" w:rsidR="009F1E8E" w:rsidRPr="001961AA" w:rsidRDefault="009F1E8E" w:rsidP="009F1E8E">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Formal order for green busses and related charging infrastructure in Flanders and Brussels</w:t>
            </w:r>
          </w:p>
        </w:tc>
        <w:tc>
          <w:tcPr>
            <w:tcW w:w="1442" w:type="dxa"/>
            <w:tcBorders>
              <w:top w:val="single" w:sz="4" w:space="0" w:color="auto"/>
              <w:left w:val="nil"/>
              <w:bottom w:val="single" w:sz="4" w:space="0" w:color="auto"/>
              <w:right w:val="single" w:sz="4" w:space="0" w:color="auto"/>
            </w:tcBorders>
            <w:shd w:val="clear" w:color="auto" w:fill="C6EFCE"/>
            <w:noWrap/>
            <w:vAlign w:val="center"/>
            <w:hideMark/>
          </w:tcPr>
          <w:p w14:paraId="4C1E4AD6" w14:textId="77777777" w:rsidR="009F1E8E" w:rsidRPr="001961AA" w:rsidRDefault="009F1E8E" w:rsidP="009F1E8E">
            <w:pPr>
              <w:spacing w:after="0"/>
              <w:rPr>
                <w:rFonts w:ascii="Times New Roman" w:hAnsi="Times New Roman" w:cs="Times New Roman"/>
                <w:noProof/>
                <w:color w:val="006100"/>
                <w:lang w:val="en-GB" w:eastAsia="en-GB"/>
              </w:rPr>
            </w:pPr>
          </w:p>
        </w:tc>
        <w:tc>
          <w:tcPr>
            <w:tcW w:w="1080" w:type="dxa"/>
            <w:tcBorders>
              <w:top w:val="single" w:sz="4" w:space="0" w:color="auto"/>
              <w:left w:val="nil"/>
              <w:bottom w:val="single" w:sz="4" w:space="0" w:color="auto"/>
              <w:right w:val="single" w:sz="4" w:space="0" w:color="auto"/>
            </w:tcBorders>
            <w:shd w:val="clear" w:color="auto" w:fill="C6EFCE"/>
            <w:noWrap/>
            <w:vAlign w:val="center"/>
            <w:hideMark/>
          </w:tcPr>
          <w:p w14:paraId="4129E2B6" w14:textId="313695EE" w:rsidR="009F1E8E" w:rsidRPr="001961AA" w:rsidRDefault="009F1E8E" w:rsidP="009F1E8E">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 xml:space="preserve">Orders </w:t>
            </w:r>
          </w:p>
        </w:tc>
        <w:tc>
          <w:tcPr>
            <w:tcW w:w="1022" w:type="dxa"/>
            <w:tcBorders>
              <w:top w:val="single" w:sz="4" w:space="0" w:color="auto"/>
              <w:left w:val="nil"/>
              <w:bottom w:val="single" w:sz="4" w:space="0" w:color="auto"/>
              <w:right w:val="single" w:sz="4" w:space="0" w:color="auto"/>
            </w:tcBorders>
            <w:shd w:val="clear" w:color="auto" w:fill="C6EFCE"/>
            <w:noWrap/>
            <w:vAlign w:val="center"/>
            <w:hideMark/>
          </w:tcPr>
          <w:p w14:paraId="7EEB3A54" w14:textId="309F890E" w:rsidR="009F1E8E" w:rsidRPr="001961AA" w:rsidRDefault="009F1E8E" w:rsidP="009F1E8E">
            <w:pPr>
              <w:spacing w:after="0"/>
              <w:jc w:val="right"/>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0</w:t>
            </w:r>
          </w:p>
        </w:tc>
        <w:tc>
          <w:tcPr>
            <w:tcW w:w="850" w:type="dxa"/>
            <w:tcBorders>
              <w:top w:val="single" w:sz="4" w:space="0" w:color="auto"/>
              <w:left w:val="nil"/>
              <w:bottom w:val="single" w:sz="4" w:space="0" w:color="auto"/>
              <w:right w:val="single" w:sz="4" w:space="0" w:color="auto"/>
            </w:tcBorders>
            <w:shd w:val="clear" w:color="auto" w:fill="C6EFCE"/>
            <w:noWrap/>
            <w:vAlign w:val="center"/>
            <w:hideMark/>
          </w:tcPr>
          <w:p w14:paraId="21299D08" w14:textId="162292CC" w:rsidR="009F1E8E" w:rsidRPr="001961AA" w:rsidRDefault="009F1E8E" w:rsidP="009F1E8E">
            <w:pPr>
              <w:spacing w:after="0"/>
              <w:jc w:val="right"/>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5</w:t>
            </w:r>
          </w:p>
        </w:tc>
        <w:tc>
          <w:tcPr>
            <w:tcW w:w="1248" w:type="dxa"/>
            <w:tcBorders>
              <w:top w:val="nil"/>
              <w:left w:val="nil"/>
              <w:bottom w:val="single" w:sz="4" w:space="0" w:color="auto"/>
              <w:right w:val="single" w:sz="4" w:space="0" w:color="auto"/>
            </w:tcBorders>
            <w:shd w:val="clear" w:color="auto" w:fill="C6EFCE"/>
            <w:noWrap/>
            <w:vAlign w:val="center"/>
            <w:hideMark/>
          </w:tcPr>
          <w:p w14:paraId="547A00C4" w14:textId="77777777" w:rsidR="009F1E8E" w:rsidRPr="001961AA" w:rsidRDefault="009F1E8E" w:rsidP="009F1E8E">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Q4</w:t>
            </w:r>
          </w:p>
        </w:tc>
        <w:tc>
          <w:tcPr>
            <w:tcW w:w="720" w:type="dxa"/>
            <w:tcBorders>
              <w:top w:val="single" w:sz="4" w:space="0" w:color="auto"/>
              <w:left w:val="nil"/>
              <w:bottom w:val="single" w:sz="4" w:space="0" w:color="auto"/>
              <w:right w:val="single" w:sz="4" w:space="0" w:color="auto"/>
            </w:tcBorders>
            <w:shd w:val="clear" w:color="auto" w:fill="C6EFCE"/>
            <w:noWrap/>
            <w:vAlign w:val="center"/>
            <w:hideMark/>
          </w:tcPr>
          <w:p w14:paraId="677C3645" w14:textId="77777777" w:rsidR="009F1E8E" w:rsidRPr="001961AA" w:rsidRDefault="009F1E8E" w:rsidP="009F1E8E">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2024</w:t>
            </w:r>
          </w:p>
        </w:tc>
        <w:tc>
          <w:tcPr>
            <w:tcW w:w="3957"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111C0F51" w14:textId="77777777" w:rsidR="009F1E8E" w:rsidRPr="001961AA" w:rsidRDefault="009F1E8E" w:rsidP="009F1E8E">
            <w:pPr>
              <w:spacing w:after="0"/>
              <w:rPr>
                <w:rFonts w:ascii="Times New Roman" w:hAnsi="Times New Roman" w:cs="Times New Roman"/>
                <w:noProof/>
                <w:color w:val="006100"/>
                <w:lang w:val="en-GB"/>
              </w:rPr>
            </w:pPr>
            <w:r w:rsidRPr="001961AA">
              <w:rPr>
                <w:rFonts w:ascii="Times New Roman" w:hAnsi="Times New Roman"/>
                <w:noProof/>
                <w:color w:val="006100"/>
                <w:lang w:val="en-GB"/>
              </w:rPr>
              <w:t>Greening the bus fleet – VLA</w:t>
            </w:r>
          </w:p>
          <w:p w14:paraId="7C845BE2" w14:textId="77777777" w:rsidR="009F1E8E" w:rsidRPr="001961AA" w:rsidRDefault="009F1E8E" w:rsidP="009F1E8E">
            <w:pPr>
              <w:pStyle w:val="ListParagraph"/>
              <w:numPr>
                <w:ilvl w:val="0"/>
                <w:numId w:val="26"/>
              </w:numPr>
              <w:spacing w:after="0" w:line="240" w:lineRule="auto"/>
              <w:ind w:left="527" w:hanging="357"/>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Order placed for the retrofitting of hybrid buses into e-hybrid buses through an amendment to the existing framework contract</w:t>
            </w:r>
          </w:p>
          <w:p w14:paraId="7CC5D58C" w14:textId="77777777" w:rsidR="009F1E8E" w:rsidRPr="001961AA" w:rsidRDefault="009F1E8E" w:rsidP="009F1E8E">
            <w:pPr>
              <w:pStyle w:val="ListParagraph"/>
              <w:numPr>
                <w:ilvl w:val="0"/>
                <w:numId w:val="26"/>
              </w:numPr>
              <w:spacing w:after="0" w:line="240" w:lineRule="auto"/>
              <w:ind w:left="527" w:hanging="357"/>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Order placed for plug-in hybrid buses within the existing framework contract</w:t>
            </w:r>
          </w:p>
          <w:p w14:paraId="4C9E6427" w14:textId="77777777" w:rsidR="009F1E8E" w:rsidRPr="001961AA" w:rsidRDefault="009F1E8E" w:rsidP="009F1E8E">
            <w:pPr>
              <w:pStyle w:val="ListParagraph"/>
              <w:numPr>
                <w:ilvl w:val="0"/>
                <w:numId w:val="26"/>
              </w:numPr>
              <w:spacing w:after="0" w:line="240" w:lineRule="auto"/>
              <w:ind w:left="527" w:hanging="357"/>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 xml:space="preserve">Order placed for fully electric buses </w:t>
            </w:r>
          </w:p>
          <w:p w14:paraId="73751597" w14:textId="77777777" w:rsidR="009F1E8E" w:rsidRPr="001961AA" w:rsidRDefault="009F1E8E" w:rsidP="009F1E8E">
            <w:pPr>
              <w:pStyle w:val="ListParagraph"/>
              <w:numPr>
                <w:ilvl w:val="0"/>
                <w:numId w:val="26"/>
              </w:numPr>
              <w:spacing w:after="0" w:line="240" w:lineRule="auto"/>
              <w:ind w:left="527" w:hanging="357"/>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Order placed for the installation of charging infrastructure in the depots of the (fully) electric buses and the plug-in hybrid buses</w:t>
            </w:r>
          </w:p>
          <w:p w14:paraId="6DCA317F" w14:textId="77777777" w:rsidR="009F1E8E" w:rsidRPr="001961AA" w:rsidRDefault="009F1E8E" w:rsidP="009F1E8E">
            <w:pPr>
              <w:spacing w:after="0"/>
              <w:rPr>
                <w:rFonts w:ascii="Times New Roman" w:hAnsi="Times New Roman" w:cs="Times New Roman"/>
                <w:noProof/>
                <w:color w:val="006100"/>
                <w:lang w:val="en-GB"/>
              </w:rPr>
            </w:pPr>
            <w:r w:rsidRPr="001961AA">
              <w:rPr>
                <w:rFonts w:ascii="Times New Roman" w:hAnsi="Times New Roman"/>
                <w:noProof/>
                <w:color w:val="006100"/>
                <w:lang w:val="en-GB"/>
              </w:rPr>
              <w:t>Greening the bus fleet – RBC</w:t>
            </w:r>
          </w:p>
          <w:p w14:paraId="7E5015F7" w14:textId="47664C96" w:rsidR="009F1E8E" w:rsidRPr="001961AA" w:rsidRDefault="009F1E8E" w:rsidP="009F1E8E">
            <w:pPr>
              <w:pStyle w:val="ListParagraph"/>
              <w:numPr>
                <w:ilvl w:val="0"/>
                <w:numId w:val="26"/>
              </w:numPr>
              <w:spacing w:after="0" w:line="240" w:lineRule="auto"/>
              <w:ind w:left="527" w:hanging="357"/>
              <w:rPr>
                <w:rFonts w:ascii="Times New Roman" w:hAnsi="Times New Roman" w:cs="Times New Roman"/>
                <w:noProof/>
                <w:color w:val="006100"/>
                <w:lang w:val="en-GB"/>
              </w:rPr>
            </w:pPr>
            <w:r w:rsidRPr="001961AA">
              <w:rPr>
                <w:rFonts w:ascii="Times New Roman" w:hAnsi="Times New Roman"/>
                <w:noProof/>
                <w:color w:val="006100"/>
                <w:lang w:val="en-GB"/>
              </w:rPr>
              <w:t>Order placed for 12 articulated full electric buses</w:t>
            </w:r>
          </w:p>
        </w:tc>
      </w:tr>
      <w:tr w:rsidR="00292220" w:rsidRPr="001961AA" w14:paraId="27996DAD" w14:textId="77777777" w:rsidTr="00AA525D">
        <w:trPr>
          <w:trHeight w:val="309"/>
        </w:trPr>
        <w:tc>
          <w:tcPr>
            <w:tcW w:w="709" w:type="dxa"/>
            <w:tcBorders>
              <w:top w:val="nil"/>
              <w:left w:val="single" w:sz="4" w:space="0" w:color="auto"/>
              <w:bottom w:val="single" w:sz="4" w:space="0" w:color="auto"/>
              <w:right w:val="single" w:sz="4" w:space="0" w:color="auto"/>
            </w:tcBorders>
            <w:shd w:val="clear" w:color="auto" w:fill="C6EFCE"/>
            <w:noWrap/>
            <w:vAlign w:val="center"/>
            <w:hideMark/>
          </w:tcPr>
          <w:p w14:paraId="61432A27" w14:textId="77777777" w:rsidR="00B77D6A" w:rsidRPr="001961AA" w:rsidRDefault="00B77D6A" w:rsidP="00B77D6A">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115</w:t>
            </w:r>
          </w:p>
        </w:tc>
        <w:tc>
          <w:tcPr>
            <w:tcW w:w="1418" w:type="dxa"/>
            <w:tcBorders>
              <w:top w:val="nil"/>
              <w:left w:val="single" w:sz="4" w:space="0" w:color="auto"/>
              <w:bottom w:val="single" w:sz="4" w:space="0" w:color="auto"/>
              <w:right w:val="single" w:sz="4" w:space="0" w:color="auto"/>
            </w:tcBorders>
            <w:shd w:val="clear" w:color="auto" w:fill="C6EFCE"/>
            <w:noWrap/>
            <w:vAlign w:val="center"/>
            <w:hideMark/>
          </w:tcPr>
          <w:p w14:paraId="68B514E6" w14:textId="77777777" w:rsidR="00B77D6A" w:rsidRPr="001961AA" w:rsidRDefault="00B77D6A" w:rsidP="00B77D6A">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Greening the bus fleet –(I-3G)</w:t>
            </w:r>
          </w:p>
        </w:tc>
        <w:tc>
          <w:tcPr>
            <w:tcW w:w="1134" w:type="dxa"/>
            <w:tcBorders>
              <w:top w:val="nil"/>
              <w:left w:val="nil"/>
              <w:bottom w:val="single" w:sz="4" w:space="0" w:color="auto"/>
              <w:right w:val="single" w:sz="4" w:space="0" w:color="auto"/>
            </w:tcBorders>
            <w:shd w:val="clear" w:color="auto" w:fill="C6EFCE"/>
            <w:noWrap/>
            <w:vAlign w:val="center"/>
            <w:hideMark/>
          </w:tcPr>
          <w:p w14:paraId="05EFA9A1" w14:textId="13B627B0" w:rsidR="00B77D6A" w:rsidRPr="001961AA" w:rsidRDefault="00B77D6A" w:rsidP="00B77D6A">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T</w:t>
            </w:r>
          </w:p>
        </w:tc>
        <w:tc>
          <w:tcPr>
            <w:tcW w:w="1559" w:type="dxa"/>
            <w:tcBorders>
              <w:top w:val="nil"/>
              <w:left w:val="nil"/>
              <w:bottom w:val="single" w:sz="4" w:space="0" w:color="auto"/>
              <w:right w:val="single" w:sz="4" w:space="0" w:color="auto"/>
            </w:tcBorders>
            <w:shd w:val="clear" w:color="auto" w:fill="C6EFCE"/>
            <w:noWrap/>
            <w:vAlign w:val="center"/>
            <w:hideMark/>
          </w:tcPr>
          <w:p w14:paraId="564B3272" w14:textId="390B9ECE" w:rsidR="00B77D6A" w:rsidRPr="001961AA" w:rsidRDefault="00B77D6A" w:rsidP="00B77D6A">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Green buses placed in service and depots technically adapted in Flanders, Brussels and Wallonia</w:t>
            </w:r>
          </w:p>
        </w:tc>
        <w:tc>
          <w:tcPr>
            <w:tcW w:w="1442" w:type="dxa"/>
            <w:tcBorders>
              <w:top w:val="nil"/>
              <w:left w:val="nil"/>
              <w:bottom w:val="single" w:sz="4" w:space="0" w:color="auto"/>
              <w:right w:val="single" w:sz="4" w:space="0" w:color="auto"/>
            </w:tcBorders>
            <w:shd w:val="clear" w:color="auto" w:fill="C6EFCE"/>
            <w:noWrap/>
            <w:vAlign w:val="center"/>
            <w:hideMark/>
          </w:tcPr>
          <w:p w14:paraId="1DDB18A8" w14:textId="77777777" w:rsidR="00B77D6A" w:rsidRPr="001961AA" w:rsidRDefault="00B77D6A" w:rsidP="00B77D6A">
            <w:pPr>
              <w:spacing w:after="0"/>
              <w:rPr>
                <w:rFonts w:ascii="Times New Roman" w:hAnsi="Times New Roman" w:cs="Times New Roman"/>
                <w:noProof/>
                <w:color w:val="006100"/>
                <w:lang w:val="en-GB" w:eastAsia="en-GB"/>
              </w:rPr>
            </w:pPr>
          </w:p>
        </w:tc>
        <w:tc>
          <w:tcPr>
            <w:tcW w:w="1080" w:type="dxa"/>
            <w:tcBorders>
              <w:top w:val="nil"/>
              <w:left w:val="nil"/>
              <w:bottom w:val="single" w:sz="4" w:space="0" w:color="auto"/>
              <w:right w:val="single" w:sz="4" w:space="0" w:color="auto"/>
            </w:tcBorders>
            <w:shd w:val="clear" w:color="auto" w:fill="C6EFCE"/>
            <w:noWrap/>
            <w:vAlign w:val="center"/>
            <w:hideMark/>
          </w:tcPr>
          <w:p w14:paraId="794DA551" w14:textId="77777777" w:rsidR="00B77D6A" w:rsidRPr="001961AA" w:rsidRDefault="00B77D6A" w:rsidP="00B77D6A">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Vehicles</w:t>
            </w:r>
          </w:p>
        </w:tc>
        <w:tc>
          <w:tcPr>
            <w:tcW w:w="1022" w:type="dxa"/>
            <w:tcBorders>
              <w:top w:val="nil"/>
              <w:left w:val="nil"/>
              <w:bottom w:val="single" w:sz="4" w:space="0" w:color="auto"/>
              <w:right w:val="single" w:sz="4" w:space="0" w:color="auto"/>
            </w:tcBorders>
            <w:shd w:val="clear" w:color="auto" w:fill="C6EFCE"/>
            <w:noWrap/>
            <w:vAlign w:val="center"/>
            <w:hideMark/>
          </w:tcPr>
          <w:p w14:paraId="32CC0EC9" w14:textId="77777777" w:rsidR="00B77D6A" w:rsidRPr="001961AA" w:rsidRDefault="00B77D6A" w:rsidP="00B77D6A">
            <w:pPr>
              <w:spacing w:after="0"/>
              <w:jc w:val="right"/>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0</w:t>
            </w:r>
          </w:p>
        </w:tc>
        <w:tc>
          <w:tcPr>
            <w:tcW w:w="850" w:type="dxa"/>
            <w:tcBorders>
              <w:top w:val="nil"/>
              <w:left w:val="nil"/>
              <w:bottom w:val="single" w:sz="4" w:space="0" w:color="auto"/>
              <w:right w:val="single" w:sz="4" w:space="0" w:color="auto"/>
            </w:tcBorders>
            <w:shd w:val="clear" w:color="auto" w:fill="C6EFCE"/>
            <w:noWrap/>
            <w:vAlign w:val="center"/>
            <w:hideMark/>
          </w:tcPr>
          <w:p w14:paraId="52F938AF" w14:textId="3A950456" w:rsidR="00B77D6A" w:rsidRPr="001961AA" w:rsidRDefault="00F425F8" w:rsidP="00B77D6A">
            <w:pPr>
              <w:spacing w:after="0"/>
              <w:jc w:val="right"/>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363</w:t>
            </w:r>
          </w:p>
        </w:tc>
        <w:tc>
          <w:tcPr>
            <w:tcW w:w="1248" w:type="dxa"/>
            <w:tcBorders>
              <w:top w:val="nil"/>
              <w:left w:val="nil"/>
              <w:bottom w:val="single" w:sz="4" w:space="0" w:color="auto"/>
              <w:right w:val="single" w:sz="4" w:space="0" w:color="auto"/>
            </w:tcBorders>
            <w:shd w:val="clear" w:color="auto" w:fill="C6EFCE"/>
            <w:noWrap/>
            <w:vAlign w:val="center"/>
            <w:hideMark/>
          </w:tcPr>
          <w:p w14:paraId="3E0064D2" w14:textId="0F7536A3" w:rsidR="00B77D6A" w:rsidRPr="001961AA" w:rsidRDefault="00B77D6A" w:rsidP="00B77D6A">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Q4</w:t>
            </w:r>
          </w:p>
        </w:tc>
        <w:tc>
          <w:tcPr>
            <w:tcW w:w="720" w:type="dxa"/>
            <w:tcBorders>
              <w:top w:val="nil"/>
              <w:left w:val="nil"/>
              <w:bottom w:val="single" w:sz="4" w:space="0" w:color="auto"/>
              <w:right w:val="single" w:sz="4" w:space="0" w:color="auto"/>
            </w:tcBorders>
            <w:shd w:val="clear" w:color="auto" w:fill="C6EFCE"/>
            <w:noWrap/>
            <w:vAlign w:val="center"/>
            <w:hideMark/>
          </w:tcPr>
          <w:p w14:paraId="30289E90" w14:textId="667C1B25" w:rsidR="00B77D6A" w:rsidRPr="001961AA" w:rsidRDefault="00B77D6A" w:rsidP="00B77D6A">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2025</w:t>
            </w:r>
          </w:p>
        </w:tc>
        <w:tc>
          <w:tcPr>
            <w:tcW w:w="3957" w:type="dxa"/>
            <w:tcBorders>
              <w:top w:val="nil"/>
              <w:left w:val="single" w:sz="4" w:space="0" w:color="auto"/>
              <w:bottom w:val="single" w:sz="4" w:space="0" w:color="auto"/>
              <w:right w:val="single" w:sz="4" w:space="0" w:color="auto"/>
            </w:tcBorders>
            <w:shd w:val="clear" w:color="auto" w:fill="C6EFCE"/>
            <w:noWrap/>
            <w:vAlign w:val="center"/>
            <w:hideMark/>
          </w:tcPr>
          <w:p w14:paraId="53D26B0C" w14:textId="77777777" w:rsidR="00B77D6A" w:rsidRPr="001961AA" w:rsidRDefault="00B77D6A" w:rsidP="00B77D6A">
            <w:pPr>
              <w:spacing w:after="0"/>
              <w:rPr>
                <w:rFonts w:ascii="Times New Roman" w:hAnsi="Times New Roman" w:cs="Times New Roman"/>
                <w:noProof/>
                <w:color w:val="006100"/>
                <w:lang w:val="en-GB"/>
              </w:rPr>
            </w:pPr>
            <w:r w:rsidRPr="001961AA">
              <w:rPr>
                <w:rFonts w:ascii="Times New Roman" w:hAnsi="Times New Roman"/>
                <w:noProof/>
                <w:color w:val="006100"/>
                <w:lang w:val="en-GB"/>
              </w:rPr>
              <w:t>Greening the bus fleet – VLA</w:t>
            </w:r>
          </w:p>
          <w:p w14:paraId="4A618D84" w14:textId="77777777" w:rsidR="00B77D6A" w:rsidRPr="001961AA" w:rsidRDefault="00B77D6A" w:rsidP="00B77D6A">
            <w:pPr>
              <w:pStyle w:val="ListParagraph"/>
              <w:numPr>
                <w:ilvl w:val="0"/>
                <w:numId w:val="26"/>
              </w:numPr>
              <w:spacing w:after="0" w:line="240" w:lineRule="auto"/>
              <w:ind w:left="527" w:hanging="357"/>
              <w:rPr>
                <w:rFonts w:ascii="Times New Roman" w:hAnsi="Times New Roman" w:cs="Times New Roman"/>
                <w:noProof/>
                <w:color w:val="006100"/>
                <w:lang w:val="en-GB"/>
              </w:rPr>
            </w:pPr>
            <w:r w:rsidRPr="001961AA">
              <w:rPr>
                <w:rFonts w:ascii="Times New Roman" w:hAnsi="Times New Roman"/>
                <w:noProof/>
                <w:color w:val="006100"/>
                <w:lang w:val="en-GB"/>
              </w:rPr>
              <w:t>257 New and retrofitted plug-in e-hybrid buses are delivered and placed in service (the buses are adapted to provide services in the area where they are assigned)</w:t>
            </w:r>
          </w:p>
          <w:p w14:paraId="1B7ED8D9" w14:textId="77777777" w:rsidR="00B77D6A" w:rsidRPr="001961AA" w:rsidRDefault="00B77D6A" w:rsidP="00B77D6A">
            <w:pPr>
              <w:pStyle w:val="ListParagraph"/>
              <w:numPr>
                <w:ilvl w:val="0"/>
                <w:numId w:val="26"/>
              </w:numPr>
              <w:spacing w:after="0" w:line="240" w:lineRule="auto"/>
              <w:ind w:left="527" w:hanging="357"/>
              <w:rPr>
                <w:rFonts w:ascii="Times New Roman" w:hAnsi="Times New Roman" w:cs="Times New Roman"/>
                <w:noProof/>
                <w:color w:val="006100"/>
                <w:lang w:val="en-GB"/>
              </w:rPr>
            </w:pPr>
            <w:r w:rsidRPr="001961AA">
              <w:rPr>
                <w:rFonts w:ascii="Times New Roman" w:hAnsi="Times New Roman"/>
                <w:noProof/>
                <w:color w:val="006100"/>
                <w:lang w:val="en-GB"/>
              </w:rPr>
              <w:t>54 Fully electric buses are delivered and placed in service (the buses are adapted to provide services in the area where they are assigned</w:t>
            </w:r>
          </w:p>
          <w:p w14:paraId="6C51B2C7" w14:textId="77777777" w:rsidR="00B77D6A" w:rsidRPr="001961AA" w:rsidRDefault="00B77D6A" w:rsidP="00B77D6A">
            <w:pPr>
              <w:pStyle w:val="ListParagraph"/>
              <w:numPr>
                <w:ilvl w:val="0"/>
                <w:numId w:val="26"/>
              </w:numPr>
              <w:spacing w:after="0" w:line="240" w:lineRule="auto"/>
              <w:ind w:left="527" w:hanging="357"/>
              <w:rPr>
                <w:rFonts w:ascii="Times New Roman" w:hAnsi="Times New Roman" w:cs="Times New Roman"/>
                <w:noProof/>
                <w:color w:val="006100"/>
                <w:lang w:val="en-GB"/>
              </w:rPr>
            </w:pPr>
            <w:r w:rsidRPr="001961AA">
              <w:rPr>
                <w:rFonts w:ascii="Times New Roman" w:hAnsi="Times New Roman"/>
                <w:noProof/>
                <w:color w:val="006100"/>
                <w:lang w:val="en-GB"/>
              </w:rPr>
              <w:t>Charging infrastructure is placed in service in the bus depots in the assigned areas</w:t>
            </w:r>
          </w:p>
          <w:p w14:paraId="1544741B" w14:textId="77777777" w:rsidR="00B77D6A" w:rsidRPr="001961AA" w:rsidRDefault="00B77D6A" w:rsidP="00B77D6A">
            <w:pPr>
              <w:spacing w:after="0"/>
              <w:rPr>
                <w:rFonts w:ascii="Times New Roman" w:hAnsi="Times New Roman" w:cs="Times New Roman"/>
                <w:noProof/>
                <w:color w:val="006100"/>
                <w:lang w:val="en-GB"/>
              </w:rPr>
            </w:pPr>
            <w:r w:rsidRPr="001961AA">
              <w:rPr>
                <w:rFonts w:ascii="Times New Roman" w:hAnsi="Times New Roman"/>
                <w:noProof/>
                <w:color w:val="006100"/>
                <w:lang w:val="en-GB"/>
              </w:rPr>
              <w:t>Greening the bus fleet – RBC</w:t>
            </w:r>
          </w:p>
          <w:p w14:paraId="7E26F45D" w14:textId="460F716B" w:rsidR="00B77D6A" w:rsidRPr="001961AA" w:rsidRDefault="00B77D6A" w:rsidP="00B77D6A">
            <w:pPr>
              <w:pStyle w:val="ListParagraph"/>
              <w:numPr>
                <w:ilvl w:val="0"/>
                <w:numId w:val="26"/>
              </w:numPr>
              <w:spacing w:after="0" w:line="240" w:lineRule="auto"/>
              <w:ind w:left="527" w:hanging="357"/>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Delivery of 33 articulated  electric busses and tests</w:t>
            </w:r>
          </w:p>
          <w:p w14:paraId="37799BB5" w14:textId="77777777" w:rsidR="00B77D6A" w:rsidRPr="001961AA" w:rsidRDefault="00B77D6A" w:rsidP="00B77D6A">
            <w:pPr>
              <w:spacing w:after="0"/>
              <w:rPr>
                <w:rFonts w:ascii="Times New Roman" w:hAnsi="Times New Roman" w:cs="Times New Roman"/>
                <w:noProof/>
                <w:color w:val="006100"/>
                <w:lang w:val="en-GB"/>
              </w:rPr>
            </w:pPr>
            <w:r w:rsidRPr="001961AA">
              <w:rPr>
                <w:rFonts w:ascii="Times New Roman" w:hAnsi="Times New Roman"/>
                <w:noProof/>
                <w:color w:val="006100"/>
                <w:lang w:val="en-GB"/>
              </w:rPr>
              <w:t>Greening the bus fleet – WAL</w:t>
            </w:r>
          </w:p>
          <w:p w14:paraId="5FA8E1FF" w14:textId="777F6D9D" w:rsidR="00B77D6A" w:rsidRPr="001961AA" w:rsidRDefault="00B77D6A" w:rsidP="00B77D6A">
            <w:pPr>
              <w:pStyle w:val="ListParagraph"/>
              <w:numPr>
                <w:ilvl w:val="0"/>
                <w:numId w:val="26"/>
              </w:numPr>
              <w:spacing w:after="0" w:line="240" w:lineRule="auto"/>
              <w:ind w:left="527" w:hanging="357"/>
              <w:rPr>
                <w:rFonts w:ascii="Times New Roman" w:hAnsi="Times New Roman"/>
                <w:noProof/>
                <w:color w:val="006100"/>
                <w:lang w:val="en-GB"/>
              </w:rPr>
            </w:pPr>
            <w:r w:rsidRPr="001961AA">
              <w:rPr>
                <w:rFonts w:ascii="Times New Roman" w:hAnsi="Times New Roman"/>
                <w:noProof/>
                <w:color w:val="006100"/>
                <w:lang w:val="en-GB"/>
              </w:rPr>
              <w:t>Delivery of 14 articulated full electric buses</w:t>
            </w:r>
          </w:p>
          <w:p w14:paraId="14DAC3E2" w14:textId="6E9D2003" w:rsidR="00B77D6A" w:rsidRPr="001961AA" w:rsidRDefault="00B77D6A" w:rsidP="00B77D6A">
            <w:pPr>
              <w:pStyle w:val="ListParagraph"/>
              <w:numPr>
                <w:ilvl w:val="0"/>
                <w:numId w:val="26"/>
              </w:numPr>
              <w:spacing w:after="0" w:line="240" w:lineRule="auto"/>
              <w:ind w:left="527" w:hanging="357"/>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Delivery of 5 bi-articulated full electric buses</w:t>
            </w:r>
          </w:p>
        </w:tc>
      </w:tr>
      <w:tr w:rsidR="00292220" w:rsidRPr="001961AA" w14:paraId="403645FA" w14:textId="77777777" w:rsidTr="00AA525D">
        <w:trPr>
          <w:trHeight w:val="309"/>
        </w:trPr>
        <w:tc>
          <w:tcPr>
            <w:tcW w:w="709" w:type="dxa"/>
            <w:tcBorders>
              <w:top w:val="nil"/>
              <w:left w:val="single" w:sz="4" w:space="0" w:color="auto"/>
              <w:bottom w:val="single" w:sz="4" w:space="0" w:color="auto"/>
              <w:right w:val="single" w:sz="4" w:space="0" w:color="auto"/>
            </w:tcBorders>
            <w:shd w:val="clear" w:color="auto" w:fill="C6EFCE"/>
            <w:noWrap/>
            <w:vAlign w:val="center"/>
          </w:tcPr>
          <w:p w14:paraId="5E68761F" w14:textId="05B54E71" w:rsidR="00B77D6A" w:rsidRPr="001961AA" w:rsidRDefault="00B77D6A" w:rsidP="00B77D6A">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115 b</w:t>
            </w:r>
          </w:p>
        </w:tc>
        <w:tc>
          <w:tcPr>
            <w:tcW w:w="1418" w:type="dxa"/>
            <w:tcBorders>
              <w:top w:val="nil"/>
              <w:left w:val="single" w:sz="4" w:space="0" w:color="auto"/>
              <w:bottom w:val="single" w:sz="4" w:space="0" w:color="auto"/>
              <w:right w:val="single" w:sz="4" w:space="0" w:color="auto"/>
            </w:tcBorders>
            <w:shd w:val="clear" w:color="auto" w:fill="C6EFCE"/>
            <w:noWrap/>
            <w:vAlign w:val="center"/>
          </w:tcPr>
          <w:p w14:paraId="68887B4B" w14:textId="2D122543" w:rsidR="00B77D6A" w:rsidRPr="001961AA" w:rsidRDefault="00B77D6A" w:rsidP="00B77D6A">
            <w:pPr>
              <w:spacing w:after="0"/>
              <w:rPr>
                <w:rFonts w:ascii="Times New Roman" w:hAnsi="Times New Roman" w:cs="Times New Roman"/>
                <w:noProof/>
                <w:color w:val="006100"/>
                <w:lang w:val="en-GB"/>
              </w:rPr>
            </w:pPr>
            <w:r w:rsidRPr="001961AA">
              <w:rPr>
                <w:rFonts w:ascii="Times New Roman" w:hAnsi="Times New Roman"/>
                <w:noProof/>
                <w:color w:val="006100"/>
                <w:lang w:val="en-GB"/>
              </w:rPr>
              <w:t>Greening the bus fleet – (I-3G)</w:t>
            </w:r>
          </w:p>
        </w:tc>
        <w:tc>
          <w:tcPr>
            <w:tcW w:w="1134" w:type="dxa"/>
            <w:tcBorders>
              <w:top w:val="nil"/>
              <w:left w:val="nil"/>
              <w:bottom w:val="single" w:sz="4" w:space="0" w:color="auto"/>
              <w:right w:val="single" w:sz="4" w:space="0" w:color="auto"/>
            </w:tcBorders>
            <w:shd w:val="clear" w:color="auto" w:fill="C6EFCE"/>
            <w:noWrap/>
            <w:vAlign w:val="center"/>
          </w:tcPr>
          <w:p w14:paraId="56EEEBFF" w14:textId="679CC7AF" w:rsidR="00B77D6A" w:rsidRPr="001961AA" w:rsidRDefault="00B77D6A" w:rsidP="00B77D6A">
            <w:pPr>
              <w:spacing w:after="0"/>
              <w:rPr>
                <w:rFonts w:ascii="Times New Roman" w:hAnsi="Times New Roman" w:cs="Times New Roman"/>
                <w:noProof/>
                <w:color w:val="006100"/>
                <w:lang w:val="en-GB"/>
              </w:rPr>
            </w:pPr>
            <w:r w:rsidRPr="001961AA">
              <w:rPr>
                <w:rFonts w:ascii="Times New Roman" w:hAnsi="Times New Roman"/>
                <w:noProof/>
                <w:color w:val="006100"/>
                <w:lang w:val="en-GB"/>
              </w:rPr>
              <w:t>T</w:t>
            </w:r>
          </w:p>
        </w:tc>
        <w:tc>
          <w:tcPr>
            <w:tcW w:w="1559" w:type="dxa"/>
            <w:tcBorders>
              <w:top w:val="nil"/>
              <w:left w:val="nil"/>
              <w:bottom w:val="single" w:sz="4" w:space="0" w:color="auto"/>
              <w:right w:val="single" w:sz="4" w:space="0" w:color="auto"/>
            </w:tcBorders>
            <w:shd w:val="clear" w:color="auto" w:fill="C6EFCE"/>
            <w:noWrap/>
            <w:vAlign w:val="center"/>
          </w:tcPr>
          <w:p w14:paraId="26E08A3A" w14:textId="04A58322" w:rsidR="00B77D6A" w:rsidRPr="001961AA" w:rsidRDefault="00B77D6A" w:rsidP="00B77D6A">
            <w:pPr>
              <w:spacing w:after="0"/>
              <w:rPr>
                <w:rFonts w:ascii="Times New Roman" w:hAnsi="Times New Roman" w:cs="Times New Roman"/>
                <w:noProof/>
                <w:color w:val="006100"/>
                <w:lang w:val="en-GB"/>
              </w:rPr>
            </w:pPr>
            <w:r w:rsidRPr="001961AA">
              <w:rPr>
                <w:rFonts w:ascii="Times New Roman" w:hAnsi="Times New Roman"/>
                <w:noProof/>
                <w:color w:val="006100"/>
                <w:lang w:val="en-GB"/>
              </w:rPr>
              <w:t>Green buses placed in service and depot newly built in Wallonia</w:t>
            </w:r>
          </w:p>
        </w:tc>
        <w:tc>
          <w:tcPr>
            <w:tcW w:w="1442" w:type="dxa"/>
            <w:tcBorders>
              <w:top w:val="nil"/>
              <w:left w:val="nil"/>
              <w:bottom w:val="single" w:sz="4" w:space="0" w:color="auto"/>
              <w:right w:val="single" w:sz="4" w:space="0" w:color="auto"/>
            </w:tcBorders>
            <w:shd w:val="clear" w:color="auto" w:fill="C6EFCE"/>
            <w:noWrap/>
            <w:vAlign w:val="center"/>
          </w:tcPr>
          <w:p w14:paraId="0F239ED3" w14:textId="77777777" w:rsidR="00B77D6A" w:rsidRPr="001961AA" w:rsidRDefault="00B77D6A" w:rsidP="00B77D6A">
            <w:pPr>
              <w:spacing w:after="0"/>
              <w:rPr>
                <w:rFonts w:ascii="Times New Roman" w:hAnsi="Times New Roman" w:cs="Times New Roman"/>
                <w:noProof/>
                <w:color w:val="006100"/>
                <w:lang w:val="en-GB" w:eastAsia="en-GB"/>
              </w:rPr>
            </w:pPr>
          </w:p>
        </w:tc>
        <w:tc>
          <w:tcPr>
            <w:tcW w:w="1080" w:type="dxa"/>
            <w:tcBorders>
              <w:top w:val="nil"/>
              <w:left w:val="nil"/>
              <w:bottom w:val="single" w:sz="4" w:space="0" w:color="auto"/>
              <w:right w:val="single" w:sz="4" w:space="0" w:color="auto"/>
            </w:tcBorders>
            <w:shd w:val="clear" w:color="auto" w:fill="C6EFCE"/>
            <w:noWrap/>
            <w:vAlign w:val="center"/>
          </w:tcPr>
          <w:p w14:paraId="6490D0A1" w14:textId="5CA45ACF" w:rsidR="00B77D6A" w:rsidRPr="001961AA" w:rsidRDefault="00B77D6A" w:rsidP="00B77D6A">
            <w:pPr>
              <w:spacing w:after="0"/>
              <w:rPr>
                <w:rFonts w:ascii="Times New Roman" w:hAnsi="Times New Roman" w:cs="Times New Roman"/>
                <w:noProof/>
                <w:color w:val="006100"/>
                <w:lang w:val="en-GB"/>
              </w:rPr>
            </w:pPr>
            <w:r w:rsidRPr="001961AA">
              <w:rPr>
                <w:rFonts w:ascii="Times New Roman" w:hAnsi="Times New Roman"/>
                <w:noProof/>
                <w:color w:val="006100"/>
                <w:lang w:val="en-GB"/>
              </w:rPr>
              <w:t>Vehicles</w:t>
            </w:r>
          </w:p>
        </w:tc>
        <w:tc>
          <w:tcPr>
            <w:tcW w:w="1022" w:type="dxa"/>
            <w:tcBorders>
              <w:top w:val="nil"/>
              <w:left w:val="nil"/>
              <w:bottom w:val="single" w:sz="4" w:space="0" w:color="auto"/>
              <w:right w:val="single" w:sz="4" w:space="0" w:color="auto"/>
            </w:tcBorders>
            <w:shd w:val="clear" w:color="auto" w:fill="C6EFCE"/>
            <w:noWrap/>
            <w:vAlign w:val="center"/>
          </w:tcPr>
          <w:p w14:paraId="22A0915F" w14:textId="1CE1F639" w:rsidR="00B77D6A" w:rsidRPr="001961AA" w:rsidRDefault="00F425F8" w:rsidP="00B77D6A">
            <w:pPr>
              <w:spacing w:after="0"/>
              <w:jc w:val="right"/>
              <w:rPr>
                <w:rFonts w:ascii="Times New Roman" w:hAnsi="Times New Roman" w:cs="Times New Roman"/>
                <w:noProof/>
                <w:color w:val="006100"/>
                <w:lang w:val="en-GB"/>
              </w:rPr>
            </w:pPr>
            <w:r w:rsidRPr="001961AA">
              <w:rPr>
                <w:rFonts w:ascii="Times New Roman" w:hAnsi="Times New Roman"/>
                <w:noProof/>
                <w:color w:val="006100"/>
                <w:lang w:val="en-GB"/>
              </w:rPr>
              <w:t>363</w:t>
            </w:r>
          </w:p>
        </w:tc>
        <w:tc>
          <w:tcPr>
            <w:tcW w:w="850" w:type="dxa"/>
            <w:tcBorders>
              <w:top w:val="nil"/>
              <w:left w:val="nil"/>
              <w:bottom w:val="single" w:sz="4" w:space="0" w:color="auto"/>
              <w:right w:val="single" w:sz="4" w:space="0" w:color="auto"/>
            </w:tcBorders>
            <w:shd w:val="clear" w:color="auto" w:fill="C6EFCE"/>
            <w:noWrap/>
            <w:vAlign w:val="center"/>
          </w:tcPr>
          <w:p w14:paraId="04F5BE09" w14:textId="23AFA82C" w:rsidR="00B77D6A" w:rsidRPr="001961AA" w:rsidRDefault="00B77D6A" w:rsidP="00B77D6A">
            <w:pPr>
              <w:spacing w:after="0"/>
              <w:jc w:val="right"/>
              <w:rPr>
                <w:rFonts w:ascii="Times New Roman" w:hAnsi="Times New Roman" w:cs="Times New Roman"/>
                <w:noProof/>
                <w:color w:val="006100"/>
                <w:lang w:val="en-GB"/>
              </w:rPr>
            </w:pPr>
            <w:r w:rsidRPr="001961AA">
              <w:rPr>
                <w:rFonts w:ascii="Times New Roman" w:hAnsi="Times New Roman"/>
                <w:noProof/>
                <w:color w:val="006100"/>
                <w:lang w:val="en-GB"/>
              </w:rPr>
              <w:t>376</w:t>
            </w:r>
          </w:p>
        </w:tc>
        <w:tc>
          <w:tcPr>
            <w:tcW w:w="1248" w:type="dxa"/>
            <w:tcBorders>
              <w:top w:val="nil"/>
              <w:left w:val="nil"/>
              <w:bottom w:val="single" w:sz="4" w:space="0" w:color="auto"/>
              <w:right w:val="single" w:sz="4" w:space="0" w:color="auto"/>
            </w:tcBorders>
            <w:shd w:val="clear" w:color="auto" w:fill="C6EFCE"/>
            <w:noWrap/>
            <w:vAlign w:val="center"/>
          </w:tcPr>
          <w:p w14:paraId="62880E8C" w14:textId="166F440C" w:rsidR="00B77D6A" w:rsidRPr="001961AA" w:rsidRDefault="00B77D6A" w:rsidP="00B77D6A">
            <w:pPr>
              <w:spacing w:after="0"/>
              <w:jc w:val="center"/>
              <w:rPr>
                <w:rFonts w:ascii="Times New Roman" w:hAnsi="Times New Roman" w:cs="Times New Roman"/>
                <w:noProof/>
                <w:color w:val="006100"/>
                <w:lang w:val="en-GB"/>
              </w:rPr>
            </w:pPr>
            <w:r w:rsidRPr="001961AA">
              <w:rPr>
                <w:rFonts w:ascii="Times New Roman" w:hAnsi="Times New Roman"/>
                <w:noProof/>
                <w:color w:val="006100"/>
                <w:lang w:val="en-GB"/>
              </w:rPr>
              <w:t>Q2</w:t>
            </w:r>
          </w:p>
        </w:tc>
        <w:tc>
          <w:tcPr>
            <w:tcW w:w="720" w:type="dxa"/>
            <w:tcBorders>
              <w:top w:val="nil"/>
              <w:left w:val="nil"/>
              <w:bottom w:val="single" w:sz="4" w:space="0" w:color="auto"/>
              <w:right w:val="single" w:sz="4" w:space="0" w:color="auto"/>
            </w:tcBorders>
            <w:shd w:val="clear" w:color="auto" w:fill="C6EFCE"/>
            <w:noWrap/>
            <w:vAlign w:val="center"/>
          </w:tcPr>
          <w:p w14:paraId="18A3024E" w14:textId="4592454B" w:rsidR="00B77D6A" w:rsidRPr="001961AA" w:rsidRDefault="00B77D6A" w:rsidP="00B77D6A">
            <w:pPr>
              <w:spacing w:after="0"/>
              <w:jc w:val="center"/>
              <w:rPr>
                <w:rFonts w:ascii="Times New Roman" w:hAnsi="Times New Roman" w:cs="Times New Roman"/>
                <w:noProof/>
                <w:color w:val="006100"/>
                <w:lang w:val="en-GB"/>
              </w:rPr>
            </w:pPr>
            <w:r w:rsidRPr="001961AA">
              <w:rPr>
                <w:rFonts w:ascii="Times New Roman" w:hAnsi="Times New Roman"/>
                <w:noProof/>
                <w:color w:val="006100"/>
                <w:lang w:val="en-GB"/>
              </w:rPr>
              <w:t>2026</w:t>
            </w:r>
          </w:p>
        </w:tc>
        <w:tc>
          <w:tcPr>
            <w:tcW w:w="3957" w:type="dxa"/>
            <w:tcBorders>
              <w:top w:val="nil"/>
              <w:left w:val="single" w:sz="4" w:space="0" w:color="auto"/>
              <w:bottom w:val="single" w:sz="4" w:space="0" w:color="auto"/>
              <w:right w:val="single" w:sz="4" w:space="0" w:color="auto"/>
            </w:tcBorders>
            <w:shd w:val="clear" w:color="auto" w:fill="C6EFCE"/>
            <w:noWrap/>
            <w:vAlign w:val="center"/>
          </w:tcPr>
          <w:p w14:paraId="3C9032A9" w14:textId="77777777" w:rsidR="00B77D6A" w:rsidRPr="001961AA" w:rsidRDefault="00B77D6A" w:rsidP="00B77D6A">
            <w:pPr>
              <w:spacing w:after="0" w:line="240" w:lineRule="auto"/>
              <w:rPr>
                <w:rFonts w:ascii="Times New Roman" w:hAnsi="Times New Roman"/>
                <w:noProof/>
                <w:color w:val="006100"/>
                <w:lang w:val="en-GB"/>
              </w:rPr>
            </w:pPr>
            <w:r w:rsidRPr="001961AA">
              <w:rPr>
                <w:rFonts w:ascii="Times New Roman" w:hAnsi="Times New Roman"/>
                <w:noProof/>
                <w:color w:val="006100"/>
                <w:lang w:val="en-GB"/>
              </w:rPr>
              <w:t>Greening the bus fleet – WAL</w:t>
            </w:r>
          </w:p>
          <w:p w14:paraId="02F45C55" w14:textId="24D3740E" w:rsidR="00B77D6A" w:rsidRPr="001961AA" w:rsidRDefault="00B77D6A" w:rsidP="00B77D6A">
            <w:pPr>
              <w:pStyle w:val="ListParagraph"/>
              <w:numPr>
                <w:ilvl w:val="0"/>
                <w:numId w:val="26"/>
              </w:numPr>
              <w:spacing w:after="0" w:line="240" w:lineRule="auto"/>
              <w:ind w:left="527" w:hanging="357"/>
              <w:rPr>
                <w:rFonts w:ascii="Times New Roman" w:hAnsi="Times New Roman"/>
                <w:noProof/>
                <w:color w:val="006100"/>
                <w:lang w:val="en-GB"/>
              </w:rPr>
            </w:pPr>
            <w:r w:rsidRPr="001961AA">
              <w:rPr>
                <w:rFonts w:ascii="Times New Roman" w:hAnsi="Times New Roman"/>
                <w:noProof/>
                <w:color w:val="006100"/>
                <w:lang w:val="en-GB"/>
              </w:rPr>
              <w:t>Delivery of 13 bi-articulated full electric buses</w:t>
            </w:r>
          </w:p>
          <w:p w14:paraId="7386E1AC" w14:textId="77777777" w:rsidR="00B77D6A" w:rsidRPr="001961AA" w:rsidRDefault="00B77D6A" w:rsidP="00B77D6A">
            <w:pPr>
              <w:pStyle w:val="ListParagraph"/>
              <w:numPr>
                <w:ilvl w:val="0"/>
                <w:numId w:val="26"/>
              </w:numPr>
              <w:spacing w:after="0" w:line="240" w:lineRule="auto"/>
              <w:ind w:left="527" w:hanging="357"/>
              <w:rPr>
                <w:rFonts w:ascii="Times New Roman" w:hAnsi="Times New Roman"/>
                <w:noProof/>
                <w:color w:val="006100"/>
                <w:lang w:val="en-GB"/>
              </w:rPr>
            </w:pPr>
            <w:r w:rsidRPr="001961AA">
              <w:rPr>
                <w:rFonts w:ascii="Times New Roman" w:hAnsi="Times New Roman"/>
                <w:noProof/>
                <w:color w:val="006100"/>
                <w:lang w:val="en-GB"/>
              </w:rPr>
              <w:t>Installation of 32 ‘slow’ charging stations and 2 ‘fast’ charging stations (one in the bus depot, other in a terminal line)</w:t>
            </w:r>
          </w:p>
          <w:p w14:paraId="188C778E" w14:textId="77777777" w:rsidR="00B77D6A" w:rsidRPr="001961AA" w:rsidRDefault="00B77D6A" w:rsidP="00B77D6A">
            <w:pPr>
              <w:pStyle w:val="ListParagraph"/>
              <w:numPr>
                <w:ilvl w:val="0"/>
                <w:numId w:val="26"/>
              </w:numPr>
              <w:spacing w:after="0" w:line="240" w:lineRule="auto"/>
              <w:ind w:left="527" w:hanging="357"/>
              <w:rPr>
                <w:rFonts w:ascii="Times New Roman" w:hAnsi="Times New Roman"/>
                <w:noProof/>
                <w:color w:val="006100"/>
                <w:lang w:val="en-GB"/>
              </w:rPr>
            </w:pPr>
            <w:r w:rsidRPr="001961AA">
              <w:rPr>
                <w:rFonts w:ascii="Times New Roman" w:hAnsi="Times New Roman"/>
                <w:noProof/>
                <w:color w:val="006100"/>
                <w:lang w:val="en-GB"/>
              </w:rPr>
              <w:t>The bus depot is operational.</w:t>
            </w:r>
          </w:p>
          <w:p w14:paraId="409C1DF6" w14:textId="77777777" w:rsidR="00B77D6A" w:rsidRPr="001961AA" w:rsidRDefault="00B77D6A" w:rsidP="00B77D6A">
            <w:pPr>
              <w:spacing w:after="0"/>
              <w:rPr>
                <w:rFonts w:ascii="Times New Roman" w:hAnsi="Times New Roman" w:cs="Times New Roman"/>
                <w:noProof/>
                <w:color w:val="006100"/>
                <w:lang w:val="en-GB"/>
              </w:rPr>
            </w:pPr>
          </w:p>
        </w:tc>
      </w:tr>
      <w:tr w:rsidR="00292220" w:rsidRPr="001961AA" w14:paraId="6DD8C654" w14:textId="77777777" w:rsidTr="00AA525D">
        <w:trPr>
          <w:trHeight w:val="309"/>
        </w:trPr>
        <w:tc>
          <w:tcPr>
            <w:tcW w:w="709" w:type="dxa"/>
            <w:tcBorders>
              <w:top w:val="nil"/>
              <w:left w:val="single" w:sz="4" w:space="0" w:color="auto"/>
              <w:bottom w:val="single" w:sz="4" w:space="0" w:color="auto"/>
              <w:right w:val="single" w:sz="4" w:space="0" w:color="auto"/>
            </w:tcBorders>
            <w:shd w:val="clear" w:color="auto" w:fill="C6EFCE"/>
            <w:noWrap/>
            <w:vAlign w:val="center"/>
            <w:hideMark/>
          </w:tcPr>
          <w:p w14:paraId="44113EA5" w14:textId="77777777" w:rsidR="009F1E8E" w:rsidRPr="001961AA" w:rsidRDefault="009F1E8E" w:rsidP="009F1E8E">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116</w:t>
            </w:r>
          </w:p>
        </w:tc>
        <w:tc>
          <w:tcPr>
            <w:tcW w:w="1418" w:type="dxa"/>
            <w:tcBorders>
              <w:top w:val="nil"/>
              <w:left w:val="single" w:sz="4" w:space="0" w:color="auto"/>
              <w:bottom w:val="single" w:sz="4" w:space="0" w:color="auto"/>
              <w:right w:val="single" w:sz="4" w:space="0" w:color="auto"/>
            </w:tcBorders>
            <w:shd w:val="clear" w:color="auto" w:fill="C6EFCE"/>
            <w:noWrap/>
            <w:vAlign w:val="center"/>
            <w:hideMark/>
          </w:tcPr>
          <w:p w14:paraId="649D0DA4" w14:textId="77777777" w:rsidR="009F1E8E" w:rsidRPr="001961AA" w:rsidRDefault="009F1E8E" w:rsidP="009F1E8E">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Stimulating zero-emission transport – VLA (R-3.06)</w:t>
            </w:r>
          </w:p>
        </w:tc>
        <w:tc>
          <w:tcPr>
            <w:tcW w:w="1134" w:type="dxa"/>
            <w:tcBorders>
              <w:top w:val="nil"/>
              <w:left w:val="nil"/>
              <w:bottom w:val="single" w:sz="4" w:space="0" w:color="auto"/>
              <w:right w:val="single" w:sz="4" w:space="0" w:color="auto"/>
            </w:tcBorders>
            <w:shd w:val="clear" w:color="auto" w:fill="C6EFCE"/>
            <w:noWrap/>
            <w:vAlign w:val="center"/>
            <w:hideMark/>
          </w:tcPr>
          <w:p w14:paraId="78213447" w14:textId="21029F11" w:rsidR="009F1E8E" w:rsidRPr="001961AA" w:rsidRDefault="009F1E8E" w:rsidP="009F1E8E">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M</w:t>
            </w:r>
          </w:p>
        </w:tc>
        <w:tc>
          <w:tcPr>
            <w:tcW w:w="1559" w:type="dxa"/>
            <w:tcBorders>
              <w:top w:val="nil"/>
              <w:left w:val="nil"/>
              <w:bottom w:val="single" w:sz="4" w:space="0" w:color="auto"/>
              <w:right w:val="single" w:sz="4" w:space="0" w:color="auto"/>
            </w:tcBorders>
            <w:shd w:val="clear" w:color="auto" w:fill="C6EFCE"/>
            <w:noWrap/>
            <w:vAlign w:val="center"/>
            <w:hideMark/>
          </w:tcPr>
          <w:p w14:paraId="2CDF709F" w14:textId="77777777" w:rsidR="009F1E8E" w:rsidRPr="001961AA" w:rsidRDefault="009F1E8E" w:rsidP="009F1E8E">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Adoption of a framework for the deployment of charging infrastructure in the Flemish Region</w:t>
            </w:r>
          </w:p>
        </w:tc>
        <w:tc>
          <w:tcPr>
            <w:tcW w:w="1442" w:type="dxa"/>
            <w:tcBorders>
              <w:top w:val="nil"/>
              <w:left w:val="nil"/>
              <w:bottom w:val="single" w:sz="4" w:space="0" w:color="auto"/>
              <w:right w:val="single" w:sz="4" w:space="0" w:color="auto"/>
            </w:tcBorders>
            <w:shd w:val="clear" w:color="auto" w:fill="C6EFCE"/>
            <w:noWrap/>
            <w:vAlign w:val="center"/>
            <w:hideMark/>
          </w:tcPr>
          <w:p w14:paraId="12F03BBC" w14:textId="77777777" w:rsidR="009F1E8E" w:rsidRPr="001961AA" w:rsidRDefault="009F1E8E" w:rsidP="009F1E8E">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Adoption of the framework</w:t>
            </w:r>
          </w:p>
        </w:tc>
        <w:tc>
          <w:tcPr>
            <w:tcW w:w="1080" w:type="dxa"/>
            <w:tcBorders>
              <w:top w:val="nil"/>
              <w:left w:val="nil"/>
              <w:bottom w:val="single" w:sz="4" w:space="0" w:color="auto"/>
              <w:right w:val="single" w:sz="4" w:space="0" w:color="auto"/>
            </w:tcBorders>
            <w:shd w:val="clear" w:color="auto" w:fill="C6EFCE"/>
            <w:noWrap/>
            <w:vAlign w:val="center"/>
            <w:hideMark/>
          </w:tcPr>
          <w:p w14:paraId="25306913" w14:textId="361C272C" w:rsidR="009F1E8E" w:rsidRPr="001961AA" w:rsidRDefault="009F1E8E" w:rsidP="009F1E8E">
            <w:pPr>
              <w:spacing w:after="0"/>
              <w:rPr>
                <w:rFonts w:ascii="Times New Roman" w:eastAsia="Times New Roman" w:hAnsi="Times New Roman" w:cs="Times New Roman"/>
                <w:noProof/>
                <w:color w:val="006100"/>
                <w:lang w:val="en-GB" w:eastAsia="en-GB"/>
              </w:rPr>
            </w:pPr>
          </w:p>
        </w:tc>
        <w:tc>
          <w:tcPr>
            <w:tcW w:w="1022" w:type="dxa"/>
            <w:tcBorders>
              <w:top w:val="nil"/>
              <w:left w:val="nil"/>
              <w:bottom w:val="single" w:sz="4" w:space="0" w:color="auto"/>
              <w:right w:val="single" w:sz="4" w:space="0" w:color="auto"/>
            </w:tcBorders>
            <w:shd w:val="clear" w:color="auto" w:fill="C6EFCE"/>
            <w:noWrap/>
            <w:vAlign w:val="center"/>
            <w:hideMark/>
          </w:tcPr>
          <w:p w14:paraId="4D3BC635" w14:textId="291739CF" w:rsidR="009F1E8E" w:rsidRPr="001961AA" w:rsidRDefault="009F1E8E" w:rsidP="009F1E8E">
            <w:pPr>
              <w:spacing w:after="0"/>
              <w:rPr>
                <w:rFonts w:ascii="Times New Roman" w:eastAsia="Times New Roman" w:hAnsi="Times New Roman" w:cs="Times New Roman"/>
                <w:noProof/>
                <w:color w:val="006100"/>
                <w:lang w:val="en-GB" w:eastAsia="en-GB"/>
              </w:rPr>
            </w:pPr>
          </w:p>
        </w:tc>
        <w:tc>
          <w:tcPr>
            <w:tcW w:w="850" w:type="dxa"/>
            <w:tcBorders>
              <w:top w:val="nil"/>
              <w:left w:val="nil"/>
              <w:bottom w:val="single" w:sz="4" w:space="0" w:color="auto"/>
              <w:right w:val="single" w:sz="4" w:space="0" w:color="auto"/>
            </w:tcBorders>
            <w:shd w:val="clear" w:color="auto" w:fill="C6EFCE"/>
            <w:noWrap/>
            <w:vAlign w:val="center"/>
            <w:hideMark/>
          </w:tcPr>
          <w:p w14:paraId="092FC3F6" w14:textId="6F97138F" w:rsidR="009F1E8E" w:rsidRPr="001961AA" w:rsidRDefault="009F1E8E" w:rsidP="009F1E8E">
            <w:pPr>
              <w:spacing w:after="0"/>
              <w:rPr>
                <w:rFonts w:ascii="Times New Roman" w:eastAsia="Times New Roman" w:hAnsi="Times New Roman" w:cs="Times New Roman"/>
                <w:noProof/>
                <w:color w:val="006100"/>
                <w:lang w:val="en-GB" w:eastAsia="en-GB"/>
              </w:rPr>
            </w:pPr>
          </w:p>
        </w:tc>
        <w:tc>
          <w:tcPr>
            <w:tcW w:w="1248" w:type="dxa"/>
            <w:tcBorders>
              <w:top w:val="nil"/>
              <w:left w:val="nil"/>
              <w:bottom w:val="single" w:sz="4" w:space="0" w:color="auto"/>
              <w:right w:val="single" w:sz="4" w:space="0" w:color="auto"/>
            </w:tcBorders>
            <w:shd w:val="clear" w:color="auto" w:fill="C6EFCE"/>
            <w:noWrap/>
            <w:vAlign w:val="center"/>
            <w:hideMark/>
          </w:tcPr>
          <w:p w14:paraId="087D6CA4" w14:textId="77777777" w:rsidR="009F1E8E" w:rsidRPr="001961AA" w:rsidRDefault="009F1E8E" w:rsidP="009F1E8E">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Q4</w:t>
            </w:r>
          </w:p>
        </w:tc>
        <w:tc>
          <w:tcPr>
            <w:tcW w:w="720" w:type="dxa"/>
            <w:tcBorders>
              <w:top w:val="nil"/>
              <w:left w:val="nil"/>
              <w:bottom w:val="single" w:sz="4" w:space="0" w:color="auto"/>
              <w:right w:val="single" w:sz="4" w:space="0" w:color="auto"/>
            </w:tcBorders>
            <w:shd w:val="clear" w:color="auto" w:fill="C6EFCE"/>
            <w:noWrap/>
            <w:vAlign w:val="center"/>
            <w:hideMark/>
          </w:tcPr>
          <w:p w14:paraId="4EBD92DD" w14:textId="77777777" w:rsidR="009F1E8E" w:rsidRPr="001961AA" w:rsidRDefault="009F1E8E" w:rsidP="009F1E8E">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2021</w:t>
            </w:r>
          </w:p>
        </w:tc>
        <w:tc>
          <w:tcPr>
            <w:tcW w:w="3957" w:type="dxa"/>
            <w:tcBorders>
              <w:top w:val="nil"/>
              <w:left w:val="single" w:sz="4" w:space="0" w:color="000000" w:themeColor="text1"/>
              <w:bottom w:val="single" w:sz="4" w:space="0" w:color="000000" w:themeColor="text1"/>
              <w:right w:val="single" w:sz="4" w:space="0" w:color="000000" w:themeColor="text1"/>
            </w:tcBorders>
            <w:shd w:val="clear" w:color="auto" w:fill="C6EFCE"/>
            <w:noWrap/>
            <w:vAlign w:val="center"/>
            <w:hideMark/>
          </w:tcPr>
          <w:p w14:paraId="59B80678" w14:textId="77777777" w:rsidR="009F1E8E" w:rsidRPr="001961AA" w:rsidRDefault="009F1E8E" w:rsidP="009F1E8E">
            <w:pPr>
              <w:spacing w:after="0"/>
              <w:rPr>
                <w:rFonts w:ascii="Times New Roman" w:hAnsi="Times New Roman" w:cs="Times New Roman"/>
                <w:noProof/>
                <w:color w:val="006100"/>
                <w:lang w:val="en-GB"/>
              </w:rPr>
            </w:pPr>
            <w:r w:rsidRPr="001961AA">
              <w:rPr>
                <w:rFonts w:ascii="Times New Roman" w:hAnsi="Times New Roman"/>
                <w:noProof/>
                <w:color w:val="006100"/>
                <w:lang w:val="en-GB"/>
              </w:rPr>
              <w:t>Adoption of a policy framework for the deployment of charging infrastructure in the Flemish Region. The policy framework shall enable to:</w:t>
            </w:r>
          </w:p>
          <w:p w14:paraId="03DD0FCD" w14:textId="77777777" w:rsidR="009F1E8E" w:rsidRPr="001961AA" w:rsidRDefault="009F1E8E" w:rsidP="009F1E8E">
            <w:pPr>
              <w:spacing w:after="0"/>
              <w:rPr>
                <w:rFonts w:ascii="Times New Roman" w:hAnsi="Times New Roman" w:cs="Times New Roman"/>
                <w:noProof/>
                <w:color w:val="006100"/>
                <w:lang w:val="en-GB"/>
              </w:rPr>
            </w:pPr>
            <w:r w:rsidRPr="001961AA">
              <w:rPr>
                <w:rFonts w:ascii="Times New Roman" w:hAnsi="Times New Roman"/>
                <w:noProof/>
                <w:color w:val="006100"/>
                <w:lang w:val="en-GB"/>
              </w:rPr>
              <w:t>- map the future charging points</w:t>
            </w:r>
          </w:p>
          <w:p w14:paraId="52B3D5A8" w14:textId="77777777" w:rsidR="009F1E8E" w:rsidRPr="001961AA" w:rsidRDefault="009F1E8E" w:rsidP="009F1E8E">
            <w:pPr>
              <w:spacing w:after="0"/>
              <w:rPr>
                <w:rFonts w:ascii="Times New Roman" w:hAnsi="Times New Roman" w:cs="Times New Roman"/>
                <w:noProof/>
                <w:color w:val="006100"/>
                <w:lang w:val="en-GB"/>
              </w:rPr>
            </w:pPr>
            <w:r w:rsidRPr="001961AA">
              <w:rPr>
                <w:rFonts w:ascii="Times New Roman" w:hAnsi="Times New Roman"/>
                <w:noProof/>
                <w:color w:val="006100"/>
                <w:lang w:val="en-GB"/>
              </w:rPr>
              <w:t>- launch the concession tenders for charging points on public domain</w:t>
            </w:r>
          </w:p>
          <w:p w14:paraId="581871FC" w14:textId="77777777" w:rsidR="009F1E8E" w:rsidRPr="001961AA" w:rsidRDefault="009F1E8E" w:rsidP="009F1E8E">
            <w:pPr>
              <w:spacing w:after="0"/>
              <w:rPr>
                <w:rFonts w:ascii="Times New Roman" w:hAnsi="Times New Roman" w:cs="Times New Roman"/>
                <w:noProof/>
                <w:color w:val="006100"/>
                <w:lang w:val="en-GB"/>
              </w:rPr>
            </w:pPr>
            <w:r w:rsidRPr="001961AA">
              <w:rPr>
                <w:rFonts w:ascii="Times New Roman" w:hAnsi="Times New Roman"/>
                <w:noProof/>
                <w:color w:val="006100"/>
                <w:lang w:val="en-GB"/>
              </w:rPr>
              <w:t>- stimulate the deployment of (semi-)public charging points on private domain</w:t>
            </w:r>
          </w:p>
          <w:p w14:paraId="3CD9B63A" w14:textId="77777777" w:rsidR="009F1E8E" w:rsidRPr="001961AA" w:rsidRDefault="009F1E8E" w:rsidP="009F1E8E">
            <w:pPr>
              <w:spacing w:after="0"/>
              <w:rPr>
                <w:rFonts w:ascii="Times New Roman" w:hAnsi="Times New Roman" w:cs="Times New Roman"/>
                <w:noProof/>
                <w:color w:val="006100"/>
                <w:lang w:val="en-GB"/>
              </w:rPr>
            </w:pPr>
            <w:r w:rsidRPr="001961AA">
              <w:rPr>
                <w:rFonts w:ascii="Times New Roman" w:hAnsi="Times New Roman"/>
                <w:noProof/>
                <w:color w:val="006100"/>
                <w:lang w:val="en-GB"/>
              </w:rPr>
              <w:t>- shorten the time line for the installation of charging points by reducing the administrative burden</w:t>
            </w:r>
          </w:p>
          <w:p w14:paraId="07309535" w14:textId="77777777" w:rsidR="009F1E8E" w:rsidRPr="001961AA" w:rsidRDefault="009F1E8E" w:rsidP="009F1E8E">
            <w:pPr>
              <w:spacing w:after="0"/>
              <w:rPr>
                <w:rFonts w:ascii="Times New Roman" w:hAnsi="Times New Roman" w:cs="Times New Roman"/>
                <w:noProof/>
                <w:color w:val="006100"/>
                <w:lang w:val="en-GB"/>
              </w:rPr>
            </w:pPr>
            <w:r w:rsidRPr="001961AA">
              <w:rPr>
                <w:rFonts w:ascii="Times New Roman" w:hAnsi="Times New Roman"/>
                <w:noProof/>
                <w:color w:val="006100"/>
                <w:lang w:val="en-GB"/>
              </w:rPr>
              <w:t>- stimulate smart electricity charging</w:t>
            </w:r>
          </w:p>
        </w:tc>
      </w:tr>
      <w:tr w:rsidR="00292220" w:rsidRPr="001961AA" w14:paraId="7DE25BBD" w14:textId="77777777" w:rsidTr="00AA525D">
        <w:trPr>
          <w:trHeight w:val="309"/>
        </w:trPr>
        <w:tc>
          <w:tcPr>
            <w:tcW w:w="709" w:type="dxa"/>
            <w:tcBorders>
              <w:top w:val="nil"/>
              <w:left w:val="single" w:sz="4" w:space="0" w:color="auto"/>
              <w:bottom w:val="single" w:sz="4" w:space="0" w:color="auto"/>
              <w:right w:val="single" w:sz="4" w:space="0" w:color="auto"/>
            </w:tcBorders>
            <w:shd w:val="clear" w:color="auto" w:fill="C6EFCE"/>
            <w:noWrap/>
            <w:vAlign w:val="center"/>
            <w:hideMark/>
          </w:tcPr>
          <w:p w14:paraId="303D6792" w14:textId="77777777" w:rsidR="009F1E8E" w:rsidRPr="001961AA" w:rsidRDefault="009F1E8E" w:rsidP="009F1E8E">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117</w:t>
            </w:r>
          </w:p>
        </w:tc>
        <w:tc>
          <w:tcPr>
            <w:tcW w:w="1418" w:type="dxa"/>
            <w:tcBorders>
              <w:top w:val="nil"/>
              <w:left w:val="single" w:sz="4" w:space="0" w:color="auto"/>
              <w:bottom w:val="single" w:sz="4" w:space="0" w:color="auto"/>
              <w:right w:val="single" w:sz="4" w:space="0" w:color="auto"/>
            </w:tcBorders>
            <w:shd w:val="clear" w:color="auto" w:fill="C6EFCE"/>
            <w:noWrap/>
            <w:vAlign w:val="center"/>
            <w:hideMark/>
          </w:tcPr>
          <w:p w14:paraId="3EBB2AF9" w14:textId="77777777" w:rsidR="009F1E8E" w:rsidRPr="001961AA" w:rsidRDefault="009F1E8E" w:rsidP="009F1E8E">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Charging stations – VLA (I-3.19)</w:t>
            </w:r>
          </w:p>
        </w:tc>
        <w:tc>
          <w:tcPr>
            <w:tcW w:w="1134" w:type="dxa"/>
            <w:tcBorders>
              <w:top w:val="nil"/>
              <w:left w:val="nil"/>
              <w:bottom w:val="single" w:sz="4" w:space="0" w:color="auto"/>
              <w:right w:val="single" w:sz="4" w:space="0" w:color="auto"/>
            </w:tcBorders>
            <w:shd w:val="clear" w:color="auto" w:fill="C6EFCE"/>
            <w:noWrap/>
            <w:vAlign w:val="center"/>
            <w:hideMark/>
          </w:tcPr>
          <w:p w14:paraId="2D6C719E" w14:textId="44FC5C80" w:rsidR="009F1E8E" w:rsidRPr="001961AA" w:rsidRDefault="009F1E8E" w:rsidP="009F1E8E">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M</w:t>
            </w:r>
          </w:p>
        </w:tc>
        <w:tc>
          <w:tcPr>
            <w:tcW w:w="1559" w:type="dxa"/>
            <w:tcBorders>
              <w:top w:val="nil"/>
              <w:left w:val="nil"/>
              <w:bottom w:val="single" w:sz="4" w:space="0" w:color="auto"/>
              <w:right w:val="single" w:sz="4" w:space="0" w:color="auto"/>
            </w:tcBorders>
            <w:shd w:val="clear" w:color="auto" w:fill="C6EFCE"/>
            <w:noWrap/>
            <w:vAlign w:val="center"/>
            <w:hideMark/>
          </w:tcPr>
          <w:p w14:paraId="344F881A" w14:textId="77777777" w:rsidR="009F1E8E" w:rsidRPr="001961AA" w:rsidRDefault="009F1E8E" w:rsidP="009F1E8E">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Award of concessions for charging infrastructure</w:t>
            </w:r>
          </w:p>
        </w:tc>
        <w:tc>
          <w:tcPr>
            <w:tcW w:w="1442" w:type="dxa"/>
            <w:tcBorders>
              <w:top w:val="nil"/>
              <w:left w:val="nil"/>
              <w:bottom w:val="single" w:sz="4" w:space="0" w:color="auto"/>
              <w:right w:val="single" w:sz="4" w:space="0" w:color="auto"/>
            </w:tcBorders>
            <w:shd w:val="clear" w:color="auto" w:fill="C6EFCE"/>
            <w:noWrap/>
            <w:vAlign w:val="center"/>
            <w:hideMark/>
          </w:tcPr>
          <w:p w14:paraId="6A250EC8" w14:textId="77777777" w:rsidR="009F1E8E" w:rsidRPr="001961AA" w:rsidRDefault="009F1E8E" w:rsidP="009F1E8E">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Written notification of contract awards to successful candidates</w:t>
            </w:r>
          </w:p>
        </w:tc>
        <w:tc>
          <w:tcPr>
            <w:tcW w:w="1080" w:type="dxa"/>
            <w:tcBorders>
              <w:top w:val="nil"/>
              <w:left w:val="nil"/>
              <w:bottom w:val="single" w:sz="4" w:space="0" w:color="auto"/>
              <w:right w:val="single" w:sz="4" w:space="0" w:color="auto"/>
            </w:tcBorders>
            <w:shd w:val="clear" w:color="auto" w:fill="C6EFCE"/>
            <w:noWrap/>
            <w:vAlign w:val="center"/>
            <w:hideMark/>
          </w:tcPr>
          <w:p w14:paraId="2AB4F77C" w14:textId="34960BBE" w:rsidR="009F1E8E" w:rsidRPr="001961AA" w:rsidRDefault="009F1E8E" w:rsidP="009F1E8E">
            <w:pPr>
              <w:spacing w:after="0"/>
              <w:rPr>
                <w:rFonts w:ascii="Times New Roman" w:eastAsia="Times New Roman" w:hAnsi="Times New Roman" w:cs="Times New Roman"/>
                <w:noProof/>
                <w:color w:val="006100"/>
                <w:lang w:val="en-GB" w:eastAsia="en-GB"/>
              </w:rPr>
            </w:pPr>
          </w:p>
        </w:tc>
        <w:tc>
          <w:tcPr>
            <w:tcW w:w="1022" w:type="dxa"/>
            <w:tcBorders>
              <w:top w:val="nil"/>
              <w:left w:val="nil"/>
              <w:bottom w:val="single" w:sz="4" w:space="0" w:color="auto"/>
              <w:right w:val="single" w:sz="4" w:space="0" w:color="auto"/>
            </w:tcBorders>
            <w:shd w:val="clear" w:color="auto" w:fill="C6EFCE"/>
            <w:noWrap/>
            <w:vAlign w:val="center"/>
            <w:hideMark/>
          </w:tcPr>
          <w:p w14:paraId="7B8707F1" w14:textId="5946CAB7" w:rsidR="009F1E8E" w:rsidRPr="001961AA" w:rsidRDefault="009F1E8E" w:rsidP="009F1E8E">
            <w:pPr>
              <w:spacing w:after="0"/>
              <w:rPr>
                <w:rFonts w:ascii="Times New Roman" w:eastAsia="Times New Roman" w:hAnsi="Times New Roman" w:cs="Times New Roman"/>
                <w:noProof/>
                <w:color w:val="006100"/>
                <w:lang w:val="en-GB" w:eastAsia="en-GB"/>
              </w:rPr>
            </w:pPr>
          </w:p>
        </w:tc>
        <w:tc>
          <w:tcPr>
            <w:tcW w:w="850" w:type="dxa"/>
            <w:tcBorders>
              <w:top w:val="nil"/>
              <w:left w:val="nil"/>
              <w:bottom w:val="single" w:sz="4" w:space="0" w:color="auto"/>
              <w:right w:val="single" w:sz="4" w:space="0" w:color="auto"/>
            </w:tcBorders>
            <w:shd w:val="clear" w:color="auto" w:fill="C6EFCE"/>
            <w:noWrap/>
            <w:vAlign w:val="center"/>
            <w:hideMark/>
          </w:tcPr>
          <w:p w14:paraId="064895BA" w14:textId="771A539E" w:rsidR="009F1E8E" w:rsidRPr="001961AA" w:rsidRDefault="009F1E8E" w:rsidP="009F1E8E">
            <w:pPr>
              <w:spacing w:after="0"/>
              <w:rPr>
                <w:rFonts w:ascii="Times New Roman" w:eastAsia="Times New Roman" w:hAnsi="Times New Roman" w:cs="Times New Roman"/>
                <w:noProof/>
                <w:color w:val="006100"/>
                <w:lang w:val="en-GB" w:eastAsia="en-GB"/>
              </w:rPr>
            </w:pPr>
          </w:p>
        </w:tc>
        <w:tc>
          <w:tcPr>
            <w:tcW w:w="1248" w:type="dxa"/>
            <w:tcBorders>
              <w:top w:val="nil"/>
              <w:left w:val="nil"/>
              <w:bottom w:val="single" w:sz="4" w:space="0" w:color="auto"/>
              <w:right w:val="single" w:sz="4" w:space="0" w:color="auto"/>
            </w:tcBorders>
            <w:shd w:val="clear" w:color="auto" w:fill="C6EFCE"/>
            <w:noWrap/>
            <w:vAlign w:val="center"/>
            <w:hideMark/>
          </w:tcPr>
          <w:p w14:paraId="29A4A6B6" w14:textId="77777777" w:rsidR="009F1E8E" w:rsidRPr="001961AA" w:rsidRDefault="009F1E8E" w:rsidP="009F1E8E">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Q2</w:t>
            </w:r>
          </w:p>
        </w:tc>
        <w:tc>
          <w:tcPr>
            <w:tcW w:w="720" w:type="dxa"/>
            <w:tcBorders>
              <w:top w:val="nil"/>
              <w:left w:val="nil"/>
              <w:bottom w:val="single" w:sz="4" w:space="0" w:color="auto"/>
              <w:right w:val="single" w:sz="4" w:space="0" w:color="auto"/>
            </w:tcBorders>
            <w:shd w:val="clear" w:color="auto" w:fill="C6EFCE"/>
            <w:noWrap/>
            <w:vAlign w:val="center"/>
            <w:hideMark/>
          </w:tcPr>
          <w:p w14:paraId="2C9C590D" w14:textId="77777777" w:rsidR="009F1E8E" w:rsidRPr="001961AA" w:rsidRDefault="009F1E8E" w:rsidP="009F1E8E">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2022</w:t>
            </w:r>
          </w:p>
        </w:tc>
        <w:tc>
          <w:tcPr>
            <w:tcW w:w="3957" w:type="dxa"/>
            <w:tcBorders>
              <w:top w:val="nil"/>
              <w:left w:val="single" w:sz="4" w:space="0" w:color="auto"/>
              <w:bottom w:val="single" w:sz="4" w:space="0" w:color="auto"/>
              <w:right w:val="single" w:sz="4" w:space="0" w:color="auto"/>
            </w:tcBorders>
            <w:shd w:val="clear" w:color="auto" w:fill="C6EFCE"/>
            <w:noWrap/>
            <w:vAlign w:val="center"/>
            <w:hideMark/>
          </w:tcPr>
          <w:p w14:paraId="051125C3" w14:textId="77777777" w:rsidR="009F1E8E" w:rsidRPr="001961AA" w:rsidRDefault="009F1E8E" w:rsidP="009F1E8E">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Award of concessions for charging infrastructure. The framework for the roll out of public charging infrastructure is ensured through concessions awarded by the Flemish government, while the roll out is left out to private operators.</w:t>
            </w:r>
          </w:p>
        </w:tc>
      </w:tr>
      <w:tr w:rsidR="00292220" w:rsidRPr="001961AA" w14:paraId="3083101C" w14:textId="77777777" w:rsidTr="00AA525D">
        <w:trPr>
          <w:trHeight w:val="309"/>
        </w:trPr>
        <w:tc>
          <w:tcPr>
            <w:tcW w:w="709" w:type="dxa"/>
            <w:tcBorders>
              <w:top w:val="nil"/>
              <w:left w:val="single" w:sz="4" w:space="0" w:color="auto"/>
              <w:bottom w:val="single" w:sz="4" w:space="0" w:color="auto"/>
              <w:right w:val="single" w:sz="4" w:space="0" w:color="auto"/>
            </w:tcBorders>
            <w:shd w:val="clear" w:color="auto" w:fill="C6EFCE"/>
            <w:noWrap/>
            <w:vAlign w:val="center"/>
            <w:hideMark/>
          </w:tcPr>
          <w:p w14:paraId="6FE660D0" w14:textId="77777777" w:rsidR="009F1E8E" w:rsidRPr="001961AA" w:rsidRDefault="009F1E8E" w:rsidP="009F1E8E">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118</w:t>
            </w:r>
          </w:p>
        </w:tc>
        <w:tc>
          <w:tcPr>
            <w:tcW w:w="1418" w:type="dxa"/>
            <w:tcBorders>
              <w:top w:val="nil"/>
              <w:left w:val="single" w:sz="4" w:space="0" w:color="auto"/>
              <w:bottom w:val="single" w:sz="4" w:space="0" w:color="auto"/>
              <w:right w:val="single" w:sz="4" w:space="0" w:color="auto"/>
            </w:tcBorders>
            <w:shd w:val="clear" w:color="auto" w:fill="C6EFCE"/>
            <w:noWrap/>
            <w:vAlign w:val="center"/>
            <w:hideMark/>
          </w:tcPr>
          <w:p w14:paraId="741CEED7" w14:textId="77777777" w:rsidR="009F1E8E" w:rsidRPr="001961AA" w:rsidRDefault="009F1E8E" w:rsidP="009F1E8E">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Charging stations – RBC (R-3.05)</w:t>
            </w:r>
          </w:p>
        </w:tc>
        <w:tc>
          <w:tcPr>
            <w:tcW w:w="1134" w:type="dxa"/>
            <w:tcBorders>
              <w:top w:val="nil"/>
              <w:left w:val="nil"/>
              <w:bottom w:val="single" w:sz="4" w:space="0" w:color="auto"/>
              <w:right w:val="single" w:sz="4" w:space="0" w:color="auto"/>
            </w:tcBorders>
            <w:shd w:val="clear" w:color="auto" w:fill="C6EFCE"/>
            <w:noWrap/>
            <w:vAlign w:val="center"/>
            <w:hideMark/>
          </w:tcPr>
          <w:p w14:paraId="1503A1DF" w14:textId="7EF38101" w:rsidR="009F1E8E" w:rsidRPr="001961AA" w:rsidRDefault="009F1E8E" w:rsidP="009F1E8E">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M</w:t>
            </w:r>
          </w:p>
        </w:tc>
        <w:tc>
          <w:tcPr>
            <w:tcW w:w="1559" w:type="dxa"/>
            <w:tcBorders>
              <w:top w:val="nil"/>
              <w:left w:val="nil"/>
              <w:bottom w:val="single" w:sz="4" w:space="0" w:color="auto"/>
              <w:right w:val="single" w:sz="4" w:space="0" w:color="auto"/>
            </w:tcBorders>
            <w:shd w:val="clear" w:color="auto" w:fill="C6EFCE"/>
            <w:noWrap/>
            <w:vAlign w:val="center"/>
            <w:hideMark/>
          </w:tcPr>
          <w:p w14:paraId="4765B3EA" w14:textId="77777777" w:rsidR="009F1E8E" w:rsidRPr="001961AA" w:rsidRDefault="009F1E8E" w:rsidP="009F1E8E">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Adoption of a decree specifying the security standards and of an infrastructure delivery plan</w:t>
            </w:r>
          </w:p>
        </w:tc>
        <w:tc>
          <w:tcPr>
            <w:tcW w:w="1442" w:type="dxa"/>
            <w:tcBorders>
              <w:top w:val="nil"/>
              <w:left w:val="nil"/>
              <w:bottom w:val="single" w:sz="4" w:space="0" w:color="auto"/>
              <w:right w:val="single" w:sz="4" w:space="0" w:color="auto"/>
            </w:tcBorders>
            <w:shd w:val="clear" w:color="auto" w:fill="C6EFCE"/>
            <w:noWrap/>
            <w:vAlign w:val="center"/>
            <w:hideMark/>
          </w:tcPr>
          <w:p w14:paraId="23B3F1EC" w14:textId="77777777" w:rsidR="009F1E8E" w:rsidRPr="001961AA" w:rsidRDefault="009F1E8E" w:rsidP="009F1E8E">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Adoption of the decree specifying the security standards and of an infrastructure delivery plan</w:t>
            </w:r>
          </w:p>
        </w:tc>
        <w:tc>
          <w:tcPr>
            <w:tcW w:w="1080" w:type="dxa"/>
            <w:tcBorders>
              <w:top w:val="nil"/>
              <w:left w:val="nil"/>
              <w:bottom w:val="single" w:sz="4" w:space="0" w:color="auto"/>
              <w:right w:val="single" w:sz="4" w:space="0" w:color="auto"/>
            </w:tcBorders>
            <w:shd w:val="clear" w:color="auto" w:fill="C6EFCE"/>
            <w:noWrap/>
            <w:vAlign w:val="center"/>
            <w:hideMark/>
          </w:tcPr>
          <w:p w14:paraId="4954C360" w14:textId="348104CC" w:rsidR="009F1E8E" w:rsidRPr="001961AA" w:rsidRDefault="009F1E8E" w:rsidP="009F1E8E">
            <w:pPr>
              <w:spacing w:after="0"/>
              <w:rPr>
                <w:rFonts w:ascii="Times New Roman" w:eastAsia="Times New Roman" w:hAnsi="Times New Roman" w:cs="Times New Roman"/>
                <w:noProof/>
                <w:color w:val="006100"/>
                <w:lang w:val="en-GB" w:eastAsia="en-GB"/>
              </w:rPr>
            </w:pPr>
          </w:p>
        </w:tc>
        <w:tc>
          <w:tcPr>
            <w:tcW w:w="1022" w:type="dxa"/>
            <w:tcBorders>
              <w:top w:val="nil"/>
              <w:left w:val="nil"/>
              <w:bottom w:val="single" w:sz="4" w:space="0" w:color="auto"/>
              <w:right w:val="single" w:sz="4" w:space="0" w:color="auto"/>
            </w:tcBorders>
            <w:shd w:val="clear" w:color="auto" w:fill="C6EFCE"/>
            <w:noWrap/>
            <w:vAlign w:val="center"/>
            <w:hideMark/>
          </w:tcPr>
          <w:p w14:paraId="53D80F24" w14:textId="2E278BF6" w:rsidR="009F1E8E" w:rsidRPr="001961AA" w:rsidRDefault="009F1E8E" w:rsidP="009F1E8E">
            <w:pPr>
              <w:spacing w:after="0"/>
              <w:rPr>
                <w:rFonts w:ascii="Times New Roman" w:eastAsia="Times New Roman" w:hAnsi="Times New Roman" w:cs="Times New Roman"/>
                <w:noProof/>
                <w:color w:val="006100"/>
                <w:lang w:val="en-GB" w:eastAsia="en-GB"/>
              </w:rPr>
            </w:pPr>
          </w:p>
        </w:tc>
        <w:tc>
          <w:tcPr>
            <w:tcW w:w="850" w:type="dxa"/>
            <w:tcBorders>
              <w:top w:val="nil"/>
              <w:left w:val="nil"/>
              <w:bottom w:val="single" w:sz="4" w:space="0" w:color="auto"/>
              <w:right w:val="single" w:sz="4" w:space="0" w:color="auto"/>
            </w:tcBorders>
            <w:shd w:val="clear" w:color="auto" w:fill="C6EFCE"/>
            <w:noWrap/>
            <w:vAlign w:val="center"/>
            <w:hideMark/>
          </w:tcPr>
          <w:p w14:paraId="22C9CD0B" w14:textId="15980242" w:rsidR="009F1E8E" w:rsidRPr="001961AA" w:rsidRDefault="009F1E8E" w:rsidP="009F1E8E">
            <w:pPr>
              <w:spacing w:after="0"/>
              <w:rPr>
                <w:rFonts w:ascii="Times New Roman" w:eastAsia="Times New Roman" w:hAnsi="Times New Roman" w:cs="Times New Roman"/>
                <w:noProof/>
                <w:color w:val="006100"/>
                <w:lang w:val="en-GB" w:eastAsia="en-GB"/>
              </w:rPr>
            </w:pPr>
          </w:p>
        </w:tc>
        <w:tc>
          <w:tcPr>
            <w:tcW w:w="1248" w:type="dxa"/>
            <w:tcBorders>
              <w:top w:val="nil"/>
              <w:left w:val="nil"/>
              <w:bottom w:val="single" w:sz="4" w:space="0" w:color="auto"/>
              <w:right w:val="single" w:sz="4" w:space="0" w:color="auto"/>
            </w:tcBorders>
            <w:shd w:val="clear" w:color="auto" w:fill="C6EFCE"/>
            <w:noWrap/>
            <w:vAlign w:val="center"/>
            <w:hideMark/>
          </w:tcPr>
          <w:p w14:paraId="32CBE73A" w14:textId="77777777" w:rsidR="009F1E8E" w:rsidRPr="001961AA" w:rsidRDefault="009F1E8E" w:rsidP="009F1E8E">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Q1</w:t>
            </w:r>
          </w:p>
        </w:tc>
        <w:tc>
          <w:tcPr>
            <w:tcW w:w="720" w:type="dxa"/>
            <w:tcBorders>
              <w:top w:val="nil"/>
              <w:left w:val="nil"/>
              <w:bottom w:val="single" w:sz="4" w:space="0" w:color="000000" w:themeColor="text1"/>
              <w:right w:val="single" w:sz="4" w:space="0" w:color="000000" w:themeColor="text1"/>
            </w:tcBorders>
            <w:shd w:val="clear" w:color="auto" w:fill="C6EFCE"/>
            <w:noWrap/>
            <w:vAlign w:val="center"/>
            <w:hideMark/>
          </w:tcPr>
          <w:p w14:paraId="537279CE" w14:textId="77777777" w:rsidR="009F1E8E" w:rsidRPr="001961AA" w:rsidRDefault="009F1E8E" w:rsidP="009F1E8E">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375623"/>
                <w:lang w:val="en-GB"/>
              </w:rPr>
              <w:t>2022</w:t>
            </w:r>
          </w:p>
        </w:tc>
        <w:tc>
          <w:tcPr>
            <w:tcW w:w="3957" w:type="dxa"/>
            <w:tcBorders>
              <w:top w:val="nil"/>
              <w:left w:val="single" w:sz="4" w:space="0" w:color="auto"/>
              <w:bottom w:val="single" w:sz="4" w:space="0" w:color="auto"/>
              <w:right w:val="single" w:sz="4" w:space="0" w:color="auto"/>
            </w:tcBorders>
            <w:shd w:val="clear" w:color="auto" w:fill="C6EFCE"/>
            <w:noWrap/>
            <w:vAlign w:val="center"/>
            <w:hideMark/>
          </w:tcPr>
          <w:p w14:paraId="69B7B697" w14:textId="77777777" w:rsidR="009F1E8E" w:rsidRPr="001961AA" w:rsidRDefault="009F1E8E" w:rsidP="009F1E8E">
            <w:pPr>
              <w:spacing w:after="0"/>
              <w:rPr>
                <w:rFonts w:ascii="Times New Roman" w:hAnsi="Times New Roman" w:cs="Times New Roman"/>
                <w:noProof/>
                <w:color w:val="006100"/>
                <w:lang w:val="en-GB"/>
              </w:rPr>
            </w:pPr>
            <w:r w:rsidRPr="001961AA">
              <w:rPr>
                <w:rFonts w:ascii="Times New Roman" w:hAnsi="Times New Roman"/>
                <w:noProof/>
                <w:color w:val="006100"/>
                <w:lang w:val="en-GB"/>
              </w:rPr>
              <w:t xml:space="preserve">Adoption of a decree specifying the security standards to be followed for installing off-street charging points in the Brussels-Capital Region, including a minimum ratio to be installed in each parking by 31 December 2025 at the latest. And adoption of an infrastructure delivery plan, that shall include: </w:t>
            </w:r>
          </w:p>
          <w:p w14:paraId="47E4A821" w14:textId="5F180F48" w:rsidR="009F1E8E" w:rsidRPr="001961AA" w:rsidRDefault="009F1E8E" w:rsidP="009F1E8E">
            <w:pPr>
              <w:spacing w:after="0"/>
              <w:rPr>
                <w:rFonts w:ascii="Times New Roman" w:hAnsi="Times New Roman" w:cs="Times New Roman"/>
                <w:noProof/>
                <w:color w:val="006100"/>
                <w:lang w:val="en-GB"/>
              </w:rPr>
            </w:pPr>
            <w:r w:rsidRPr="001961AA">
              <w:rPr>
                <w:rFonts w:ascii="Times New Roman" w:hAnsi="Times New Roman"/>
                <w:noProof/>
                <w:color w:val="006100"/>
                <w:lang w:val="en-GB"/>
              </w:rPr>
              <w:t xml:space="preserve">- A geographical distribution of public charging points to be installed in Brussels, that shall subsequently be updated </w:t>
            </w:r>
            <w:r w:rsidRPr="001961AA">
              <w:rPr>
                <w:noProof/>
                <w:lang w:val="en-GB"/>
              </w:rPr>
              <w:t xml:space="preserve"> </w:t>
            </w:r>
            <w:r w:rsidRPr="001961AA">
              <w:rPr>
                <w:noProof/>
                <w:lang w:val="en-GB"/>
              </w:rPr>
              <w:br/>
            </w:r>
            <w:r w:rsidRPr="001961AA">
              <w:rPr>
                <w:rFonts w:ascii="Times New Roman" w:hAnsi="Times New Roman"/>
                <w:noProof/>
                <w:color w:val="006100"/>
                <w:lang w:val="en-GB"/>
              </w:rPr>
              <w:t>- A target of public charging points to be installed over the period 2022-2024</w:t>
            </w:r>
            <w:r w:rsidRPr="001961AA">
              <w:rPr>
                <w:noProof/>
                <w:lang w:val="en-GB"/>
              </w:rPr>
              <w:t xml:space="preserve"> </w:t>
            </w:r>
            <w:r w:rsidRPr="001961AA">
              <w:rPr>
                <w:noProof/>
                <w:lang w:val="en-GB"/>
              </w:rPr>
              <w:br/>
            </w:r>
            <w:r w:rsidRPr="001961AA">
              <w:rPr>
                <w:rFonts w:ascii="Times New Roman" w:hAnsi="Times New Roman"/>
                <w:noProof/>
                <w:color w:val="006100"/>
                <w:lang w:val="en-GB"/>
              </w:rPr>
              <w:t>- An installation plan for fast chargers in the city</w:t>
            </w:r>
            <w:r w:rsidRPr="001961AA">
              <w:rPr>
                <w:noProof/>
                <w:lang w:val="en-GB"/>
              </w:rPr>
              <w:t xml:space="preserve"> </w:t>
            </w:r>
            <w:r w:rsidRPr="001961AA">
              <w:rPr>
                <w:noProof/>
                <w:lang w:val="en-GB"/>
              </w:rPr>
              <w:br/>
            </w:r>
            <w:r w:rsidRPr="001961AA">
              <w:rPr>
                <w:rFonts w:ascii="Times New Roman" w:hAnsi="Times New Roman"/>
                <w:noProof/>
                <w:color w:val="006100"/>
                <w:lang w:val="en-GB"/>
              </w:rPr>
              <w:t>- An installation plan for off street charging infrastructure, discussed with all relevant stakeholders (such as public parking lots, retail sector, housing sector, office building sector).</w:t>
            </w:r>
          </w:p>
          <w:p w14:paraId="2A12DBB2" w14:textId="390F20F6" w:rsidR="009F1E8E" w:rsidRPr="001961AA" w:rsidRDefault="009F1E8E" w:rsidP="009F1E8E">
            <w:pPr>
              <w:spacing w:after="0"/>
              <w:rPr>
                <w:rFonts w:ascii="Times New Roman" w:hAnsi="Times New Roman" w:cs="Times New Roman"/>
                <w:noProof/>
                <w:color w:val="006100"/>
                <w:lang w:val="en-GB"/>
              </w:rPr>
            </w:pPr>
            <w:r w:rsidRPr="001961AA">
              <w:rPr>
                <w:rFonts w:ascii="Times New Roman" w:hAnsi="Times New Roman"/>
                <w:noProof/>
                <w:color w:val="006100"/>
                <w:lang w:val="en-GB"/>
              </w:rPr>
              <w:t>This plan shall be in line with the Alternative Fuels Infrastructure Directive,.</w:t>
            </w:r>
          </w:p>
        </w:tc>
      </w:tr>
      <w:tr w:rsidR="00292220" w:rsidRPr="001961AA" w14:paraId="44EB4F5C" w14:textId="77777777" w:rsidTr="00AA525D">
        <w:trPr>
          <w:trHeight w:val="309"/>
        </w:trPr>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F0DD0D9" w14:textId="77777777" w:rsidR="009F1E8E" w:rsidRPr="001961AA" w:rsidRDefault="009F1E8E" w:rsidP="009F1E8E">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119</w:t>
            </w:r>
          </w:p>
        </w:tc>
        <w:tc>
          <w:tcPr>
            <w:tcW w:w="1418" w:type="dxa"/>
            <w:tcBorders>
              <w:top w:val="nil"/>
              <w:left w:val="single" w:sz="4" w:space="0" w:color="auto"/>
              <w:bottom w:val="single" w:sz="4" w:space="0" w:color="auto"/>
              <w:right w:val="single" w:sz="4" w:space="0" w:color="auto"/>
            </w:tcBorders>
            <w:shd w:val="clear" w:color="auto" w:fill="C6EFCE"/>
            <w:noWrap/>
            <w:vAlign w:val="center"/>
          </w:tcPr>
          <w:p w14:paraId="4011E408" w14:textId="77777777" w:rsidR="009F1E8E" w:rsidRPr="001961AA" w:rsidRDefault="009F1E8E" w:rsidP="009F1E8E">
            <w:pPr>
              <w:spacing w:after="0"/>
              <w:rPr>
                <w:rFonts w:ascii="Times New Roman" w:hAnsi="Times New Roman" w:cs="Times New Roman"/>
                <w:noProof/>
                <w:color w:val="006100"/>
                <w:lang w:val="en-GB"/>
              </w:rPr>
            </w:pPr>
            <w:r w:rsidRPr="001961AA">
              <w:rPr>
                <w:rFonts w:ascii="Times New Roman" w:hAnsi="Times New Roman"/>
                <w:noProof/>
                <w:color w:val="006100"/>
                <w:lang w:val="en-GB"/>
              </w:rPr>
              <w:t>Charging stations- WAL (R-3.04)</w:t>
            </w:r>
          </w:p>
        </w:tc>
        <w:tc>
          <w:tcPr>
            <w:tcW w:w="1134" w:type="dxa"/>
            <w:tcBorders>
              <w:top w:val="nil"/>
              <w:left w:val="nil"/>
              <w:bottom w:val="single" w:sz="4" w:space="0" w:color="auto"/>
              <w:right w:val="single" w:sz="4" w:space="0" w:color="auto"/>
            </w:tcBorders>
            <w:shd w:val="clear" w:color="auto" w:fill="C6EFCE"/>
            <w:noWrap/>
            <w:vAlign w:val="center"/>
          </w:tcPr>
          <w:p w14:paraId="0965E086" w14:textId="45A3E833" w:rsidR="009F1E8E" w:rsidRPr="001961AA" w:rsidRDefault="009F1E8E" w:rsidP="009F1E8E">
            <w:pPr>
              <w:spacing w:after="0"/>
              <w:rPr>
                <w:rFonts w:ascii="Times New Roman" w:hAnsi="Times New Roman" w:cs="Times New Roman"/>
                <w:noProof/>
                <w:color w:val="006100"/>
                <w:lang w:val="en-GB"/>
              </w:rPr>
            </w:pPr>
            <w:r w:rsidRPr="001961AA">
              <w:rPr>
                <w:rFonts w:ascii="Times New Roman" w:hAnsi="Times New Roman"/>
                <w:noProof/>
                <w:color w:val="006100"/>
                <w:lang w:val="en-GB"/>
              </w:rPr>
              <w:t>M</w:t>
            </w:r>
          </w:p>
        </w:tc>
        <w:tc>
          <w:tcPr>
            <w:tcW w:w="1559" w:type="dxa"/>
            <w:tcBorders>
              <w:top w:val="nil"/>
              <w:left w:val="nil"/>
              <w:bottom w:val="single" w:sz="4" w:space="0" w:color="auto"/>
              <w:right w:val="single" w:sz="4" w:space="0" w:color="auto"/>
            </w:tcBorders>
            <w:shd w:val="clear" w:color="auto" w:fill="C6EFCE"/>
            <w:noWrap/>
            <w:vAlign w:val="center"/>
          </w:tcPr>
          <w:p w14:paraId="24633173" w14:textId="77777777" w:rsidR="009F1E8E" w:rsidRPr="001961AA" w:rsidRDefault="009F1E8E" w:rsidP="009F1E8E">
            <w:pPr>
              <w:spacing w:after="0"/>
              <w:rPr>
                <w:rFonts w:ascii="Times New Roman" w:hAnsi="Times New Roman" w:cs="Times New Roman"/>
                <w:noProof/>
                <w:color w:val="006100"/>
                <w:lang w:val="en-GB"/>
              </w:rPr>
            </w:pPr>
            <w:r w:rsidRPr="001961AA">
              <w:rPr>
                <w:rFonts w:ascii="Times New Roman" w:hAnsi="Times New Roman"/>
                <w:noProof/>
                <w:color w:val="006100"/>
                <w:lang w:val="en-GB"/>
              </w:rPr>
              <w:t>Adoption of a plan to deploy electric charging stations</w:t>
            </w:r>
          </w:p>
        </w:tc>
        <w:tc>
          <w:tcPr>
            <w:tcW w:w="1442" w:type="dxa"/>
            <w:tcBorders>
              <w:top w:val="nil"/>
              <w:left w:val="nil"/>
              <w:bottom w:val="single" w:sz="4" w:space="0" w:color="auto"/>
              <w:right w:val="single" w:sz="4" w:space="0" w:color="auto"/>
            </w:tcBorders>
            <w:shd w:val="clear" w:color="auto" w:fill="C6EFCE"/>
            <w:noWrap/>
            <w:vAlign w:val="center"/>
          </w:tcPr>
          <w:p w14:paraId="0C6CC82C" w14:textId="77777777" w:rsidR="009F1E8E" w:rsidRPr="001961AA" w:rsidRDefault="009F1E8E" w:rsidP="009F1E8E">
            <w:pPr>
              <w:spacing w:after="0"/>
              <w:rPr>
                <w:rFonts w:ascii="Times New Roman" w:hAnsi="Times New Roman" w:cs="Times New Roman"/>
                <w:noProof/>
                <w:color w:val="006100"/>
                <w:lang w:val="en-GB"/>
              </w:rPr>
            </w:pPr>
            <w:r w:rsidRPr="001961AA">
              <w:rPr>
                <w:rFonts w:ascii="Times New Roman" w:hAnsi="Times New Roman"/>
                <w:noProof/>
                <w:color w:val="006100"/>
                <w:lang w:val="en-GB"/>
              </w:rPr>
              <w:t>Adoption of a plan to deploy electric charging stations</w:t>
            </w:r>
          </w:p>
        </w:tc>
        <w:tc>
          <w:tcPr>
            <w:tcW w:w="1080" w:type="dxa"/>
            <w:tcBorders>
              <w:top w:val="nil"/>
              <w:left w:val="nil"/>
              <w:bottom w:val="single" w:sz="4" w:space="0" w:color="auto"/>
              <w:right w:val="single" w:sz="4" w:space="0" w:color="auto"/>
            </w:tcBorders>
            <w:shd w:val="clear" w:color="auto" w:fill="C6EFCE"/>
            <w:noWrap/>
            <w:vAlign w:val="center"/>
          </w:tcPr>
          <w:p w14:paraId="4447E6B9" w14:textId="77777777" w:rsidR="009F1E8E" w:rsidRPr="001961AA" w:rsidRDefault="009F1E8E" w:rsidP="009F1E8E">
            <w:pPr>
              <w:spacing w:after="0"/>
              <w:rPr>
                <w:rFonts w:ascii="Times New Roman" w:hAnsi="Times New Roman" w:cs="Times New Roman"/>
                <w:noProof/>
                <w:color w:val="006100"/>
                <w:lang w:val="en-GB"/>
              </w:rPr>
            </w:pPr>
          </w:p>
        </w:tc>
        <w:tc>
          <w:tcPr>
            <w:tcW w:w="1022" w:type="dxa"/>
            <w:tcBorders>
              <w:top w:val="nil"/>
              <w:left w:val="nil"/>
              <w:bottom w:val="single" w:sz="4" w:space="0" w:color="auto"/>
              <w:right w:val="single" w:sz="4" w:space="0" w:color="auto"/>
            </w:tcBorders>
            <w:shd w:val="clear" w:color="auto" w:fill="C6EFCE"/>
            <w:noWrap/>
            <w:vAlign w:val="center"/>
          </w:tcPr>
          <w:p w14:paraId="156B1D87" w14:textId="77777777" w:rsidR="009F1E8E" w:rsidRPr="001961AA" w:rsidRDefault="009F1E8E" w:rsidP="009F1E8E">
            <w:pPr>
              <w:spacing w:after="0"/>
              <w:rPr>
                <w:rFonts w:ascii="Times New Roman" w:hAnsi="Times New Roman" w:cs="Times New Roman"/>
                <w:noProof/>
                <w:color w:val="006100"/>
                <w:lang w:val="en-GB"/>
              </w:rPr>
            </w:pPr>
          </w:p>
        </w:tc>
        <w:tc>
          <w:tcPr>
            <w:tcW w:w="850" w:type="dxa"/>
            <w:tcBorders>
              <w:top w:val="nil"/>
              <w:left w:val="nil"/>
              <w:bottom w:val="single" w:sz="4" w:space="0" w:color="auto"/>
              <w:right w:val="single" w:sz="4" w:space="0" w:color="auto"/>
            </w:tcBorders>
            <w:shd w:val="clear" w:color="auto" w:fill="C6EFCE"/>
            <w:noWrap/>
            <w:vAlign w:val="center"/>
          </w:tcPr>
          <w:p w14:paraId="4958811C" w14:textId="77777777" w:rsidR="009F1E8E" w:rsidRPr="001961AA" w:rsidRDefault="009F1E8E" w:rsidP="009F1E8E">
            <w:pPr>
              <w:spacing w:after="0"/>
              <w:rPr>
                <w:rFonts w:ascii="Times New Roman" w:hAnsi="Times New Roman" w:cs="Times New Roman"/>
                <w:noProof/>
                <w:color w:val="006100"/>
                <w:lang w:val="en-GB"/>
              </w:rPr>
            </w:pPr>
          </w:p>
        </w:tc>
        <w:tc>
          <w:tcPr>
            <w:tcW w:w="1248" w:type="dxa"/>
            <w:tcBorders>
              <w:top w:val="nil"/>
              <w:left w:val="nil"/>
              <w:bottom w:val="single" w:sz="4" w:space="0" w:color="auto"/>
              <w:right w:val="single" w:sz="4" w:space="0" w:color="auto"/>
            </w:tcBorders>
            <w:shd w:val="clear" w:color="auto" w:fill="C6EFCE"/>
            <w:noWrap/>
            <w:vAlign w:val="center"/>
          </w:tcPr>
          <w:p w14:paraId="635DEA6F" w14:textId="77777777" w:rsidR="009F1E8E" w:rsidRPr="001961AA" w:rsidRDefault="009F1E8E" w:rsidP="009F1E8E">
            <w:pPr>
              <w:spacing w:after="0"/>
              <w:jc w:val="center"/>
              <w:rPr>
                <w:rFonts w:ascii="Times New Roman" w:hAnsi="Times New Roman" w:cs="Times New Roman"/>
                <w:noProof/>
                <w:color w:val="006100"/>
                <w:lang w:val="en-GB"/>
              </w:rPr>
            </w:pPr>
            <w:r w:rsidRPr="001961AA">
              <w:rPr>
                <w:rFonts w:ascii="Times New Roman" w:hAnsi="Times New Roman"/>
                <w:noProof/>
                <w:color w:val="006100"/>
                <w:lang w:val="en-GB"/>
              </w:rPr>
              <w:t>Q3</w:t>
            </w:r>
          </w:p>
        </w:tc>
        <w:tc>
          <w:tcPr>
            <w:tcW w:w="720" w:type="dxa"/>
            <w:tcBorders>
              <w:top w:val="nil"/>
              <w:left w:val="nil"/>
              <w:bottom w:val="single" w:sz="4" w:space="0" w:color="auto"/>
              <w:right w:val="single" w:sz="4" w:space="0" w:color="auto"/>
            </w:tcBorders>
            <w:shd w:val="clear" w:color="auto" w:fill="C6EFCE"/>
            <w:noWrap/>
            <w:vAlign w:val="center"/>
          </w:tcPr>
          <w:p w14:paraId="24F7874E" w14:textId="77777777" w:rsidR="009F1E8E" w:rsidRPr="001961AA" w:rsidRDefault="009F1E8E" w:rsidP="009F1E8E">
            <w:pPr>
              <w:spacing w:after="0"/>
              <w:jc w:val="center"/>
              <w:rPr>
                <w:rFonts w:ascii="Times New Roman" w:hAnsi="Times New Roman" w:cs="Times New Roman"/>
                <w:noProof/>
                <w:color w:val="006100"/>
                <w:lang w:val="en-GB"/>
              </w:rPr>
            </w:pPr>
            <w:r w:rsidRPr="001961AA">
              <w:rPr>
                <w:rFonts w:ascii="Times New Roman" w:hAnsi="Times New Roman"/>
                <w:noProof/>
                <w:color w:val="006100"/>
                <w:lang w:val="en-GB"/>
              </w:rPr>
              <w:t>2022</w:t>
            </w:r>
          </w:p>
        </w:tc>
        <w:tc>
          <w:tcPr>
            <w:tcW w:w="3957" w:type="dxa"/>
            <w:tcBorders>
              <w:top w:val="nil"/>
              <w:left w:val="single" w:sz="4" w:space="0" w:color="auto"/>
              <w:bottom w:val="single" w:sz="4" w:space="0" w:color="auto"/>
              <w:right w:val="single" w:sz="4" w:space="0" w:color="auto"/>
            </w:tcBorders>
            <w:shd w:val="clear" w:color="auto" w:fill="C6EFCE"/>
            <w:noWrap/>
            <w:vAlign w:val="center"/>
          </w:tcPr>
          <w:p w14:paraId="470E9327" w14:textId="77777777" w:rsidR="009F1E8E" w:rsidRPr="001961AA" w:rsidRDefault="009F1E8E" w:rsidP="009F1E8E">
            <w:pPr>
              <w:spacing w:after="0"/>
              <w:rPr>
                <w:rFonts w:ascii="Times New Roman" w:hAnsi="Times New Roman" w:cs="Times New Roman"/>
                <w:noProof/>
                <w:color w:val="006100"/>
                <w:lang w:val="en-GB"/>
              </w:rPr>
            </w:pPr>
            <w:r w:rsidRPr="001961AA">
              <w:rPr>
                <w:rFonts w:ascii="Times New Roman" w:hAnsi="Times New Roman"/>
                <w:noProof/>
                <w:color w:val="006100"/>
                <w:lang w:val="en-GB"/>
              </w:rPr>
              <w:t>Adoption of a plan for the deployment of charging stations, which shall include :</w:t>
            </w:r>
          </w:p>
          <w:p w14:paraId="15301484" w14:textId="1470551C" w:rsidR="009F1E8E" w:rsidRPr="001961AA" w:rsidRDefault="009F1E8E" w:rsidP="009F1E8E">
            <w:pPr>
              <w:spacing w:after="0"/>
              <w:rPr>
                <w:rFonts w:ascii="Times New Roman" w:hAnsi="Times New Roman" w:cs="Times New Roman"/>
                <w:noProof/>
                <w:color w:val="006100"/>
                <w:lang w:val="en-GB"/>
              </w:rPr>
            </w:pPr>
            <w:r w:rsidRPr="001961AA">
              <w:rPr>
                <w:rFonts w:ascii="Times New Roman" w:hAnsi="Times New Roman"/>
                <w:noProof/>
                <w:color w:val="006100"/>
                <w:lang w:val="en-GB"/>
              </w:rPr>
              <w:t>- The number of charging points that must be installed by 31 August2026</w:t>
            </w:r>
          </w:p>
          <w:p w14:paraId="708FBB28" w14:textId="77777777" w:rsidR="009F1E8E" w:rsidRPr="001961AA" w:rsidRDefault="009F1E8E" w:rsidP="009F1E8E">
            <w:pPr>
              <w:spacing w:after="0"/>
              <w:rPr>
                <w:rFonts w:ascii="Times New Roman" w:hAnsi="Times New Roman" w:cs="Times New Roman"/>
                <w:noProof/>
                <w:color w:val="006100"/>
                <w:lang w:val="en-GB"/>
              </w:rPr>
            </w:pPr>
            <w:r w:rsidRPr="001961AA">
              <w:rPr>
                <w:rFonts w:ascii="Times New Roman" w:hAnsi="Times New Roman"/>
                <w:noProof/>
                <w:color w:val="006100"/>
                <w:lang w:val="en-GB"/>
              </w:rPr>
              <w:t>- The procedures to deploy the infrastructure</w:t>
            </w:r>
          </w:p>
          <w:p w14:paraId="550BD801" w14:textId="347DE18C" w:rsidR="009F1E8E" w:rsidRPr="001961AA" w:rsidRDefault="009F1E8E" w:rsidP="009F1E8E">
            <w:pPr>
              <w:spacing w:after="0"/>
              <w:rPr>
                <w:rFonts w:ascii="Times New Roman" w:hAnsi="Times New Roman" w:cs="Times New Roman"/>
                <w:noProof/>
                <w:color w:val="006100"/>
                <w:lang w:val="en-GB"/>
              </w:rPr>
            </w:pPr>
          </w:p>
          <w:p w14:paraId="426A7C8C" w14:textId="77777777" w:rsidR="009F1E8E" w:rsidRPr="001961AA" w:rsidRDefault="009F1E8E" w:rsidP="009F1E8E">
            <w:pPr>
              <w:spacing w:after="0"/>
              <w:rPr>
                <w:rFonts w:ascii="Times New Roman" w:hAnsi="Times New Roman" w:cs="Times New Roman"/>
                <w:noProof/>
                <w:color w:val="006100"/>
                <w:lang w:val="en-GB"/>
              </w:rPr>
            </w:pPr>
            <w:r w:rsidRPr="001961AA">
              <w:rPr>
                <w:rFonts w:ascii="Times New Roman" w:hAnsi="Times New Roman"/>
                <w:noProof/>
                <w:color w:val="006100"/>
                <w:lang w:val="en-GB"/>
              </w:rPr>
              <w:t>- The necessary basis to launch the calls for tender</w:t>
            </w:r>
          </w:p>
          <w:p w14:paraId="0A38ED11" w14:textId="445D1020" w:rsidR="009F1E8E" w:rsidRPr="001961AA" w:rsidRDefault="009F1E8E" w:rsidP="009F1E8E">
            <w:pPr>
              <w:spacing w:after="0"/>
              <w:rPr>
                <w:rFonts w:ascii="Times New Roman" w:hAnsi="Times New Roman" w:cs="Times New Roman"/>
                <w:noProof/>
                <w:color w:val="006100"/>
                <w:lang w:val="en-GB"/>
              </w:rPr>
            </w:pPr>
            <w:r w:rsidRPr="001961AA">
              <w:rPr>
                <w:rFonts w:ascii="Times New Roman" w:hAnsi="Times New Roman"/>
                <w:noProof/>
                <w:color w:val="006100"/>
                <w:lang w:val="en-GB"/>
              </w:rPr>
              <w:t>- The target for the number of public charging points equivalent (CPE) to be installed till 2026, which shall take into account of the indicative target of one CPE for ten electric vehicles.</w:t>
            </w:r>
          </w:p>
        </w:tc>
      </w:tr>
      <w:tr w:rsidR="00292220" w:rsidRPr="001961AA" w14:paraId="31B1362D" w14:textId="77777777" w:rsidTr="00AA525D">
        <w:trPr>
          <w:trHeight w:val="309"/>
        </w:trPr>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2506061" w14:textId="77777777" w:rsidR="009F1E8E" w:rsidRPr="001961AA" w:rsidRDefault="009F1E8E" w:rsidP="009F1E8E">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120</w:t>
            </w:r>
          </w:p>
        </w:tc>
        <w:tc>
          <w:tcPr>
            <w:tcW w:w="1418" w:type="dxa"/>
            <w:tcBorders>
              <w:top w:val="nil"/>
              <w:left w:val="single" w:sz="4" w:space="0" w:color="auto"/>
              <w:bottom w:val="single" w:sz="4" w:space="0" w:color="auto"/>
              <w:right w:val="single" w:sz="4" w:space="0" w:color="auto"/>
            </w:tcBorders>
            <w:shd w:val="clear" w:color="auto" w:fill="C6EFCE"/>
            <w:noWrap/>
            <w:vAlign w:val="center"/>
          </w:tcPr>
          <w:p w14:paraId="308E288E" w14:textId="77777777" w:rsidR="009F1E8E" w:rsidRPr="001961AA" w:rsidRDefault="009F1E8E" w:rsidP="009F1E8E">
            <w:pPr>
              <w:spacing w:after="0"/>
              <w:rPr>
                <w:rFonts w:ascii="Times New Roman" w:hAnsi="Times New Roman" w:cs="Times New Roman"/>
                <w:noProof/>
                <w:color w:val="006100"/>
                <w:lang w:val="en-GB"/>
              </w:rPr>
            </w:pPr>
            <w:r w:rsidRPr="001961AA">
              <w:rPr>
                <w:rFonts w:ascii="Times New Roman" w:hAnsi="Times New Roman"/>
                <w:noProof/>
                <w:color w:val="006100"/>
                <w:lang w:val="en-GB"/>
              </w:rPr>
              <w:t>Charging stations – FED (I-3.18)</w:t>
            </w:r>
          </w:p>
        </w:tc>
        <w:tc>
          <w:tcPr>
            <w:tcW w:w="1134" w:type="dxa"/>
            <w:tcBorders>
              <w:top w:val="nil"/>
              <w:left w:val="nil"/>
              <w:bottom w:val="single" w:sz="4" w:space="0" w:color="auto"/>
              <w:right w:val="single" w:sz="4" w:space="0" w:color="auto"/>
            </w:tcBorders>
            <w:shd w:val="clear" w:color="auto" w:fill="C6EFCE"/>
            <w:noWrap/>
            <w:vAlign w:val="center"/>
          </w:tcPr>
          <w:p w14:paraId="58B695B8" w14:textId="1B8B58A4" w:rsidR="009F1E8E" w:rsidRPr="001961AA" w:rsidRDefault="009F1E8E" w:rsidP="009F1E8E">
            <w:pPr>
              <w:spacing w:after="0"/>
              <w:rPr>
                <w:rFonts w:ascii="Times New Roman" w:hAnsi="Times New Roman" w:cs="Times New Roman"/>
                <w:noProof/>
                <w:color w:val="006100"/>
                <w:lang w:val="en-GB"/>
              </w:rPr>
            </w:pPr>
            <w:r w:rsidRPr="001961AA">
              <w:rPr>
                <w:rFonts w:ascii="Times New Roman" w:hAnsi="Times New Roman"/>
                <w:noProof/>
                <w:color w:val="006100"/>
                <w:lang w:val="en-GB"/>
              </w:rPr>
              <w:t>M</w:t>
            </w:r>
          </w:p>
        </w:tc>
        <w:tc>
          <w:tcPr>
            <w:tcW w:w="1559" w:type="dxa"/>
            <w:tcBorders>
              <w:top w:val="nil"/>
              <w:left w:val="nil"/>
              <w:bottom w:val="single" w:sz="4" w:space="0" w:color="auto"/>
              <w:right w:val="single" w:sz="4" w:space="0" w:color="auto"/>
            </w:tcBorders>
            <w:shd w:val="clear" w:color="auto" w:fill="C6EFCE"/>
            <w:noWrap/>
            <w:vAlign w:val="center"/>
          </w:tcPr>
          <w:p w14:paraId="6F9A8E48" w14:textId="77777777" w:rsidR="009F1E8E" w:rsidRPr="001961AA" w:rsidRDefault="009F1E8E" w:rsidP="009F1E8E">
            <w:pPr>
              <w:spacing w:after="0"/>
              <w:rPr>
                <w:rFonts w:ascii="Times New Roman" w:hAnsi="Times New Roman" w:cs="Times New Roman"/>
                <w:noProof/>
                <w:color w:val="006100"/>
                <w:lang w:val="en-GB"/>
              </w:rPr>
            </w:pPr>
            <w:r w:rsidRPr="001961AA">
              <w:rPr>
                <w:rFonts w:ascii="Times New Roman" w:hAnsi="Times New Roman"/>
                <w:noProof/>
                <w:color w:val="006100"/>
                <w:lang w:val="en-GB"/>
              </w:rPr>
              <w:t xml:space="preserve">Adoption of the tax incentive to install private and semi-public charging points </w:t>
            </w:r>
          </w:p>
        </w:tc>
        <w:tc>
          <w:tcPr>
            <w:tcW w:w="1442" w:type="dxa"/>
            <w:tcBorders>
              <w:top w:val="nil"/>
              <w:left w:val="nil"/>
              <w:bottom w:val="single" w:sz="4" w:space="0" w:color="auto"/>
              <w:right w:val="single" w:sz="4" w:space="0" w:color="auto"/>
            </w:tcBorders>
            <w:shd w:val="clear" w:color="auto" w:fill="C6EFCE"/>
            <w:noWrap/>
            <w:vAlign w:val="center"/>
          </w:tcPr>
          <w:p w14:paraId="17514337" w14:textId="2A2EA33A" w:rsidR="009F1E8E" w:rsidRPr="001961AA" w:rsidRDefault="009F1E8E" w:rsidP="009F1E8E">
            <w:pPr>
              <w:spacing w:after="0"/>
              <w:rPr>
                <w:rFonts w:ascii="Times New Roman" w:hAnsi="Times New Roman" w:cs="Times New Roman"/>
                <w:noProof/>
                <w:color w:val="006100"/>
                <w:lang w:val="en-GB"/>
              </w:rPr>
            </w:pPr>
            <w:r w:rsidRPr="001961AA">
              <w:rPr>
                <w:rFonts w:ascii="Times New Roman" w:hAnsi="Times New Roman"/>
                <w:noProof/>
                <w:color w:val="006100"/>
                <w:lang w:val="en-GB"/>
              </w:rPr>
              <w:t>Adoption of the tax incentive</w:t>
            </w:r>
          </w:p>
        </w:tc>
        <w:tc>
          <w:tcPr>
            <w:tcW w:w="1080" w:type="dxa"/>
            <w:tcBorders>
              <w:top w:val="nil"/>
              <w:left w:val="nil"/>
              <w:bottom w:val="single" w:sz="4" w:space="0" w:color="auto"/>
              <w:right w:val="single" w:sz="4" w:space="0" w:color="auto"/>
            </w:tcBorders>
            <w:shd w:val="clear" w:color="auto" w:fill="C6EFCE"/>
            <w:noWrap/>
            <w:vAlign w:val="center"/>
          </w:tcPr>
          <w:p w14:paraId="238C4D8E" w14:textId="6FE6C21F" w:rsidR="009F1E8E" w:rsidRPr="001961AA" w:rsidRDefault="009F1E8E" w:rsidP="009F1E8E">
            <w:pPr>
              <w:spacing w:after="0"/>
              <w:rPr>
                <w:rFonts w:ascii="Times New Roman" w:hAnsi="Times New Roman" w:cs="Times New Roman"/>
                <w:noProof/>
                <w:color w:val="006100"/>
                <w:lang w:val="en-GB"/>
              </w:rPr>
            </w:pPr>
          </w:p>
        </w:tc>
        <w:tc>
          <w:tcPr>
            <w:tcW w:w="1022" w:type="dxa"/>
            <w:tcBorders>
              <w:top w:val="nil"/>
              <w:left w:val="nil"/>
              <w:bottom w:val="single" w:sz="4" w:space="0" w:color="auto"/>
              <w:right w:val="single" w:sz="4" w:space="0" w:color="auto"/>
            </w:tcBorders>
            <w:shd w:val="clear" w:color="auto" w:fill="C6EFCE"/>
            <w:noWrap/>
            <w:vAlign w:val="center"/>
          </w:tcPr>
          <w:p w14:paraId="5887F961" w14:textId="1B23C197" w:rsidR="009F1E8E" w:rsidRPr="001961AA" w:rsidRDefault="009F1E8E" w:rsidP="009F1E8E">
            <w:pPr>
              <w:spacing w:after="0"/>
              <w:rPr>
                <w:rFonts w:ascii="Times New Roman" w:hAnsi="Times New Roman" w:cs="Times New Roman"/>
                <w:noProof/>
                <w:color w:val="006100"/>
                <w:lang w:val="en-GB"/>
              </w:rPr>
            </w:pPr>
          </w:p>
        </w:tc>
        <w:tc>
          <w:tcPr>
            <w:tcW w:w="850" w:type="dxa"/>
            <w:tcBorders>
              <w:top w:val="nil"/>
              <w:left w:val="nil"/>
              <w:bottom w:val="single" w:sz="4" w:space="0" w:color="auto"/>
              <w:right w:val="single" w:sz="4" w:space="0" w:color="auto"/>
            </w:tcBorders>
            <w:shd w:val="clear" w:color="auto" w:fill="C6EFCE"/>
            <w:noWrap/>
            <w:vAlign w:val="center"/>
          </w:tcPr>
          <w:p w14:paraId="7376F24D" w14:textId="1CA6FCC8" w:rsidR="009F1E8E" w:rsidRPr="001961AA" w:rsidRDefault="009F1E8E" w:rsidP="009F1E8E">
            <w:pPr>
              <w:spacing w:after="0"/>
              <w:rPr>
                <w:rFonts w:ascii="Times New Roman" w:hAnsi="Times New Roman" w:cs="Times New Roman"/>
                <w:noProof/>
                <w:color w:val="006100"/>
                <w:lang w:val="en-GB"/>
              </w:rPr>
            </w:pPr>
          </w:p>
        </w:tc>
        <w:tc>
          <w:tcPr>
            <w:tcW w:w="1248" w:type="dxa"/>
            <w:tcBorders>
              <w:top w:val="nil"/>
              <w:left w:val="nil"/>
              <w:bottom w:val="single" w:sz="4" w:space="0" w:color="auto"/>
              <w:right w:val="single" w:sz="4" w:space="0" w:color="auto"/>
            </w:tcBorders>
            <w:shd w:val="clear" w:color="auto" w:fill="C6EFCE"/>
            <w:noWrap/>
            <w:vAlign w:val="center"/>
          </w:tcPr>
          <w:p w14:paraId="353A5BAD" w14:textId="77777777" w:rsidR="009F1E8E" w:rsidRPr="001961AA" w:rsidRDefault="009F1E8E" w:rsidP="009F1E8E">
            <w:pPr>
              <w:spacing w:after="0"/>
              <w:jc w:val="center"/>
              <w:rPr>
                <w:rFonts w:ascii="Times New Roman" w:hAnsi="Times New Roman" w:cs="Times New Roman"/>
                <w:noProof/>
                <w:color w:val="006100"/>
                <w:lang w:val="en-GB"/>
              </w:rPr>
            </w:pPr>
            <w:r w:rsidRPr="001961AA">
              <w:rPr>
                <w:rFonts w:ascii="Times New Roman" w:hAnsi="Times New Roman"/>
                <w:noProof/>
                <w:color w:val="006100"/>
                <w:lang w:val="en-GB"/>
              </w:rPr>
              <w:t>Q4</w:t>
            </w:r>
          </w:p>
        </w:tc>
        <w:tc>
          <w:tcPr>
            <w:tcW w:w="720" w:type="dxa"/>
            <w:tcBorders>
              <w:top w:val="nil"/>
              <w:left w:val="nil"/>
              <w:bottom w:val="single" w:sz="4" w:space="0" w:color="auto"/>
              <w:right w:val="single" w:sz="4" w:space="0" w:color="auto"/>
            </w:tcBorders>
            <w:shd w:val="clear" w:color="auto" w:fill="C6EFCE"/>
            <w:noWrap/>
            <w:vAlign w:val="center"/>
          </w:tcPr>
          <w:p w14:paraId="1ADBBE50" w14:textId="77777777" w:rsidR="009F1E8E" w:rsidRPr="001961AA" w:rsidRDefault="009F1E8E" w:rsidP="009F1E8E">
            <w:pPr>
              <w:spacing w:after="0"/>
              <w:jc w:val="center"/>
              <w:rPr>
                <w:rFonts w:ascii="Times New Roman" w:hAnsi="Times New Roman" w:cs="Times New Roman"/>
                <w:noProof/>
                <w:color w:val="006100"/>
                <w:lang w:val="en-GB"/>
              </w:rPr>
            </w:pPr>
            <w:r w:rsidRPr="001961AA">
              <w:rPr>
                <w:rFonts w:ascii="Times New Roman" w:hAnsi="Times New Roman"/>
                <w:noProof/>
                <w:color w:val="006100"/>
                <w:lang w:val="en-GB"/>
              </w:rPr>
              <w:t>2021</w:t>
            </w:r>
          </w:p>
        </w:tc>
        <w:tc>
          <w:tcPr>
            <w:tcW w:w="3957" w:type="dxa"/>
            <w:tcBorders>
              <w:top w:val="nil"/>
              <w:left w:val="single" w:sz="4" w:space="0" w:color="000000" w:themeColor="text1"/>
              <w:bottom w:val="single" w:sz="4" w:space="0" w:color="000000" w:themeColor="text1"/>
              <w:right w:val="single" w:sz="4" w:space="0" w:color="000000" w:themeColor="text1"/>
            </w:tcBorders>
            <w:shd w:val="clear" w:color="auto" w:fill="C6EFCE"/>
            <w:noWrap/>
            <w:vAlign w:val="center"/>
          </w:tcPr>
          <w:p w14:paraId="7B20BAF5" w14:textId="77777777" w:rsidR="009F1E8E" w:rsidRPr="001961AA" w:rsidRDefault="009F1E8E" w:rsidP="009F1E8E">
            <w:pPr>
              <w:spacing w:after="0"/>
              <w:rPr>
                <w:rFonts w:ascii="Times New Roman" w:hAnsi="Times New Roman" w:cs="Times New Roman"/>
                <w:noProof/>
                <w:color w:val="006100"/>
                <w:lang w:val="en-GB"/>
              </w:rPr>
            </w:pPr>
            <w:r w:rsidRPr="001961AA">
              <w:rPr>
                <w:rFonts w:ascii="Times New Roman" w:hAnsi="Times New Roman"/>
                <w:noProof/>
                <w:color w:val="006100"/>
                <w:lang w:val="en-GB"/>
              </w:rPr>
              <w:t>Adoption of the tax incentive to install private and semi-public charging points.</w:t>
            </w:r>
          </w:p>
        </w:tc>
      </w:tr>
      <w:tr w:rsidR="00292220" w:rsidRPr="001961AA" w14:paraId="1F774374" w14:textId="77777777" w:rsidTr="00AA525D">
        <w:trPr>
          <w:trHeight w:val="309"/>
        </w:trPr>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67828D9" w14:textId="77777777" w:rsidR="009F1E8E" w:rsidRPr="001961AA" w:rsidRDefault="009F1E8E" w:rsidP="009F1E8E">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121</w:t>
            </w:r>
          </w:p>
        </w:tc>
        <w:tc>
          <w:tcPr>
            <w:tcW w:w="1418" w:type="dxa"/>
            <w:tcBorders>
              <w:top w:val="nil"/>
              <w:left w:val="single" w:sz="4" w:space="0" w:color="auto"/>
              <w:bottom w:val="single" w:sz="4" w:space="0" w:color="auto"/>
              <w:right w:val="single" w:sz="4" w:space="0" w:color="auto"/>
            </w:tcBorders>
            <w:shd w:val="clear" w:color="auto" w:fill="C6EFCE"/>
            <w:noWrap/>
            <w:vAlign w:val="center"/>
          </w:tcPr>
          <w:p w14:paraId="7AC3F820" w14:textId="77777777" w:rsidR="009F1E8E" w:rsidRPr="001961AA" w:rsidRDefault="009F1E8E" w:rsidP="009F1E8E">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Charging stations (I-3F)</w:t>
            </w:r>
          </w:p>
        </w:tc>
        <w:tc>
          <w:tcPr>
            <w:tcW w:w="1134" w:type="dxa"/>
            <w:tcBorders>
              <w:top w:val="nil"/>
              <w:left w:val="nil"/>
              <w:bottom w:val="single" w:sz="4" w:space="0" w:color="auto"/>
              <w:right w:val="single" w:sz="4" w:space="0" w:color="auto"/>
            </w:tcBorders>
            <w:shd w:val="clear" w:color="auto" w:fill="C6EFCE"/>
            <w:noWrap/>
            <w:vAlign w:val="center"/>
          </w:tcPr>
          <w:p w14:paraId="4B12E806" w14:textId="2D94FA66" w:rsidR="009F1E8E" w:rsidRPr="001961AA" w:rsidRDefault="009F1E8E" w:rsidP="009F1E8E">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T</w:t>
            </w:r>
          </w:p>
        </w:tc>
        <w:tc>
          <w:tcPr>
            <w:tcW w:w="1559" w:type="dxa"/>
            <w:tcBorders>
              <w:top w:val="nil"/>
              <w:left w:val="nil"/>
              <w:bottom w:val="single" w:sz="4" w:space="0" w:color="auto"/>
              <w:right w:val="single" w:sz="4" w:space="0" w:color="auto"/>
            </w:tcBorders>
            <w:shd w:val="clear" w:color="auto" w:fill="C6EFCE"/>
            <w:noWrap/>
            <w:vAlign w:val="center"/>
          </w:tcPr>
          <w:p w14:paraId="2F5C0686" w14:textId="77777777" w:rsidR="009F1E8E" w:rsidRPr="001961AA" w:rsidRDefault="009F1E8E" w:rsidP="009F1E8E">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Additional operational semi-public and public charging points (step 1)</w:t>
            </w:r>
          </w:p>
        </w:tc>
        <w:tc>
          <w:tcPr>
            <w:tcW w:w="1442" w:type="dxa"/>
            <w:tcBorders>
              <w:top w:val="nil"/>
              <w:left w:val="nil"/>
              <w:bottom w:val="single" w:sz="4" w:space="0" w:color="auto"/>
              <w:right w:val="single" w:sz="4" w:space="0" w:color="auto"/>
            </w:tcBorders>
            <w:shd w:val="clear" w:color="auto" w:fill="C6EFCE"/>
            <w:noWrap/>
            <w:vAlign w:val="center"/>
          </w:tcPr>
          <w:p w14:paraId="7872FC12" w14:textId="77777777" w:rsidR="009F1E8E" w:rsidRPr="001961AA" w:rsidRDefault="009F1E8E" w:rsidP="009F1E8E">
            <w:pPr>
              <w:spacing w:after="0"/>
              <w:rPr>
                <w:rFonts w:ascii="Times New Roman" w:hAnsi="Times New Roman" w:cs="Times New Roman"/>
                <w:noProof/>
                <w:color w:val="006100"/>
                <w:lang w:val="en-GB"/>
              </w:rPr>
            </w:pPr>
          </w:p>
        </w:tc>
        <w:tc>
          <w:tcPr>
            <w:tcW w:w="1080" w:type="dxa"/>
            <w:tcBorders>
              <w:top w:val="nil"/>
              <w:left w:val="nil"/>
              <w:bottom w:val="single" w:sz="4" w:space="0" w:color="auto"/>
              <w:right w:val="single" w:sz="4" w:space="0" w:color="auto"/>
            </w:tcBorders>
            <w:shd w:val="clear" w:color="auto" w:fill="C6EFCE"/>
            <w:noWrap/>
            <w:vAlign w:val="center"/>
          </w:tcPr>
          <w:p w14:paraId="6E3D43FC" w14:textId="77777777" w:rsidR="009F1E8E" w:rsidRPr="001961AA" w:rsidRDefault="009F1E8E" w:rsidP="009F1E8E">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Charging points (CPE)</w:t>
            </w:r>
          </w:p>
        </w:tc>
        <w:tc>
          <w:tcPr>
            <w:tcW w:w="1022" w:type="dxa"/>
            <w:tcBorders>
              <w:top w:val="nil"/>
              <w:left w:val="nil"/>
              <w:bottom w:val="single" w:sz="4" w:space="0" w:color="auto"/>
              <w:right w:val="single" w:sz="4" w:space="0" w:color="auto"/>
            </w:tcBorders>
            <w:shd w:val="clear" w:color="auto" w:fill="C6EFCE"/>
            <w:noWrap/>
            <w:vAlign w:val="center"/>
          </w:tcPr>
          <w:p w14:paraId="3F6607B8" w14:textId="77777777" w:rsidR="009F1E8E" w:rsidRPr="001961AA" w:rsidRDefault="009F1E8E" w:rsidP="009F1E8E">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0</w:t>
            </w:r>
          </w:p>
        </w:tc>
        <w:tc>
          <w:tcPr>
            <w:tcW w:w="850" w:type="dxa"/>
            <w:tcBorders>
              <w:top w:val="nil"/>
              <w:left w:val="nil"/>
              <w:bottom w:val="single" w:sz="4" w:space="0" w:color="auto"/>
              <w:right w:val="single" w:sz="4" w:space="0" w:color="auto"/>
            </w:tcBorders>
            <w:shd w:val="clear" w:color="auto" w:fill="C6EFCE"/>
            <w:noWrap/>
            <w:vAlign w:val="center"/>
          </w:tcPr>
          <w:p w14:paraId="4842EA58" w14:textId="7BA2B864" w:rsidR="009F1E8E" w:rsidRPr="001961AA" w:rsidRDefault="009F1E8E" w:rsidP="009F1E8E">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8 460</w:t>
            </w:r>
          </w:p>
        </w:tc>
        <w:tc>
          <w:tcPr>
            <w:tcW w:w="1248" w:type="dxa"/>
            <w:tcBorders>
              <w:top w:val="nil"/>
              <w:left w:val="nil"/>
              <w:bottom w:val="single" w:sz="4" w:space="0" w:color="auto"/>
              <w:right w:val="single" w:sz="4" w:space="0" w:color="auto"/>
            </w:tcBorders>
            <w:shd w:val="clear" w:color="auto" w:fill="C6EFCE"/>
            <w:noWrap/>
            <w:vAlign w:val="center"/>
          </w:tcPr>
          <w:p w14:paraId="4A251D44" w14:textId="77777777" w:rsidR="009F1E8E" w:rsidRPr="001961AA" w:rsidRDefault="009F1E8E" w:rsidP="009F1E8E">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Q2</w:t>
            </w:r>
          </w:p>
        </w:tc>
        <w:tc>
          <w:tcPr>
            <w:tcW w:w="720" w:type="dxa"/>
            <w:tcBorders>
              <w:top w:val="nil"/>
              <w:left w:val="nil"/>
              <w:bottom w:val="single" w:sz="4" w:space="0" w:color="auto"/>
              <w:right w:val="single" w:sz="4" w:space="0" w:color="auto"/>
            </w:tcBorders>
            <w:shd w:val="clear" w:color="auto" w:fill="C6EFCE"/>
            <w:noWrap/>
            <w:vAlign w:val="center"/>
          </w:tcPr>
          <w:p w14:paraId="0CE097BE" w14:textId="77777777" w:rsidR="009F1E8E" w:rsidRPr="001961AA" w:rsidRDefault="009F1E8E" w:rsidP="009F1E8E">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2023</w:t>
            </w:r>
          </w:p>
        </w:tc>
        <w:tc>
          <w:tcPr>
            <w:tcW w:w="3957" w:type="dxa"/>
            <w:tcBorders>
              <w:top w:val="nil"/>
              <w:left w:val="single" w:sz="4" w:space="0" w:color="auto"/>
              <w:bottom w:val="single" w:sz="4" w:space="0" w:color="auto"/>
              <w:right w:val="single" w:sz="4" w:space="0" w:color="auto"/>
            </w:tcBorders>
            <w:shd w:val="clear" w:color="auto" w:fill="C6EFCE"/>
            <w:noWrap/>
            <w:vAlign w:val="center"/>
          </w:tcPr>
          <w:p w14:paraId="654B7F02" w14:textId="77777777" w:rsidR="0082165C" w:rsidRPr="001961AA" w:rsidRDefault="0082165C" w:rsidP="0082165C">
            <w:pPr>
              <w:spacing w:after="120" w:line="240" w:lineRule="auto"/>
              <w:rPr>
                <w:rFonts w:ascii="Times New Roman" w:hAnsi="Times New Roman" w:cs="Times New Roman"/>
                <w:noProof/>
                <w:color w:val="006100"/>
                <w:lang w:val="en-GB"/>
              </w:rPr>
            </w:pPr>
            <w:r w:rsidRPr="001961AA">
              <w:rPr>
                <w:rFonts w:ascii="Times New Roman" w:hAnsi="Times New Roman"/>
                <w:noProof/>
                <w:color w:val="006100"/>
                <w:lang w:val="en-GB"/>
              </w:rPr>
              <w:t>Reach an additional 8 460 operational semi-public and public charging point equivalents (CPE).</w:t>
            </w:r>
          </w:p>
          <w:p w14:paraId="1C545CD3" w14:textId="5C42918C" w:rsidR="0082165C" w:rsidRPr="001961AA" w:rsidRDefault="0082165C" w:rsidP="0082165C">
            <w:pPr>
              <w:spacing w:after="120" w:line="240" w:lineRule="auto"/>
              <w:rPr>
                <w:rFonts w:ascii="Times New Roman" w:hAnsi="Times New Roman" w:cs="Times New Roman"/>
                <w:noProof/>
                <w:color w:val="006100"/>
                <w:lang w:val="en-GB"/>
              </w:rPr>
            </w:pPr>
            <w:r w:rsidRPr="001961AA">
              <w:rPr>
                <w:rFonts w:ascii="Times New Roman" w:hAnsi="Times New Roman"/>
                <w:noProof/>
                <w:color w:val="006100"/>
                <w:lang w:val="en-GB"/>
              </w:rPr>
              <w:t>This target is indicatively broken down into the following sub-targets, which do not have to be reached individually provided that the above number of charging points is achieved:</w:t>
            </w:r>
          </w:p>
          <w:p w14:paraId="6B79D01C" w14:textId="77777777" w:rsidR="0082165C" w:rsidRPr="001961AA" w:rsidRDefault="0082165C" w:rsidP="0082165C">
            <w:pPr>
              <w:spacing w:after="120" w:line="240" w:lineRule="auto"/>
              <w:rPr>
                <w:rFonts w:ascii="Times New Roman" w:hAnsi="Times New Roman" w:cs="Times New Roman"/>
                <w:noProof/>
                <w:color w:val="006100"/>
                <w:lang w:val="en-GB"/>
              </w:rPr>
            </w:pPr>
            <w:r w:rsidRPr="001961AA">
              <w:rPr>
                <w:rFonts w:ascii="Times New Roman" w:hAnsi="Times New Roman"/>
                <w:noProof/>
                <w:color w:val="006100"/>
                <w:lang w:val="en-GB"/>
              </w:rPr>
              <w:t>(i) Flemish Region (related to I-3.19): 8 100 charging points</w:t>
            </w:r>
          </w:p>
          <w:p w14:paraId="3118CCD8" w14:textId="3B31AA9F" w:rsidR="009F1E8E" w:rsidRPr="001961AA" w:rsidRDefault="0082165C" w:rsidP="0082165C">
            <w:pPr>
              <w:spacing w:after="0" w:line="240" w:lineRule="auto"/>
              <w:rPr>
                <w:rFonts w:ascii="Times New Roman" w:hAnsi="Times New Roman" w:cs="Times New Roman"/>
                <w:noProof/>
                <w:color w:val="006100"/>
                <w:lang w:val="en-GB"/>
              </w:rPr>
            </w:pPr>
            <w:r w:rsidRPr="001961AA">
              <w:rPr>
                <w:rFonts w:ascii="Times New Roman" w:hAnsi="Times New Roman"/>
                <w:noProof/>
                <w:color w:val="006100"/>
                <w:lang w:val="en-GB"/>
              </w:rPr>
              <w:t>(ii) Brussels-Capital Region (related to R-3.05): 360 charging points</w:t>
            </w:r>
          </w:p>
        </w:tc>
      </w:tr>
      <w:tr w:rsidR="00292220" w:rsidRPr="001961AA" w14:paraId="0C37DE83" w14:textId="77777777" w:rsidTr="00AA525D">
        <w:trPr>
          <w:trHeight w:val="309"/>
        </w:trPr>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D636978" w14:textId="77777777" w:rsidR="009F1E8E" w:rsidRPr="001961AA" w:rsidRDefault="009F1E8E" w:rsidP="009F1E8E">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122</w:t>
            </w:r>
          </w:p>
        </w:tc>
        <w:tc>
          <w:tcPr>
            <w:tcW w:w="1418" w:type="dxa"/>
            <w:tcBorders>
              <w:top w:val="nil"/>
              <w:left w:val="single" w:sz="4" w:space="0" w:color="auto"/>
              <w:bottom w:val="single" w:sz="4" w:space="0" w:color="auto"/>
              <w:right w:val="single" w:sz="4" w:space="0" w:color="auto"/>
            </w:tcBorders>
            <w:shd w:val="clear" w:color="auto" w:fill="C6EFCE"/>
            <w:noWrap/>
            <w:vAlign w:val="center"/>
          </w:tcPr>
          <w:p w14:paraId="29D20081" w14:textId="77777777" w:rsidR="009F1E8E" w:rsidRPr="001961AA" w:rsidRDefault="009F1E8E" w:rsidP="009F1E8E">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Charging stations (I-3F)</w:t>
            </w:r>
          </w:p>
        </w:tc>
        <w:tc>
          <w:tcPr>
            <w:tcW w:w="1134" w:type="dxa"/>
            <w:tcBorders>
              <w:top w:val="nil"/>
              <w:left w:val="nil"/>
              <w:bottom w:val="single" w:sz="4" w:space="0" w:color="auto"/>
              <w:right w:val="single" w:sz="4" w:space="0" w:color="auto"/>
            </w:tcBorders>
            <w:shd w:val="clear" w:color="auto" w:fill="C6EFCE"/>
            <w:noWrap/>
            <w:vAlign w:val="center"/>
          </w:tcPr>
          <w:p w14:paraId="786A1B84" w14:textId="746B4E63" w:rsidR="009F1E8E" w:rsidRPr="001961AA" w:rsidRDefault="009F1E8E" w:rsidP="009F1E8E">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T</w:t>
            </w:r>
          </w:p>
        </w:tc>
        <w:tc>
          <w:tcPr>
            <w:tcW w:w="1559" w:type="dxa"/>
            <w:tcBorders>
              <w:top w:val="nil"/>
              <w:left w:val="nil"/>
              <w:bottom w:val="single" w:sz="4" w:space="0" w:color="auto"/>
              <w:right w:val="single" w:sz="4" w:space="0" w:color="auto"/>
            </w:tcBorders>
            <w:shd w:val="clear" w:color="auto" w:fill="C6EFCE"/>
            <w:noWrap/>
            <w:vAlign w:val="center"/>
          </w:tcPr>
          <w:p w14:paraId="19AEA22C" w14:textId="77777777" w:rsidR="009F1E8E" w:rsidRPr="001961AA" w:rsidRDefault="009F1E8E" w:rsidP="009F1E8E">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Additional</w:t>
            </w:r>
          </w:p>
          <w:p w14:paraId="5B903857" w14:textId="77777777" w:rsidR="009F1E8E" w:rsidRPr="001961AA" w:rsidRDefault="009F1E8E" w:rsidP="009F1E8E">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operational private, semi-public and public charging points (step 2)</w:t>
            </w:r>
          </w:p>
        </w:tc>
        <w:tc>
          <w:tcPr>
            <w:tcW w:w="1442" w:type="dxa"/>
            <w:tcBorders>
              <w:top w:val="nil"/>
              <w:left w:val="nil"/>
              <w:bottom w:val="single" w:sz="4" w:space="0" w:color="auto"/>
              <w:right w:val="single" w:sz="4" w:space="0" w:color="auto"/>
            </w:tcBorders>
            <w:shd w:val="clear" w:color="auto" w:fill="C6EFCE"/>
            <w:noWrap/>
            <w:vAlign w:val="center"/>
          </w:tcPr>
          <w:p w14:paraId="46CE50F3" w14:textId="77777777" w:rsidR="009F1E8E" w:rsidRPr="001961AA" w:rsidRDefault="009F1E8E" w:rsidP="009F1E8E">
            <w:pPr>
              <w:spacing w:after="0"/>
              <w:rPr>
                <w:rFonts w:ascii="Times New Roman" w:hAnsi="Times New Roman" w:cs="Times New Roman"/>
                <w:noProof/>
                <w:color w:val="006100"/>
                <w:lang w:val="en-GB" w:eastAsia="en-GB"/>
              </w:rPr>
            </w:pPr>
          </w:p>
        </w:tc>
        <w:tc>
          <w:tcPr>
            <w:tcW w:w="1080" w:type="dxa"/>
            <w:tcBorders>
              <w:top w:val="nil"/>
              <w:left w:val="nil"/>
              <w:bottom w:val="single" w:sz="4" w:space="0" w:color="auto"/>
              <w:right w:val="single" w:sz="4" w:space="0" w:color="auto"/>
            </w:tcBorders>
            <w:shd w:val="clear" w:color="auto" w:fill="C6EFCE"/>
            <w:noWrap/>
            <w:vAlign w:val="center"/>
          </w:tcPr>
          <w:p w14:paraId="740450F7" w14:textId="77777777" w:rsidR="009F1E8E" w:rsidRPr="001961AA" w:rsidRDefault="009F1E8E" w:rsidP="009F1E8E">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Charging points (CPE)</w:t>
            </w:r>
          </w:p>
        </w:tc>
        <w:tc>
          <w:tcPr>
            <w:tcW w:w="1022" w:type="dxa"/>
            <w:tcBorders>
              <w:top w:val="nil"/>
              <w:left w:val="nil"/>
              <w:bottom w:val="single" w:sz="4" w:space="0" w:color="auto"/>
              <w:right w:val="single" w:sz="4" w:space="0" w:color="auto"/>
            </w:tcBorders>
            <w:shd w:val="clear" w:color="auto" w:fill="C6EFCE"/>
            <w:noWrap/>
            <w:vAlign w:val="center"/>
          </w:tcPr>
          <w:p w14:paraId="60295F05" w14:textId="0D20D92F" w:rsidR="009F1E8E" w:rsidRPr="001961AA" w:rsidRDefault="009F1E8E" w:rsidP="009F1E8E">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8 460</w:t>
            </w:r>
          </w:p>
        </w:tc>
        <w:tc>
          <w:tcPr>
            <w:tcW w:w="850" w:type="dxa"/>
            <w:tcBorders>
              <w:top w:val="nil"/>
              <w:left w:val="nil"/>
              <w:bottom w:val="single" w:sz="4" w:space="0" w:color="auto"/>
              <w:right w:val="single" w:sz="4" w:space="0" w:color="auto"/>
            </w:tcBorders>
            <w:shd w:val="clear" w:color="auto" w:fill="C6EFCE"/>
            <w:noWrap/>
            <w:vAlign w:val="center"/>
          </w:tcPr>
          <w:p w14:paraId="6211B7B1" w14:textId="5BEC6D3F" w:rsidR="009F1E8E" w:rsidRPr="001961AA" w:rsidRDefault="009F1E8E" w:rsidP="009F1E8E">
            <w:pPr>
              <w:spacing w:after="0"/>
              <w:rPr>
                <w:rFonts w:ascii="Times New Roman" w:hAnsi="Times New Roman" w:cs="Times New Roman"/>
                <w:noProof/>
                <w:color w:val="006100"/>
                <w:lang w:val="en-GB"/>
              </w:rPr>
            </w:pPr>
            <w:r w:rsidRPr="001961AA">
              <w:rPr>
                <w:rFonts w:ascii="Times New Roman" w:hAnsi="Times New Roman"/>
                <w:noProof/>
                <w:color w:val="006100"/>
                <w:lang w:val="en-GB"/>
              </w:rPr>
              <w:t>20 160</w:t>
            </w:r>
          </w:p>
        </w:tc>
        <w:tc>
          <w:tcPr>
            <w:tcW w:w="1248" w:type="dxa"/>
            <w:tcBorders>
              <w:top w:val="nil"/>
              <w:left w:val="nil"/>
              <w:bottom w:val="single" w:sz="4" w:space="0" w:color="auto"/>
              <w:right w:val="single" w:sz="4" w:space="0" w:color="auto"/>
            </w:tcBorders>
            <w:shd w:val="clear" w:color="auto" w:fill="C6EFCE"/>
            <w:noWrap/>
            <w:vAlign w:val="center"/>
          </w:tcPr>
          <w:p w14:paraId="5CC0E2B5" w14:textId="77777777" w:rsidR="009F1E8E" w:rsidRPr="001961AA" w:rsidRDefault="009F1E8E" w:rsidP="009F1E8E">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Q2-</w:t>
            </w:r>
          </w:p>
        </w:tc>
        <w:tc>
          <w:tcPr>
            <w:tcW w:w="720" w:type="dxa"/>
            <w:tcBorders>
              <w:top w:val="nil"/>
              <w:left w:val="nil"/>
              <w:bottom w:val="single" w:sz="4" w:space="0" w:color="auto"/>
              <w:right w:val="single" w:sz="4" w:space="0" w:color="auto"/>
            </w:tcBorders>
            <w:shd w:val="clear" w:color="auto" w:fill="C6EFCE"/>
            <w:noWrap/>
            <w:vAlign w:val="center"/>
          </w:tcPr>
          <w:p w14:paraId="6EC618AF" w14:textId="77777777" w:rsidR="009F1E8E" w:rsidRPr="001961AA" w:rsidRDefault="009F1E8E" w:rsidP="009F1E8E">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2025</w:t>
            </w:r>
          </w:p>
        </w:tc>
        <w:tc>
          <w:tcPr>
            <w:tcW w:w="3957" w:type="dxa"/>
            <w:tcBorders>
              <w:top w:val="nil"/>
              <w:left w:val="single" w:sz="4" w:space="0" w:color="auto"/>
              <w:bottom w:val="single" w:sz="4" w:space="0" w:color="auto"/>
              <w:right w:val="single" w:sz="4" w:space="0" w:color="auto"/>
            </w:tcBorders>
            <w:shd w:val="clear" w:color="auto" w:fill="C6EFCE"/>
            <w:noWrap/>
            <w:vAlign w:val="center"/>
          </w:tcPr>
          <w:p w14:paraId="77127B2A" w14:textId="77777777" w:rsidR="009F1E8E" w:rsidRPr="001961AA" w:rsidRDefault="009F1E8E" w:rsidP="009F1E8E">
            <w:pPr>
              <w:spacing w:after="120" w:line="240" w:lineRule="auto"/>
              <w:rPr>
                <w:rFonts w:ascii="Times New Roman" w:hAnsi="Times New Roman" w:cs="Times New Roman"/>
                <w:noProof/>
                <w:color w:val="006100"/>
                <w:lang w:val="en-GB"/>
              </w:rPr>
            </w:pPr>
            <w:r w:rsidRPr="001961AA">
              <w:rPr>
                <w:rFonts w:ascii="Times New Roman" w:hAnsi="Times New Roman"/>
                <w:noProof/>
                <w:color w:val="006100"/>
                <w:lang w:val="en-GB"/>
              </w:rPr>
              <w:t>Reach 20 160 additional operational private, semi-public and public charging point equivalents (CPE).</w:t>
            </w:r>
          </w:p>
          <w:p w14:paraId="74F54556" w14:textId="00D691F6" w:rsidR="00B20BF6" w:rsidRPr="001961AA" w:rsidRDefault="00B20BF6" w:rsidP="00B20BF6">
            <w:pPr>
              <w:spacing w:after="120" w:line="240" w:lineRule="auto"/>
              <w:rPr>
                <w:rFonts w:ascii="Times New Roman" w:hAnsi="Times New Roman" w:cs="Times New Roman"/>
                <w:noProof/>
                <w:color w:val="006100"/>
                <w:lang w:val="en-GB"/>
              </w:rPr>
            </w:pPr>
            <w:r w:rsidRPr="001961AA">
              <w:rPr>
                <w:rFonts w:ascii="Times New Roman" w:hAnsi="Times New Roman"/>
                <w:noProof/>
                <w:color w:val="006100"/>
                <w:lang w:val="en-GB"/>
              </w:rPr>
              <w:t>This target is indicatively broken down into the following sub-targets, which do not have to be reached individually provided that the above number of charging points is achieved:</w:t>
            </w:r>
          </w:p>
          <w:p w14:paraId="4CF0EA94" w14:textId="6C1B86E6" w:rsidR="009F1E8E" w:rsidRPr="001961AA" w:rsidRDefault="009F1E8E" w:rsidP="009F1E8E">
            <w:pPr>
              <w:spacing w:after="0" w:line="240" w:lineRule="auto"/>
              <w:rPr>
                <w:rFonts w:ascii="Times New Roman" w:hAnsi="Times New Roman" w:cs="Times New Roman"/>
                <w:noProof/>
                <w:color w:val="006100"/>
                <w:lang w:val="en-GB"/>
              </w:rPr>
            </w:pPr>
            <w:r w:rsidRPr="001961AA">
              <w:rPr>
                <w:rFonts w:ascii="Times New Roman" w:hAnsi="Times New Roman"/>
                <w:noProof/>
                <w:color w:val="006100"/>
                <w:lang w:val="en-GB"/>
              </w:rPr>
              <w:t>(i) Flemish Region (related to I-3.19): 19 800 charging points</w:t>
            </w:r>
          </w:p>
          <w:p w14:paraId="60327ED0" w14:textId="5E408CC7" w:rsidR="009F1E8E" w:rsidRPr="001961AA" w:rsidRDefault="009F1E8E" w:rsidP="009F1E8E">
            <w:pPr>
              <w:spacing w:after="0" w:line="240" w:lineRule="auto"/>
              <w:rPr>
                <w:rFonts w:ascii="Times New Roman" w:hAnsi="Times New Roman" w:cs="Times New Roman"/>
                <w:noProof/>
                <w:color w:val="375623"/>
                <w:lang w:val="en-GB"/>
              </w:rPr>
            </w:pPr>
            <w:r w:rsidRPr="001961AA">
              <w:rPr>
                <w:rFonts w:ascii="Times New Roman" w:hAnsi="Times New Roman"/>
                <w:noProof/>
                <w:color w:val="006100"/>
                <w:lang w:val="en-GB"/>
              </w:rPr>
              <w:t>(ii) Brussels-Capital Region (related to R-3.05): 360</w:t>
            </w:r>
          </w:p>
        </w:tc>
      </w:tr>
      <w:tr w:rsidR="00292220" w:rsidRPr="001961AA" w14:paraId="6E809836" w14:textId="77777777" w:rsidTr="00AA525D">
        <w:trPr>
          <w:trHeight w:val="309"/>
        </w:trPr>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65FFF1C" w14:textId="77777777" w:rsidR="009F1E8E" w:rsidRPr="001961AA" w:rsidRDefault="009F1E8E" w:rsidP="009F1E8E">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123</w:t>
            </w:r>
          </w:p>
        </w:tc>
        <w:tc>
          <w:tcPr>
            <w:tcW w:w="1418" w:type="dxa"/>
            <w:tcBorders>
              <w:top w:val="nil"/>
              <w:left w:val="single" w:sz="4" w:space="0" w:color="auto"/>
              <w:bottom w:val="single" w:sz="4" w:space="0" w:color="auto"/>
              <w:right w:val="single" w:sz="4" w:space="0" w:color="auto"/>
            </w:tcBorders>
            <w:shd w:val="clear" w:color="auto" w:fill="C6EFCE"/>
            <w:noWrap/>
            <w:vAlign w:val="center"/>
          </w:tcPr>
          <w:p w14:paraId="3BCAC5DD" w14:textId="77777777" w:rsidR="009F1E8E" w:rsidRPr="001961AA" w:rsidRDefault="009F1E8E" w:rsidP="009F1E8E">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Charging stations (I-3F)</w:t>
            </w:r>
          </w:p>
        </w:tc>
        <w:tc>
          <w:tcPr>
            <w:tcW w:w="1134" w:type="dxa"/>
            <w:tcBorders>
              <w:top w:val="nil"/>
              <w:left w:val="nil"/>
              <w:bottom w:val="single" w:sz="4" w:space="0" w:color="auto"/>
              <w:right w:val="single" w:sz="4" w:space="0" w:color="auto"/>
            </w:tcBorders>
            <w:shd w:val="clear" w:color="auto" w:fill="C6EFCE"/>
            <w:noWrap/>
            <w:vAlign w:val="center"/>
          </w:tcPr>
          <w:p w14:paraId="6D159051" w14:textId="70517651" w:rsidR="009F1E8E" w:rsidRPr="001961AA" w:rsidRDefault="009F1E8E" w:rsidP="009F1E8E">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T</w:t>
            </w:r>
          </w:p>
        </w:tc>
        <w:tc>
          <w:tcPr>
            <w:tcW w:w="1559" w:type="dxa"/>
            <w:tcBorders>
              <w:top w:val="nil"/>
              <w:left w:val="nil"/>
              <w:bottom w:val="single" w:sz="4" w:space="0" w:color="auto"/>
              <w:right w:val="single" w:sz="4" w:space="0" w:color="auto"/>
            </w:tcBorders>
            <w:shd w:val="clear" w:color="auto" w:fill="C6EFCE"/>
            <w:noWrap/>
            <w:vAlign w:val="center"/>
          </w:tcPr>
          <w:p w14:paraId="2B418CA7" w14:textId="6B9E450C" w:rsidR="009F1E8E" w:rsidRPr="001961AA" w:rsidRDefault="009F1E8E" w:rsidP="009F1E8E">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Additional operational private, semi-public and public charging points (step 3)</w:t>
            </w:r>
          </w:p>
        </w:tc>
        <w:tc>
          <w:tcPr>
            <w:tcW w:w="1442" w:type="dxa"/>
            <w:tcBorders>
              <w:top w:val="nil"/>
              <w:left w:val="nil"/>
              <w:bottom w:val="single" w:sz="4" w:space="0" w:color="auto"/>
              <w:right w:val="single" w:sz="4" w:space="0" w:color="auto"/>
            </w:tcBorders>
            <w:shd w:val="clear" w:color="auto" w:fill="C6EFCE"/>
            <w:noWrap/>
            <w:vAlign w:val="center"/>
          </w:tcPr>
          <w:p w14:paraId="0CBDBC83" w14:textId="77777777" w:rsidR="009F1E8E" w:rsidRPr="001961AA" w:rsidRDefault="009F1E8E" w:rsidP="009F1E8E">
            <w:pPr>
              <w:spacing w:after="0"/>
              <w:rPr>
                <w:rFonts w:ascii="Times New Roman" w:hAnsi="Times New Roman" w:cs="Times New Roman"/>
                <w:noProof/>
                <w:color w:val="006100"/>
                <w:lang w:val="en-GB" w:eastAsia="en-GB"/>
              </w:rPr>
            </w:pPr>
          </w:p>
        </w:tc>
        <w:tc>
          <w:tcPr>
            <w:tcW w:w="1080" w:type="dxa"/>
            <w:tcBorders>
              <w:top w:val="nil"/>
              <w:left w:val="nil"/>
              <w:bottom w:val="single" w:sz="4" w:space="0" w:color="auto"/>
              <w:right w:val="single" w:sz="4" w:space="0" w:color="auto"/>
            </w:tcBorders>
            <w:shd w:val="clear" w:color="auto" w:fill="C6EFCE"/>
            <w:noWrap/>
            <w:vAlign w:val="center"/>
          </w:tcPr>
          <w:p w14:paraId="65F598E5" w14:textId="77777777" w:rsidR="009F1E8E" w:rsidRPr="001961AA" w:rsidRDefault="009F1E8E" w:rsidP="009F1E8E">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Charging points (CPE)</w:t>
            </w:r>
          </w:p>
        </w:tc>
        <w:tc>
          <w:tcPr>
            <w:tcW w:w="1022" w:type="dxa"/>
            <w:tcBorders>
              <w:top w:val="nil"/>
              <w:left w:val="nil"/>
              <w:bottom w:val="single" w:sz="4" w:space="0" w:color="auto"/>
              <w:right w:val="single" w:sz="4" w:space="0" w:color="auto"/>
            </w:tcBorders>
            <w:shd w:val="clear" w:color="auto" w:fill="C6EFCE"/>
            <w:noWrap/>
            <w:vAlign w:val="center"/>
          </w:tcPr>
          <w:p w14:paraId="19F788F2" w14:textId="16B88EF4" w:rsidR="009F1E8E" w:rsidRPr="001961AA" w:rsidRDefault="009F1E8E" w:rsidP="009F1E8E">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20 160</w:t>
            </w:r>
          </w:p>
        </w:tc>
        <w:tc>
          <w:tcPr>
            <w:tcW w:w="850" w:type="dxa"/>
            <w:tcBorders>
              <w:top w:val="nil"/>
              <w:left w:val="nil"/>
              <w:bottom w:val="single" w:sz="4" w:space="0" w:color="auto"/>
              <w:right w:val="single" w:sz="4" w:space="0" w:color="auto"/>
            </w:tcBorders>
            <w:shd w:val="clear" w:color="auto" w:fill="C6EFCE"/>
            <w:noWrap/>
            <w:vAlign w:val="center"/>
          </w:tcPr>
          <w:p w14:paraId="5F5382D4" w14:textId="4150DFD0" w:rsidR="009F1E8E" w:rsidRPr="001961AA" w:rsidRDefault="009F1E8E" w:rsidP="009F1E8E">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68 579</w:t>
            </w:r>
          </w:p>
        </w:tc>
        <w:tc>
          <w:tcPr>
            <w:tcW w:w="1248" w:type="dxa"/>
            <w:tcBorders>
              <w:top w:val="nil"/>
              <w:left w:val="nil"/>
              <w:bottom w:val="single" w:sz="4" w:space="0" w:color="auto"/>
              <w:right w:val="single" w:sz="4" w:space="0" w:color="auto"/>
            </w:tcBorders>
            <w:shd w:val="clear" w:color="auto" w:fill="C6EFCE"/>
            <w:noWrap/>
            <w:vAlign w:val="center"/>
          </w:tcPr>
          <w:p w14:paraId="21CEF15C" w14:textId="77777777" w:rsidR="009F1E8E" w:rsidRPr="001961AA" w:rsidRDefault="009F1E8E" w:rsidP="009F1E8E">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Q2</w:t>
            </w:r>
          </w:p>
        </w:tc>
        <w:tc>
          <w:tcPr>
            <w:tcW w:w="720" w:type="dxa"/>
            <w:tcBorders>
              <w:top w:val="nil"/>
              <w:left w:val="nil"/>
              <w:bottom w:val="single" w:sz="4" w:space="0" w:color="auto"/>
              <w:right w:val="single" w:sz="4" w:space="0" w:color="auto"/>
            </w:tcBorders>
            <w:shd w:val="clear" w:color="auto" w:fill="C6EFCE"/>
            <w:noWrap/>
            <w:vAlign w:val="center"/>
          </w:tcPr>
          <w:p w14:paraId="1B0E10F2" w14:textId="77777777" w:rsidR="009F1E8E" w:rsidRPr="001961AA" w:rsidRDefault="009F1E8E" w:rsidP="009F1E8E">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2026</w:t>
            </w:r>
          </w:p>
        </w:tc>
        <w:tc>
          <w:tcPr>
            <w:tcW w:w="3957" w:type="dxa"/>
            <w:tcBorders>
              <w:top w:val="nil"/>
              <w:left w:val="single" w:sz="4" w:space="0" w:color="auto"/>
              <w:bottom w:val="single" w:sz="4" w:space="0" w:color="auto"/>
              <w:right w:val="single" w:sz="4" w:space="0" w:color="auto"/>
            </w:tcBorders>
            <w:shd w:val="clear" w:color="auto" w:fill="C6EFCE"/>
            <w:noWrap/>
            <w:vAlign w:val="center"/>
          </w:tcPr>
          <w:p w14:paraId="7ADF6B65" w14:textId="77777777" w:rsidR="009F1E8E" w:rsidRPr="001961AA" w:rsidRDefault="009F1E8E" w:rsidP="009F1E8E">
            <w:pPr>
              <w:spacing w:after="0" w:line="240" w:lineRule="auto"/>
              <w:rPr>
                <w:rFonts w:ascii="Times New Roman" w:hAnsi="Times New Roman" w:cs="Times New Roman"/>
                <w:noProof/>
                <w:color w:val="006100"/>
                <w:lang w:val="en-GB"/>
              </w:rPr>
            </w:pPr>
            <w:r w:rsidRPr="001961AA">
              <w:rPr>
                <w:rFonts w:ascii="Times New Roman" w:hAnsi="Times New Roman"/>
                <w:noProof/>
                <w:color w:val="006100"/>
                <w:lang w:val="en-GB"/>
              </w:rPr>
              <w:t>Reach 68 579 additional operational private, semi-public and public charging point equivalents (CPE).</w:t>
            </w:r>
          </w:p>
          <w:p w14:paraId="6827F501" w14:textId="77777777" w:rsidR="009F1E8E" w:rsidRPr="001961AA" w:rsidRDefault="009F1E8E" w:rsidP="009F1E8E">
            <w:pPr>
              <w:spacing w:after="0" w:line="240" w:lineRule="auto"/>
              <w:rPr>
                <w:rFonts w:ascii="Times New Roman" w:hAnsi="Times New Roman" w:cs="Times New Roman"/>
                <w:noProof/>
                <w:color w:val="006100"/>
                <w:lang w:val="en-GB"/>
              </w:rPr>
            </w:pPr>
          </w:p>
          <w:p w14:paraId="40534028" w14:textId="42AA45A3" w:rsidR="00673806" w:rsidRPr="001961AA" w:rsidRDefault="00673806" w:rsidP="00673806">
            <w:pPr>
              <w:spacing w:after="120" w:line="240" w:lineRule="auto"/>
              <w:rPr>
                <w:rFonts w:ascii="Times New Roman" w:hAnsi="Times New Roman" w:cs="Times New Roman"/>
                <w:noProof/>
                <w:color w:val="006100"/>
                <w:lang w:val="en-GB"/>
              </w:rPr>
            </w:pPr>
            <w:r w:rsidRPr="001961AA">
              <w:rPr>
                <w:rFonts w:ascii="Times New Roman" w:hAnsi="Times New Roman"/>
                <w:noProof/>
                <w:color w:val="006100"/>
                <w:lang w:val="en-GB"/>
              </w:rPr>
              <w:t>This target is indicatively broken down into the following sub-targets, which do not have to be reached individually provided that the above number of charging points is achieved:</w:t>
            </w:r>
          </w:p>
          <w:p w14:paraId="232FB417" w14:textId="77777777" w:rsidR="009F1E8E" w:rsidRPr="001961AA" w:rsidRDefault="009F1E8E" w:rsidP="009F1E8E">
            <w:pPr>
              <w:spacing w:after="0" w:line="240" w:lineRule="auto"/>
              <w:rPr>
                <w:rFonts w:ascii="Times New Roman" w:hAnsi="Times New Roman" w:cs="Times New Roman"/>
                <w:noProof/>
                <w:color w:val="006100"/>
                <w:lang w:val="en-GB"/>
              </w:rPr>
            </w:pPr>
            <w:r w:rsidRPr="001961AA">
              <w:rPr>
                <w:rFonts w:ascii="Times New Roman" w:hAnsi="Times New Roman"/>
                <w:noProof/>
                <w:color w:val="006100"/>
                <w:lang w:val="en-GB"/>
              </w:rPr>
              <w:t>(i) Federal level (related to I-3.18): 36 511 charging points</w:t>
            </w:r>
          </w:p>
          <w:p w14:paraId="781C9A76" w14:textId="77777777" w:rsidR="009F1E8E" w:rsidRPr="001961AA" w:rsidRDefault="009F1E8E" w:rsidP="009F1E8E">
            <w:pPr>
              <w:spacing w:after="0" w:line="240" w:lineRule="auto"/>
              <w:rPr>
                <w:rFonts w:ascii="Times New Roman" w:hAnsi="Times New Roman" w:cs="Times New Roman"/>
                <w:noProof/>
                <w:color w:val="006100"/>
                <w:lang w:val="en-GB"/>
              </w:rPr>
            </w:pPr>
            <w:r w:rsidRPr="001961AA">
              <w:rPr>
                <w:rFonts w:ascii="Times New Roman" w:hAnsi="Times New Roman"/>
                <w:noProof/>
                <w:color w:val="006100"/>
                <w:lang w:val="en-GB"/>
              </w:rPr>
              <w:t xml:space="preserve">(ii) Flemish Region (related to I-3.19): 27 000 charging points </w:t>
            </w:r>
          </w:p>
          <w:p w14:paraId="7C5EA556" w14:textId="77777777" w:rsidR="009F1E8E" w:rsidRPr="001961AA" w:rsidRDefault="009F1E8E" w:rsidP="009F1E8E">
            <w:pPr>
              <w:spacing w:after="0" w:line="240" w:lineRule="auto"/>
              <w:rPr>
                <w:rFonts w:ascii="Times New Roman" w:hAnsi="Times New Roman" w:cs="Times New Roman"/>
                <w:noProof/>
                <w:color w:val="006100"/>
                <w:lang w:val="en-GB"/>
              </w:rPr>
            </w:pPr>
            <w:r w:rsidRPr="001961AA">
              <w:rPr>
                <w:rFonts w:ascii="Times New Roman" w:hAnsi="Times New Roman"/>
                <w:noProof/>
                <w:color w:val="006100"/>
                <w:lang w:val="en-GB"/>
              </w:rPr>
              <w:t>(iii) Walloon Region (related to R-3.04): 4 708 charging points</w:t>
            </w:r>
          </w:p>
          <w:p w14:paraId="0B950229" w14:textId="15DE1E78" w:rsidR="009F1E8E" w:rsidRPr="001961AA" w:rsidRDefault="009F1E8E" w:rsidP="009F1E8E">
            <w:pPr>
              <w:spacing w:after="0" w:line="240" w:lineRule="auto"/>
              <w:rPr>
                <w:rFonts w:ascii="Times New Roman" w:hAnsi="Times New Roman" w:cs="Times New Roman"/>
                <w:noProof/>
                <w:color w:val="006100"/>
                <w:lang w:val="en-GB"/>
              </w:rPr>
            </w:pPr>
            <w:r w:rsidRPr="001961AA">
              <w:rPr>
                <w:rFonts w:ascii="Times New Roman" w:hAnsi="Times New Roman"/>
                <w:noProof/>
                <w:color w:val="006100"/>
                <w:lang w:val="en-GB"/>
              </w:rPr>
              <w:t>(iv) Brussels-Capital Region (related to R-3.05): 360 charging points</w:t>
            </w:r>
          </w:p>
        </w:tc>
      </w:tr>
      <w:tr w:rsidR="00292220" w:rsidRPr="001961AA" w14:paraId="029CEB12" w14:textId="77777777" w:rsidTr="00AA525D">
        <w:trPr>
          <w:trHeight w:val="309"/>
        </w:trPr>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65C4E18" w14:textId="77777777" w:rsidR="009F1E8E" w:rsidRPr="001961AA" w:rsidRDefault="009F1E8E" w:rsidP="009F1E8E">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124</w:t>
            </w:r>
          </w:p>
        </w:tc>
        <w:tc>
          <w:tcPr>
            <w:tcW w:w="1418" w:type="dxa"/>
            <w:tcBorders>
              <w:top w:val="nil"/>
              <w:left w:val="single" w:sz="4" w:space="0" w:color="auto"/>
              <w:bottom w:val="single" w:sz="4" w:space="0" w:color="auto"/>
              <w:right w:val="single" w:sz="4" w:space="0" w:color="auto"/>
            </w:tcBorders>
            <w:shd w:val="clear" w:color="auto" w:fill="C6EFCE"/>
            <w:noWrap/>
            <w:vAlign w:val="center"/>
          </w:tcPr>
          <w:p w14:paraId="2E2CDFF0" w14:textId="77777777" w:rsidR="009F1E8E" w:rsidRPr="001961AA" w:rsidRDefault="009F1E8E" w:rsidP="009F1E8E">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Emission fraud (R-3.07)</w:t>
            </w:r>
          </w:p>
        </w:tc>
        <w:tc>
          <w:tcPr>
            <w:tcW w:w="1134" w:type="dxa"/>
            <w:tcBorders>
              <w:top w:val="nil"/>
              <w:left w:val="nil"/>
              <w:bottom w:val="single" w:sz="4" w:space="0" w:color="auto"/>
              <w:right w:val="single" w:sz="4" w:space="0" w:color="auto"/>
            </w:tcBorders>
            <w:shd w:val="clear" w:color="auto" w:fill="C6EFCE"/>
            <w:noWrap/>
            <w:vAlign w:val="center"/>
          </w:tcPr>
          <w:p w14:paraId="0A97BF46" w14:textId="7009FD78" w:rsidR="009F1E8E" w:rsidRPr="001961AA" w:rsidRDefault="009F1E8E" w:rsidP="009F1E8E">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M</w:t>
            </w:r>
          </w:p>
        </w:tc>
        <w:tc>
          <w:tcPr>
            <w:tcW w:w="1559" w:type="dxa"/>
            <w:tcBorders>
              <w:top w:val="nil"/>
              <w:left w:val="nil"/>
              <w:bottom w:val="single" w:sz="4" w:space="0" w:color="auto"/>
              <w:right w:val="single" w:sz="4" w:space="0" w:color="auto"/>
            </w:tcBorders>
            <w:shd w:val="clear" w:color="auto" w:fill="C6EFCE"/>
            <w:noWrap/>
            <w:vAlign w:val="center"/>
          </w:tcPr>
          <w:p w14:paraId="7A91A609" w14:textId="77777777" w:rsidR="009F1E8E" w:rsidRPr="001961AA" w:rsidRDefault="009F1E8E" w:rsidP="009F1E8E">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Adoption of the legal framework for vehicle emission monitoring in Flanders</w:t>
            </w:r>
          </w:p>
        </w:tc>
        <w:tc>
          <w:tcPr>
            <w:tcW w:w="1442" w:type="dxa"/>
            <w:tcBorders>
              <w:top w:val="nil"/>
              <w:left w:val="nil"/>
              <w:bottom w:val="single" w:sz="4" w:space="0" w:color="auto"/>
              <w:right w:val="single" w:sz="4" w:space="0" w:color="auto"/>
            </w:tcBorders>
            <w:shd w:val="clear" w:color="auto" w:fill="C6EFCE"/>
            <w:noWrap/>
            <w:vAlign w:val="center"/>
          </w:tcPr>
          <w:p w14:paraId="409B9DA8" w14:textId="77777777" w:rsidR="009F1E8E" w:rsidRPr="001961AA" w:rsidRDefault="009F1E8E" w:rsidP="009F1E8E">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Adoption of the legal framework</w:t>
            </w:r>
          </w:p>
        </w:tc>
        <w:tc>
          <w:tcPr>
            <w:tcW w:w="1080" w:type="dxa"/>
            <w:tcBorders>
              <w:top w:val="nil"/>
              <w:left w:val="nil"/>
              <w:bottom w:val="single" w:sz="4" w:space="0" w:color="auto"/>
              <w:right w:val="single" w:sz="4" w:space="0" w:color="auto"/>
            </w:tcBorders>
            <w:shd w:val="clear" w:color="auto" w:fill="C6EFCE"/>
            <w:noWrap/>
            <w:vAlign w:val="center"/>
          </w:tcPr>
          <w:p w14:paraId="2CFC0F92" w14:textId="10AA97E8" w:rsidR="009F1E8E" w:rsidRPr="001961AA" w:rsidRDefault="009F1E8E" w:rsidP="009F1E8E">
            <w:pPr>
              <w:spacing w:after="0"/>
              <w:rPr>
                <w:rFonts w:ascii="Times New Roman" w:eastAsia="Times New Roman" w:hAnsi="Times New Roman" w:cs="Times New Roman"/>
                <w:noProof/>
                <w:color w:val="006100"/>
                <w:lang w:val="en-GB" w:eastAsia="en-GB"/>
              </w:rPr>
            </w:pPr>
          </w:p>
        </w:tc>
        <w:tc>
          <w:tcPr>
            <w:tcW w:w="1022" w:type="dxa"/>
            <w:tcBorders>
              <w:top w:val="nil"/>
              <w:left w:val="nil"/>
              <w:bottom w:val="single" w:sz="4" w:space="0" w:color="auto"/>
              <w:right w:val="single" w:sz="4" w:space="0" w:color="auto"/>
            </w:tcBorders>
            <w:shd w:val="clear" w:color="auto" w:fill="C6EFCE"/>
            <w:noWrap/>
            <w:vAlign w:val="center"/>
          </w:tcPr>
          <w:p w14:paraId="5CEE3033" w14:textId="2D73E4CB" w:rsidR="009F1E8E" w:rsidRPr="001961AA" w:rsidRDefault="009F1E8E" w:rsidP="009F1E8E">
            <w:pPr>
              <w:spacing w:after="0"/>
              <w:rPr>
                <w:rFonts w:ascii="Times New Roman" w:eastAsia="Times New Roman" w:hAnsi="Times New Roman" w:cs="Times New Roman"/>
                <w:noProof/>
                <w:color w:val="006100"/>
                <w:lang w:val="en-GB" w:eastAsia="en-GB"/>
              </w:rPr>
            </w:pPr>
          </w:p>
        </w:tc>
        <w:tc>
          <w:tcPr>
            <w:tcW w:w="850" w:type="dxa"/>
            <w:tcBorders>
              <w:top w:val="nil"/>
              <w:left w:val="nil"/>
              <w:bottom w:val="single" w:sz="4" w:space="0" w:color="auto"/>
              <w:right w:val="single" w:sz="4" w:space="0" w:color="auto"/>
            </w:tcBorders>
            <w:shd w:val="clear" w:color="auto" w:fill="C6EFCE"/>
            <w:noWrap/>
            <w:vAlign w:val="center"/>
          </w:tcPr>
          <w:p w14:paraId="38BBFE67" w14:textId="39CCD4C9" w:rsidR="009F1E8E" w:rsidRPr="001961AA" w:rsidRDefault="009F1E8E" w:rsidP="009F1E8E">
            <w:pPr>
              <w:spacing w:after="0"/>
              <w:rPr>
                <w:rFonts w:ascii="Times New Roman" w:eastAsia="Times New Roman" w:hAnsi="Times New Roman" w:cs="Times New Roman"/>
                <w:noProof/>
                <w:color w:val="006100"/>
                <w:lang w:val="en-GB" w:eastAsia="en-GB"/>
              </w:rPr>
            </w:pPr>
          </w:p>
        </w:tc>
        <w:tc>
          <w:tcPr>
            <w:tcW w:w="1248" w:type="dxa"/>
            <w:tcBorders>
              <w:top w:val="nil"/>
              <w:left w:val="nil"/>
              <w:bottom w:val="single" w:sz="4" w:space="0" w:color="auto"/>
              <w:right w:val="single" w:sz="4" w:space="0" w:color="auto"/>
            </w:tcBorders>
            <w:shd w:val="clear" w:color="auto" w:fill="C6EFCE"/>
            <w:noWrap/>
            <w:vAlign w:val="center"/>
          </w:tcPr>
          <w:p w14:paraId="1F1B8226" w14:textId="77777777" w:rsidR="009F1E8E" w:rsidRPr="001961AA" w:rsidRDefault="009F1E8E" w:rsidP="009F1E8E">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Q1</w:t>
            </w:r>
          </w:p>
        </w:tc>
        <w:tc>
          <w:tcPr>
            <w:tcW w:w="720" w:type="dxa"/>
            <w:tcBorders>
              <w:top w:val="nil"/>
              <w:left w:val="nil"/>
              <w:bottom w:val="single" w:sz="4" w:space="0" w:color="auto"/>
              <w:right w:val="single" w:sz="4" w:space="0" w:color="auto"/>
            </w:tcBorders>
            <w:shd w:val="clear" w:color="auto" w:fill="C6EFCE"/>
            <w:noWrap/>
            <w:vAlign w:val="center"/>
          </w:tcPr>
          <w:p w14:paraId="7D5C9F47" w14:textId="77777777" w:rsidR="009F1E8E" w:rsidRPr="001961AA" w:rsidRDefault="009F1E8E" w:rsidP="009F1E8E">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2023</w:t>
            </w:r>
          </w:p>
        </w:tc>
        <w:tc>
          <w:tcPr>
            <w:tcW w:w="395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5575ED3" w14:textId="77777777" w:rsidR="009F1E8E" w:rsidRPr="001961AA" w:rsidRDefault="009F1E8E" w:rsidP="009F1E8E">
            <w:pPr>
              <w:spacing w:after="0"/>
              <w:rPr>
                <w:rFonts w:ascii="Times New Roman" w:hAnsi="Times New Roman" w:cs="Times New Roman"/>
                <w:noProof/>
                <w:color w:val="006100"/>
                <w:lang w:val="en-GB"/>
              </w:rPr>
            </w:pPr>
            <w:r w:rsidRPr="001961AA">
              <w:rPr>
                <w:rFonts w:ascii="Times New Roman" w:hAnsi="Times New Roman"/>
                <w:noProof/>
                <w:color w:val="006100"/>
                <w:lang w:val="en-GB"/>
              </w:rPr>
              <w:t>Adoption of:</w:t>
            </w:r>
          </w:p>
          <w:p w14:paraId="63DDC48E" w14:textId="77777777" w:rsidR="009F1E8E" w:rsidRPr="001961AA" w:rsidRDefault="009F1E8E" w:rsidP="009F1E8E">
            <w:pPr>
              <w:spacing w:after="0"/>
              <w:rPr>
                <w:rFonts w:ascii="Times New Roman" w:hAnsi="Times New Roman" w:cs="Times New Roman"/>
                <w:noProof/>
                <w:color w:val="006100"/>
                <w:lang w:val="en-GB"/>
              </w:rPr>
            </w:pPr>
            <w:r w:rsidRPr="001961AA">
              <w:rPr>
                <w:rFonts w:ascii="Times New Roman" w:hAnsi="Times New Roman"/>
                <w:noProof/>
                <w:color w:val="006100"/>
                <w:lang w:val="en-GB"/>
              </w:rPr>
              <w:t>- Legislation required to implement a pragmatic NOx test procedure to strengthen periodic technical inspection available with aim to introduce test in Q3 2023</w:t>
            </w:r>
          </w:p>
          <w:p w14:paraId="4DCA57BF" w14:textId="77777777" w:rsidR="009F1E8E" w:rsidRPr="001961AA" w:rsidRDefault="009F1E8E" w:rsidP="009F1E8E">
            <w:pPr>
              <w:spacing w:after="0"/>
              <w:rPr>
                <w:rFonts w:ascii="Times New Roman" w:hAnsi="Times New Roman" w:cs="Times New Roman"/>
                <w:noProof/>
                <w:color w:val="006100"/>
                <w:lang w:val="en-GB"/>
              </w:rPr>
            </w:pPr>
            <w:r w:rsidRPr="001961AA">
              <w:rPr>
                <w:rFonts w:ascii="Times New Roman" w:hAnsi="Times New Roman"/>
                <w:noProof/>
                <w:color w:val="006100"/>
                <w:lang w:val="en-GB"/>
              </w:rPr>
              <w:t>- Legal enhancements to extend the scope of roadside inspections to include all vehicle types (aim: 2022)</w:t>
            </w:r>
          </w:p>
          <w:p w14:paraId="66952442" w14:textId="77777777" w:rsidR="009F1E8E" w:rsidRPr="001961AA" w:rsidRDefault="009F1E8E" w:rsidP="009F1E8E">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 New legislation: legal framework available to allow for large scale on-road vehicle emission monitoring (Remote Sensing and potentially plume chasing) and its applications for improved enforcement and policy evaluation (aim: 2022)</w:t>
            </w:r>
          </w:p>
        </w:tc>
      </w:tr>
      <w:tr w:rsidR="00292220" w:rsidRPr="001961AA" w14:paraId="134E3BCE" w14:textId="77777777" w:rsidTr="00AA525D">
        <w:trPr>
          <w:trHeight w:val="882"/>
        </w:trPr>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8F2C503" w14:textId="77777777" w:rsidR="009F1E8E" w:rsidRPr="001961AA" w:rsidRDefault="009F1E8E" w:rsidP="009F1E8E">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125</w:t>
            </w:r>
          </w:p>
        </w:tc>
        <w:tc>
          <w:tcPr>
            <w:tcW w:w="1418" w:type="dxa"/>
            <w:tcBorders>
              <w:top w:val="nil"/>
              <w:left w:val="single" w:sz="4" w:space="0" w:color="auto"/>
              <w:bottom w:val="single" w:sz="4" w:space="0" w:color="auto"/>
              <w:right w:val="single" w:sz="4" w:space="0" w:color="auto"/>
            </w:tcBorders>
            <w:shd w:val="clear" w:color="auto" w:fill="C6EFCE"/>
            <w:noWrap/>
            <w:vAlign w:val="center"/>
          </w:tcPr>
          <w:p w14:paraId="747CFC20" w14:textId="77777777" w:rsidR="009F1E8E" w:rsidRPr="001961AA" w:rsidRDefault="009F1E8E" w:rsidP="009F1E8E">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Emission fraud (R-3.07)</w:t>
            </w:r>
          </w:p>
        </w:tc>
        <w:tc>
          <w:tcPr>
            <w:tcW w:w="1134" w:type="dxa"/>
            <w:tcBorders>
              <w:top w:val="nil"/>
              <w:left w:val="nil"/>
              <w:bottom w:val="single" w:sz="4" w:space="0" w:color="auto"/>
              <w:right w:val="single" w:sz="4" w:space="0" w:color="auto"/>
            </w:tcBorders>
            <w:shd w:val="clear" w:color="auto" w:fill="C6EFCE"/>
            <w:noWrap/>
            <w:vAlign w:val="center"/>
          </w:tcPr>
          <w:p w14:paraId="79E14804" w14:textId="0DD7F1F5" w:rsidR="009F1E8E" w:rsidRPr="001961AA" w:rsidRDefault="009F1E8E" w:rsidP="009F1E8E">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M</w:t>
            </w:r>
          </w:p>
        </w:tc>
        <w:tc>
          <w:tcPr>
            <w:tcW w:w="1559" w:type="dxa"/>
            <w:tcBorders>
              <w:top w:val="nil"/>
              <w:left w:val="nil"/>
              <w:bottom w:val="single" w:sz="4" w:space="0" w:color="auto"/>
              <w:right w:val="single" w:sz="4" w:space="0" w:color="auto"/>
            </w:tcBorders>
            <w:shd w:val="clear" w:color="auto" w:fill="C6EFCE"/>
            <w:noWrap/>
            <w:vAlign w:val="center"/>
          </w:tcPr>
          <w:p w14:paraId="5294ACF9" w14:textId="77777777" w:rsidR="009F1E8E" w:rsidRPr="001961AA" w:rsidRDefault="009F1E8E" w:rsidP="009F1E8E">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IT system that integrates emission data with observations of periodic technical and road safety inspections operational</w:t>
            </w:r>
          </w:p>
        </w:tc>
        <w:tc>
          <w:tcPr>
            <w:tcW w:w="1442" w:type="dxa"/>
            <w:tcBorders>
              <w:top w:val="nil"/>
              <w:left w:val="nil"/>
              <w:bottom w:val="single" w:sz="4" w:space="0" w:color="auto"/>
              <w:right w:val="single" w:sz="4" w:space="0" w:color="auto"/>
            </w:tcBorders>
            <w:shd w:val="clear" w:color="auto" w:fill="C6EFCE"/>
            <w:noWrap/>
            <w:vAlign w:val="center"/>
          </w:tcPr>
          <w:p w14:paraId="2CBCBF79" w14:textId="77777777" w:rsidR="009F1E8E" w:rsidRPr="001961AA" w:rsidRDefault="009F1E8E" w:rsidP="009F1E8E">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Entry into service of IT system</w:t>
            </w:r>
          </w:p>
        </w:tc>
        <w:tc>
          <w:tcPr>
            <w:tcW w:w="1080" w:type="dxa"/>
            <w:tcBorders>
              <w:top w:val="nil"/>
              <w:left w:val="nil"/>
              <w:bottom w:val="single" w:sz="4" w:space="0" w:color="auto"/>
              <w:right w:val="single" w:sz="4" w:space="0" w:color="auto"/>
            </w:tcBorders>
            <w:shd w:val="clear" w:color="auto" w:fill="C6EFCE"/>
            <w:noWrap/>
            <w:vAlign w:val="center"/>
          </w:tcPr>
          <w:p w14:paraId="600A57D3" w14:textId="72A381B4" w:rsidR="009F1E8E" w:rsidRPr="001961AA" w:rsidRDefault="009F1E8E" w:rsidP="009F1E8E">
            <w:pPr>
              <w:spacing w:after="0"/>
              <w:rPr>
                <w:rFonts w:ascii="Times New Roman" w:eastAsia="Times New Roman" w:hAnsi="Times New Roman" w:cs="Times New Roman"/>
                <w:noProof/>
                <w:color w:val="006100"/>
                <w:lang w:val="en-GB" w:eastAsia="en-GB"/>
              </w:rPr>
            </w:pPr>
          </w:p>
        </w:tc>
        <w:tc>
          <w:tcPr>
            <w:tcW w:w="1022" w:type="dxa"/>
            <w:tcBorders>
              <w:top w:val="nil"/>
              <w:left w:val="nil"/>
              <w:bottom w:val="single" w:sz="4" w:space="0" w:color="auto"/>
              <w:right w:val="single" w:sz="4" w:space="0" w:color="auto"/>
            </w:tcBorders>
            <w:shd w:val="clear" w:color="auto" w:fill="C6EFCE"/>
            <w:noWrap/>
            <w:vAlign w:val="center"/>
          </w:tcPr>
          <w:p w14:paraId="07D835D0" w14:textId="20393428" w:rsidR="009F1E8E" w:rsidRPr="001961AA" w:rsidRDefault="009F1E8E" w:rsidP="009F1E8E">
            <w:pPr>
              <w:spacing w:after="0"/>
              <w:rPr>
                <w:rFonts w:ascii="Times New Roman" w:eastAsia="Times New Roman" w:hAnsi="Times New Roman" w:cs="Times New Roman"/>
                <w:noProof/>
                <w:color w:val="006100"/>
                <w:lang w:val="en-GB" w:eastAsia="en-GB"/>
              </w:rPr>
            </w:pPr>
          </w:p>
        </w:tc>
        <w:tc>
          <w:tcPr>
            <w:tcW w:w="850" w:type="dxa"/>
            <w:tcBorders>
              <w:top w:val="nil"/>
              <w:left w:val="nil"/>
              <w:bottom w:val="single" w:sz="4" w:space="0" w:color="auto"/>
              <w:right w:val="single" w:sz="4" w:space="0" w:color="auto"/>
            </w:tcBorders>
            <w:shd w:val="clear" w:color="auto" w:fill="C6EFCE"/>
            <w:noWrap/>
            <w:vAlign w:val="center"/>
          </w:tcPr>
          <w:p w14:paraId="0C951F38" w14:textId="564A712A" w:rsidR="009F1E8E" w:rsidRPr="001961AA" w:rsidRDefault="009F1E8E" w:rsidP="009F1E8E">
            <w:pPr>
              <w:spacing w:after="0"/>
              <w:rPr>
                <w:rFonts w:ascii="Times New Roman" w:eastAsia="Times New Roman" w:hAnsi="Times New Roman" w:cs="Times New Roman"/>
                <w:noProof/>
                <w:color w:val="006100"/>
                <w:lang w:val="en-GB" w:eastAsia="en-GB"/>
              </w:rPr>
            </w:pPr>
          </w:p>
        </w:tc>
        <w:tc>
          <w:tcPr>
            <w:tcW w:w="1248" w:type="dxa"/>
            <w:tcBorders>
              <w:top w:val="nil"/>
              <w:left w:val="nil"/>
              <w:bottom w:val="single" w:sz="4" w:space="0" w:color="auto"/>
              <w:right w:val="single" w:sz="4" w:space="0" w:color="auto"/>
            </w:tcBorders>
            <w:shd w:val="clear" w:color="auto" w:fill="C6EFCE"/>
            <w:noWrap/>
            <w:vAlign w:val="center"/>
          </w:tcPr>
          <w:p w14:paraId="4FDB52BA" w14:textId="77777777" w:rsidR="009F1E8E" w:rsidRPr="001961AA" w:rsidRDefault="009F1E8E" w:rsidP="009F1E8E">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Q4</w:t>
            </w:r>
          </w:p>
        </w:tc>
        <w:tc>
          <w:tcPr>
            <w:tcW w:w="720" w:type="dxa"/>
            <w:tcBorders>
              <w:top w:val="nil"/>
              <w:left w:val="nil"/>
              <w:bottom w:val="single" w:sz="4" w:space="0" w:color="auto"/>
              <w:right w:val="single" w:sz="4" w:space="0" w:color="auto"/>
            </w:tcBorders>
            <w:shd w:val="clear" w:color="auto" w:fill="C6EFCE"/>
            <w:noWrap/>
            <w:vAlign w:val="center"/>
          </w:tcPr>
          <w:p w14:paraId="2C0189EE" w14:textId="77777777" w:rsidR="009F1E8E" w:rsidRPr="001961AA" w:rsidRDefault="009F1E8E" w:rsidP="009F1E8E">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2024</w:t>
            </w:r>
          </w:p>
        </w:tc>
        <w:tc>
          <w:tcPr>
            <w:tcW w:w="3957" w:type="dxa"/>
            <w:tcBorders>
              <w:top w:val="nil"/>
              <w:left w:val="single" w:sz="4" w:space="0" w:color="auto"/>
              <w:bottom w:val="single" w:sz="4" w:space="0" w:color="auto"/>
              <w:right w:val="single" w:sz="4" w:space="0" w:color="auto"/>
            </w:tcBorders>
            <w:shd w:val="clear" w:color="auto" w:fill="C6EFCE"/>
            <w:noWrap/>
            <w:vAlign w:val="center"/>
          </w:tcPr>
          <w:p w14:paraId="52153990" w14:textId="01B61D63" w:rsidR="009F1E8E" w:rsidRPr="001961AA" w:rsidRDefault="009F1E8E" w:rsidP="009F1E8E">
            <w:pPr>
              <w:spacing w:after="0"/>
              <w:rPr>
                <w:rFonts w:ascii="Times New Roman" w:eastAsia="Times New Roman" w:hAnsi="Times New Roman" w:cs="Times New Roman"/>
                <w:noProof/>
                <w:color w:val="006100"/>
                <w:lang w:val="en-GB"/>
              </w:rPr>
            </w:pPr>
            <w:r w:rsidRPr="001961AA">
              <w:rPr>
                <w:rFonts w:ascii="Times New Roman" w:hAnsi="Times New Roman"/>
                <w:noProof/>
                <w:color w:val="375623"/>
                <w:lang w:val="en-GB"/>
              </w:rPr>
              <w:t xml:space="preserve">IT system </w:t>
            </w:r>
            <w:r w:rsidRPr="001961AA">
              <w:rPr>
                <w:rFonts w:ascii="Times New Roman" w:hAnsi="Times New Roman"/>
                <w:noProof/>
                <w:color w:val="006100"/>
                <w:lang w:val="en-GB"/>
              </w:rPr>
              <w:t>that integrates emission data with observations of periodic technical and road safety inspections ready and available for all stakeholders.</w:t>
            </w:r>
          </w:p>
        </w:tc>
      </w:tr>
      <w:tr w:rsidR="00292220" w:rsidRPr="001961AA" w14:paraId="3DCDE7CF" w14:textId="77777777" w:rsidTr="00AA525D">
        <w:trPr>
          <w:trHeight w:val="309"/>
        </w:trPr>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B59164B" w14:textId="77777777" w:rsidR="009F1E8E" w:rsidRPr="001961AA" w:rsidRDefault="009F1E8E" w:rsidP="009F1E8E">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126</w:t>
            </w:r>
          </w:p>
        </w:tc>
        <w:tc>
          <w:tcPr>
            <w:tcW w:w="1418" w:type="dxa"/>
            <w:tcBorders>
              <w:top w:val="nil"/>
              <w:left w:val="single" w:sz="4" w:space="0" w:color="auto"/>
              <w:bottom w:val="single" w:sz="4" w:space="0" w:color="auto"/>
              <w:right w:val="single" w:sz="4" w:space="0" w:color="auto"/>
            </w:tcBorders>
            <w:shd w:val="clear" w:color="auto" w:fill="C6EFCE"/>
            <w:noWrap/>
            <w:vAlign w:val="center"/>
          </w:tcPr>
          <w:p w14:paraId="63B90785" w14:textId="77777777" w:rsidR="009F1E8E" w:rsidRPr="001961AA" w:rsidRDefault="009F1E8E" w:rsidP="009F1E8E">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Zero-emission company cars (R-3.03)</w:t>
            </w:r>
          </w:p>
        </w:tc>
        <w:tc>
          <w:tcPr>
            <w:tcW w:w="1134" w:type="dxa"/>
            <w:tcBorders>
              <w:top w:val="nil"/>
              <w:left w:val="nil"/>
              <w:bottom w:val="single" w:sz="4" w:space="0" w:color="auto"/>
              <w:right w:val="single" w:sz="4" w:space="0" w:color="auto"/>
            </w:tcBorders>
            <w:shd w:val="clear" w:color="auto" w:fill="C6EFCE"/>
            <w:noWrap/>
            <w:vAlign w:val="center"/>
          </w:tcPr>
          <w:p w14:paraId="4C627612" w14:textId="5ADE4B28" w:rsidR="009F1E8E" w:rsidRPr="001961AA" w:rsidRDefault="009F1E8E" w:rsidP="009F1E8E">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M</w:t>
            </w:r>
          </w:p>
        </w:tc>
        <w:tc>
          <w:tcPr>
            <w:tcW w:w="1559" w:type="dxa"/>
            <w:tcBorders>
              <w:top w:val="nil"/>
              <w:left w:val="nil"/>
              <w:bottom w:val="single" w:sz="4" w:space="0" w:color="auto"/>
              <w:right w:val="single" w:sz="4" w:space="0" w:color="auto"/>
            </w:tcBorders>
            <w:shd w:val="clear" w:color="auto" w:fill="C6EFCE"/>
            <w:noWrap/>
            <w:vAlign w:val="center"/>
          </w:tcPr>
          <w:p w14:paraId="78587AEF" w14:textId="77777777" w:rsidR="009F1E8E" w:rsidRPr="001961AA" w:rsidRDefault="009F1E8E" w:rsidP="009F1E8E">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Adoption of the law reforming the company car tax scheme</w:t>
            </w:r>
          </w:p>
        </w:tc>
        <w:tc>
          <w:tcPr>
            <w:tcW w:w="1442" w:type="dxa"/>
            <w:tcBorders>
              <w:top w:val="nil"/>
              <w:left w:val="nil"/>
              <w:bottom w:val="single" w:sz="4" w:space="0" w:color="auto"/>
              <w:right w:val="single" w:sz="4" w:space="0" w:color="auto"/>
            </w:tcBorders>
            <w:shd w:val="clear" w:color="auto" w:fill="C6EFCE"/>
            <w:noWrap/>
            <w:vAlign w:val="center"/>
          </w:tcPr>
          <w:p w14:paraId="75712054" w14:textId="78014213" w:rsidR="009F1E8E" w:rsidRPr="001961AA" w:rsidRDefault="009F1E8E" w:rsidP="009F1E8E">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 xml:space="preserve">Adoption of the draft adaptation of the law reforming the company car tax scheme </w:t>
            </w:r>
          </w:p>
        </w:tc>
        <w:tc>
          <w:tcPr>
            <w:tcW w:w="1080" w:type="dxa"/>
            <w:tcBorders>
              <w:top w:val="nil"/>
              <w:left w:val="nil"/>
              <w:bottom w:val="single" w:sz="4" w:space="0" w:color="auto"/>
              <w:right w:val="single" w:sz="4" w:space="0" w:color="auto"/>
            </w:tcBorders>
            <w:shd w:val="clear" w:color="auto" w:fill="C6EFCE"/>
            <w:noWrap/>
            <w:vAlign w:val="center"/>
          </w:tcPr>
          <w:p w14:paraId="0FF219F3" w14:textId="62B70519" w:rsidR="009F1E8E" w:rsidRPr="001961AA" w:rsidRDefault="009F1E8E" w:rsidP="009F1E8E">
            <w:pPr>
              <w:spacing w:after="0"/>
              <w:rPr>
                <w:rFonts w:ascii="Times New Roman" w:eastAsia="Times New Roman" w:hAnsi="Times New Roman" w:cs="Times New Roman"/>
                <w:noProof/>
                <w:color w:val="006100"/>
                <w:lang w:val="en-GB" w:eastAsia="en-GB"/>
              </w:rPr>
            </w:pPr>
          </w:p>
        </w:tc>
        <w:tc>
          <w:tcPr>
            <w:tcW w:w="1022" w:type="dxa"/>
            <w:tcBorders>
              <w:top w:val="nil"/>
              <w:left w:val="nil"/>
              <w:bottom w:val="single" w:sz="4" w:space="0" w:color="auto"/>
              <w:right w:val="single" w:sz="4" w:space="0" w:color="auto"/>
            </w:tcBorders>
            <w:shd w:val="clear" w:color="auto" w:fill="C6EFCE"/>
            <w:noWrap/>
            <w:vAlign w:val="center"/>
          </w:tcPr>
          <w:p w14:paraId="55DA3440" w14:textId="1814D9BB" w:rsidR="009F1E8E" w:rsidRPr="001961AA" w:rsidRDefault="009F1E8E" w:rsidP="009F1E8E">
            <w:pPr>
              <w:spacing w:after="0"/>
              <w:rPr>
                <w:rFonts w:ascii="Times New Roman" w:eastAsia="Times New Roman" w:hAnsi="Times New Roman" w:cs="Times New Roman"/>
                <w:noProof/>
                <w:color w:val="006100"/>
                <w:lang w:val="en-GB" w:eastAsia="en-GB"/>
              </w:rPr>
            </w:pPr>
          </w:p>
        </w:tc>
        <w:tc>
          <w:tcPr>
            <w:tcW w:w="850" w:type="dxa"/>
            <w:tcBorders>
              <w:top w:val="nil"/>
              <w:left w:val="nil"/>
              <w:bottom w:val="single" w:sz="4" w:space="0" w:color="auto"/>
              <w:right w:val="single" w:sz="4" w:space="0" w:color="auto"/>
            </w:tcBorders>
            <w:shd w:val="clear" w:color="auto" w:fill="C6EFCE"/>
            <w:noWrap/>
            <w:vAlign w:val="center"/>
          </w:tcPr>
          <w:p w14:paraId="2F136533" w14:textId="1BD07643" w:rsidR="009F1E8E" w:rsidRPr="001961AA" w:rsidRDefault="009F1E8E" w:rsidP="009F1E8E">
            <w:pPr>
              <w:spacing w:after="0"/>
              <w:rPr>
                <w:rFonts w:ascii="Times New Roman" w:eastAsia="Times New Roman" w:hAnsi="Times New Roman" w:cs="Times New Roman"/>
                <w:noProof/>
                <w:color w:val="006100"/>
                <w:lang w:val="en-GB" w:eastAsia="en-GB"/>
              </w:rPr>
            </w:pPr>
          </w:p>
        </w:tc>
        <w:tc>
          <w:tcPr>
            <w:tcW w:w="1248" w:type="dxa"/>
            <w:tcBorders>
              <w:top w:val="nil"/>
              <w:left w:val="nil"/>
              <w:bottom w:val="single" w:sz="4" w:space="0" w:color="auto"/>
              <w:right w:val="single" w:sz="4" w:space="0" w:color="auto"/>
            </w:tcBorders>
            <w:shd w:val="clear" w:color="auto" w:fill="C6EFCE"/>
            <w:noWrap/>
            <w:vAlign w:val="center"/>
          </w:tcPr>
          <w:p w14:paraId="161E293A" w14:textId="77777777" w:rsidR="009F1E8E" w:rsidRPr="001961AA" w:rsidRDefault="009F1E8E" w:rsidP="009F1E8E">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Q3</w:t>
            </w:r>
          </w:p>
        </w:tc>
        <w:tc>
          <w:tcPr>
            <w:tcW w:w="720" w:type="dxa"/>
            <w:tcBorders>
              <w:top w:val="nil"/>
              <w:left w:val="nil"/>
              <w:bottom w:val="single" w:sz="4" w:space="0" w:color="auto"/>
              <w:right w:val="single" w:sz="4" w:space="0" w:color="auto"/>
            </w:tcBorders>
            <w:shd w:val="clear" w:color="auto" w:fill="C6EFCE"/>
            <w:noWrap/>
            <w:vAlign w:val="center"/>
          </w:tcPr>
          <w:p w14:paraId="1E20456D" w14:textId="77777777" w:rsidR="009F1E8E" w:rsidRPr="001961AA" w:rsidRDefault="009F1E8E" w:rsidP="009F1E8E">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2021</w:t>
            </w:r>
          </w:p>
        </w:tc>
        <w:tc>
          <w:tcPr>
            <w:tcW w:w="395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71438A5" w14:textId="39613A1A" w:rsidR="009F1E8E" w:rsidRPr="001961AA" w:rsidRDefault="009F1E8E" w:rsidP="009F1E8E">
            <w:pPr>
              <w:spacing w:after="0"/>
              <w:rPr>
                <w:rFonts w:ascii="Times New Roman" w:hAnsi="Times New Roman" w:cs="Times New Roman"/>
                <w:noProof/>
                <w:color w:val="006100"/>
                <w:lang w:val="en-GB"/>
              </w:rPr>
            </w:pPr>
            <w:r w:rsidRPr="001961AA">
              <w:rPr>
                <w:rFonts w:ascii="Times New Roman" w:hAnsi="Times New Roman"/>
                <w:noProof/>
                <w:color w:val="006100"/>
                <w:lang w:val="en-GB"/>
              </w:rPr>
              <w:t>Adoption by the federal parliament of a reformed company car taxation scheme in which new company cars need to be zero emission from 2026 onwards in order to benefit from the existing preferential scheme. The reformed company car taxation scheme shall foresee (1) No deductibility of conventional company cars acquired as from 2026 (2) a progressive reduction of the tax deductibility rate of conventional company cars, acquired between July 1</w:t>
            </w:r>
            <w:r w:rsidRPr="001961AA">
              <w:rPr>
                <w:rFonts w:ascii="Times New Roman" w:hAnsi="Times New Roman"/>
                <w:noProof/>
                <w:color w:val="006100"/>
                <w:vertAlign w:val="superscript"/>
                <w:lang w:val="en-GB"/>
              </w:rPr>
              <w:t xml:space="preserve">st </w:t>
            </w:r>
            <w:r w:rsidRPr="001961AA">
              <w:rPr>
                <w:rFonts w:ascii="Times New Roman" w:hAnsi="Times New Roman"/>
                <w:noProof/>
                <w:color w:val="006100"/>
                <w:lang w:val="en-GB"/>
              </w:rPr>
              <w:t xml:space="preserve"> 2023 and 31 December 2025, to reach 0% by 2028, (3) a progressive reduction of the tax deductibility rate of zero-emission company cars to reach at most 67,5% by 2031, and (4) a tax deductibility of petrol and diesel fuel for hybrid company cars, acquired between 2023 and 2025,  reduced to 50% as from 1</w:t>
            </w:r>
            <w:r w:rsidRPr="001961AA">
              <w:rPr>
                <w:rFonts w:ascii="Times New Roman" w:hAnsi="Times New Roman"/>
                <w:noProof/>
                <w:color w:val="006100"/>
                <w:vertAlign w:val="superscript"/>
                <w:lang w:val="en-GB"/>
              </w:rPr>
              <w:t>st</w:t>
            </w:r>
            <w:r w:rsidRPr="001961AA">
              <w:rPr>
                <w:rFonts w:ascii="Times New Roman" w:hAnsi="Times New Roman"/>
                <w:noProof/>
                <w:color w:val="006100"/>
                <w:lang w:val="en-GB"/>
              </w:rPr>
              <w:t xml:space="preserve">  January 2023. Furthermore, (5) for conventional cars acquired from July 1st 2023, the CO2 contribution shall rise at a rate of 2.25 from July 1st, 2023 and increase progressively in 2025, 2026 to a factor of 5.50 in 2027. (6) For zero-emission company cars, acquired from July 1st 2023, the minimum solidarity contribution shall increase, starting from the year 2025, in such a way that, in the long run, for the average company car, the same amount of social security contributions shall be owed as is the case at the time of submission of the Plan.</w:t>
            </w:r>
          </w:p>
        </w:tc>
      </w:tr>
      <w:tr w:rsidR="0040388B" w:rsidRPr="001961AA" w14:paraId="58831F68" w14:textId="77777777" w:rsidTr="00AA525D">
        <w:trPr>
          <w:trHeight w:val="309"/>
        </w:trPr>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486ECF8" w14:textId="73E8E11C" w:rsidR="00CF3BB7" w:rsidRPr="001961AA" w:rsidRDefault="00CF3BB7" w:rsidP="00CF3BB7">
            <w:pPr>
              <w:spacing w:after="0"/>
              <w:jc w:val="center"/>
              <w:rPr>
                <w:rFonts w:ascii="Times New Roman" w:eastAsia="Times New Roman" w:hAnsi="Times New Roman" w:cs="Times New Roman"/>
                <w:noProof/>
                <w:color w:val="006100"/>
                <w:highlight w:val="yellow"/>
                <w:lang w:val="en-GB"/>
              </w:rPr>
            </w:pPr>
            <w:r w:rsidRPr="001961AA">
              <w:rPr>
                <w:rFonts w:ascii="Times New Roman" w:hAnsi="Times New Roman"/>
                <w:noProof/>
                <w:color w:val="006100"/>
                <w:lang w:val="en-GB"/>
              </w:rPr>
              <w:t>246</w:t>
            </w:r>
          </w:p>
        </w:tc>
        <w:tc>
          <w:tcPr>
            <w:tcW w:w="141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73D8BB5" w14:textId="42BA8992" w:rsidR="00CF3BB7" w:rsidRPr="001961AA" w:rsidRDefault="00CF3BB7" w:rsidP="00CF3BB7">
            <w:pPr>
              <w:spacing w:after="0"/>
              <w:rPr>
                <w:rFonts w:ascii="Times New Roman" w:hAnsi="Times New Roman" w:cs="Times New Roman"/>
                <w:noProof/>
                <w:color w:val="006100"/>
                <w:highlight w:val="yellow"/>
                <w:lang w:val="en-GB"/>
              </w:rPr>
            </w:pPr>
            <w:r w:rsidRPr="001961AA">
              <w:rPr>
                <w:rFonts w:ascii="Times New Roman" w:hAnsi="Times New Roman"/>
                <w:noProof/>
                <w:color w:val="006100"/>
                <w:lang w:val="en-GB"/>
              </w:rPr>
              <w:t>Charging infrastructure for busses - BCR (I-3.21)</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14:paraId="1F257FA3" w14:textId="62D59C76" w:rsidR="00CF3BB7" w:rsidRPr="001961AA" w:rsidRDefault="00CF3BB7" w:rsidP="00CF3BB7">
            <w:pPr>
              <w:spacing w:after="0"/>
              <w:rPr>
                <w:rFonts w:ascii="Times New Roman" w:hAnsi="Times New Roman" w:cs="Times New Roman"/>
                <w:noProof/>
                <w:color w:val="006100"/>
                <w:highlight w:val="yellow"/>
                <w:lang w:val="en-GB"/>
              </w:rPr>
            </w:pPr>
            <w:r w:rsidRPr="001961AA">
              <w:rPr>
                <w:rFonts w:ascii="Times New Roman" w:hAnsi="Times New Roman"/>
                <w:noProof/>
                <w:color w:val="006100"/>
                <w:lang w:val="en-GB"/>
              </w:rPr>
              <w:t>T</w:t>
            </w:r>
          </w:p>
        </w:tc>
        <w:tc>
          <w:tcPr>
            <w:tcW w:w="1559" w:type="dxa"/>
            <w:tcBorders>
              <w:top w:val="single" w:sz="4" w:space="0" w:color="auto"/>
              <w:left w:val="nil"/>
              <w:bottom w:val="single" w:sz="4" w:space="0" w:color="auto"/>
              <w:right w:val="single" w:sz="4" w:space="0" w:color="auto"/>
            </w:tcBorders>
            <w:shd w:val="clear" w:color="auto" w:fill="C6EFCE"/>
            <w:noWrap/>
            <w:vAlign w:val="center"/>
          </w:tcPr>
          <w:p w14:paraId="7C9E64BB" w14:textId="685A79D9" w:rsidR="00CF3BB7" w:rsidRPr="001961AA" w:rsidRDefault="00CF3BB7" w:rsidP="00CF3BB7">
            <w:pPr>
              <w:spacing w:after="0"/>
              <w:rPr>
                <w:rFonts w:ascii="Times New Roman" w:hAnsi="Times New Roman" w:cs="Times New Roman"/>
                <w:noProof/>
                <w:color w:val="006100"/>
                <w:highlight w:val="yellow"/>
                <w:lang w:val="en-GB"/>
              </w:rPr>
            </w:pPr>
            <w:r w:rsidRPr="001961AA">
              <w:rPr>
                <w:rFonts w:ascii="Times New Roman" w:hAnsi="Times New Roman"/>
                <w:noProof/>
                <w:color w:val="006100"/>
                <w:lang w:val="en-GB"/>
              </w:rPr>
              <w:t>Charging infrastructure installed</w:t>
            </w:r>
          </w:p>
        </w:tc>
        <w:tc>
          <w:tcPr>
            <w:tcW w:w="1442" w:type="dxa"/>
            <w:tcBorders>
              <w:top w:val="single" w:sz="4" w:space="0" w:color="auto"/>
              <w:left w:val="nil"/>
              <w:bottom w:val="single" w:sz="4" w:space="0" w:color="auto"/>
              <w:right w:val="single" w:sz="4" w:space="0" w:color="auto"/>
            </w:tcBorders>
            <w:shd w:val="clear" w:color="auto" w:fill="C6EFCE"/>
            <w:noWrap/>
            <w:vAlign w:val="center"/>
          </w:tcPr>
          <w:p w14:paraId="638B55F0" w14:textId="77777777" w:rsidR="00CF3BB7" w:rsidRPr="001961AA" w:rsidRDefault="00CF3BB7" w:rsidP="00CF3BB7">
            <w:pPr>
              <w:spacing w:after="0"/>
              <w:rPr>
                <w:rFonts w:ascii="Times New Roman" w:hAnsi="Times New Roman" w:cs="Times New Roman"/>
                <w:noProof/>
                <w:color w:val="006100"/>
                <w:highlight w:val="yellow"/>
                <w:lang w:val="en-GB"/>
              </w:rPr>
            </w:pPr>
          </w:p>
        </w:tc>
        <w:tc>
          <w:tcPr>
            <w:tcW w:w="1080" w:type="dxa"/>
            <w:tcBorders>
              <w:top w:val="single" w:sz="4" w:space="0" w:color="auto"/>
              <w:left w:val="nil"/>
              <w:bottom w:val="single" w:sz="4" w:space="0" w:color="auto"/>
              <w:right w:val="single" w:sz="4" w:space="0" w:color="auto"/>
            </w:tcBorders>
            <w:shd w:val="clear" w:color="auto" w:fill="C6EFCE"/>
            <w:noWrap/>
            <w:vAlign w:val="center"/>
          </w:tcPr>
          <w:p w14:paraId="736CC9B3" w14:textId="3C718B6D" w:rsidR="00CF3BB7" w:rsidRPr="001961AA" w:rsidRDefault="00CF3BB7" w:rsidP="00CF3BB7">
            <w:pPr>
              <w:spacing w:after="0"/>
              <w:rPr>
                <w:rFonts w:ascii="Times New Roman" w:eastAsia="Times New Roman" w:hAnsi="Times New Roman" w:cs="Times New Roman"/>
                <w:noProof/>
                <w:color w:val="006100"/>
                <w:highlight w:val="yellow"/>
                <w:lang w:val="en-GB"/>
              </w:rPr>
            </w:pPr>
            <w:r w:rsidRPr="001961AA">
              <w:rPr>
                <w:rFonts w:ascii="Times New Roman" w:hAnsi="Times New Roman"/>
                <w:noProof/>
                <w:color w:val="006100"/>
                <w:lang w:val="en-GB"/>
              </w:rPr>
              <w:t>Number</w:t>
            </w:r>
          </w:p>
        </w:tc>
        <w:tc>
          <w:tcPr>
            <w:tcW w:w="1022" w:type="dxa"/>
            <w:tcBorders>
              <w:top w:val="single" w:sz="4" w:space="0" w:color="auto"/>
              <w:left w:val="nil"/>
              <w:bottom w:val="single" w:sz="4" w:space="0" w:color="auto"/>
              <w:right w:val="single" w:sz="4" w:space="0" w:color="auto"/>
            </w:tcBorders>
            <w:shd w:val="clear" w:color="auto" w:fill="C6EFCE"/>
            <w:noWrap/>
            <w:vAlign w:val="center"/>
          </w:tcPr>
          <w:p w14:paraId="2F82DF59" w14:textId="47994ECF" w:rsidR="00CF3BB7" w:rsidRPr="001961AA" w:rsidRDefault="00CF3BB7" w:rsidP="00CF3BB7">
            <w:pPr>
              <w:spacing w:after="0"/>
              <w:rPr>
                <w:rFonts w:ascii="Times New Roman" w:eastAsia="Times New Roman" w:hAnsi="Times New Roman" w:cs="Times New Roman"/>
                <w:noProof/>
                <w:color w:val="006100"/>
                <w:highlight w:val="yellow"/>
                <w:lang w:val="en-GB"/>
              </w:rPr>
            </w:pPr>
            <w:r w:rsidRPr="001961AA">
              <w:rPr>
                <w:rFonts w:ascii="Times New Roman" w:hAnsi="Times New Roman"/>
                <w:noProof/>
                <w:color w:val="006100"/>
                <w:lang w:val="en-GB"/>
              </w:rPr>
              <w:t>0</w:t>
            </w:r>
          </w:p>
        </w:tc>
        <w:tc>
          <w:tcPr>
            <w:tcW w:w="850" w:type="dxa"/>
            <w:tcBorders>
              <w:top w:val="single" w:sz="4" w:space="0" w:color="auto"/>
              <w:left w:val="nil"/>
              <w:bottom w:val="single" w:sz="4" w:space="0" w:color="auto"/>
              <w:right w:val="single" w:sz="4" w:space="0" w:color="auto"/>
            </w:tcBorders>
            <w:shd w:val="clear" w:color="auto" w:fill="C6EFCE"/>
            <w:noWrap/>
            <w:vAlign w:val="center"/>
          </w:tcPr>
          <w:p w14:paraId="4ABF34F8" w14:textId="1357A5F7" w:rsidR="00CF3BB7" w:rsidRPr="001961AA" w:rsidRDefault="00CF3BB7" w:rsidP="00CF3BB7">
            <w:pPr>
              <w:spacing w:after="0"/>
              <w:rPr>
                <w:rFonts w:ascii="Times New Roman" w:eastAsia="Times New Roman" w:hAnsi="Times New Roman" w:cs="Times New Roman"/>
                <w:noProof/>
                <w:color w:val="006100"/>
                <w:highlight w:val="yellow"/>
                <w:lang w:val="en-GB"/>
              </w:rPr>
            </w:pPr>
            <w:r w:rsidRPr="001961AA">
              <w:rPr>
                <w:rFonts w:ascii="Times New Roman" w:hAnsi="Times New Roman"/>
                <w:noProof/>
                <w:color w:val="006100"/>
                <w:lang w:val="en-GB"/>
              </w:rPr>
              <w:t>92</w:t>
            </w:r>
          </w:p>
        </w:tc>
        <w:tc>
          <w:tcPr>
            <w:tcW w:w="1248" w:type="dxa"/>
            <w:tcBorders>
              <w:top w:val="single" w:sz="4" w:space="0" w:color="auto"/>
              <w:left w:val="nil"/>
              <w:bottom w:val="single" w:sz="4" w:space="0" w:color="auto"/>
              <w:right w:val="single" w:sz="4" w:space="0" w:color="auto"/>
            </w:tcBorders>
            <w:shd w:val="clear" w:color="auto" w:fill="C6EFCE"/>
            <w:noWrap/>
            <w:vAlign w:val="center"/>
          </w:tcPr>
          <w:p w14:paraId="245FED8E" w14:textId="5EC175F9" w:rsidR="00CF3BB7" w:rsidRPr="001961AA" w:rsidRDefault="00CF3BB7" w:rsidP="00CF3BB7">
            <w:pPr>
              <w:spacing w:after="0"/>
              <w:jc w:val="center"/>
              <w:rPr>
                <w:rFonts w:ascii="Times New Roman" w:hAnsi="Times New Roman" w:cs="Times New Roman"/>
                <w:noProof/>
                <w:color w:val="006100"/>
                <w:highlight w:val="yellow"/>
                <w:lang w:val="en-GB"/>
              </w:rPr>
            </w:pPr>
            <w:r w:rsidRPr="001961AA">
              <w:rPr>
                <w:rFonts w:ascii="Times New Roman" w:hAnsi="Times New Roman"/>
                <w:noProof/>
                <w:color w:val="006100"/>
                <w:lang w:val="en-GB"/>
              </w:rPr>
              <w:t>Q2</w:t>
            </w:r>
          </w:p>
        </w:tc>
        <w:tc>
          <w:tcPr>
            <w:tcW w:w="720" w:type="dxa"/>
            <w:tcBorders>
              <w:top w:val="single" w:sz="4" w:space="0" w:color="auto"/>
              <w:left w:val="nil"/>
              <w:bottom w:val="single" w:sz="4" w:space="0" w:color="auto"/>
              <w:right w:val="single" w:sz="4" w:space="0" w:color="auto"/>
            </w:tcBorders>
            <w:shd w:val="clear" w:color="auto" w:fill="C6EFCE"/>
            <w:noWrap/>
            <w:vAlign w:val="center"/>
          </w:tcPr>
          <w:p w14:paraId="0F2923CD" w14:textId="7631AD7B" w:rsidR="00CF3BB7" w:rsidRPr="001961AA" w:rsidRDefault="00CF3BB7" w:rsidP="00CF3BB7">
            <w:pPr>
              <w:spacing w:after="0"/>
              <w:jc w:val="center"/>
              <w:rPr>
                <w:rFonts w:ascii="Times New Roman" w:hAnsi="Times New Roman" w:cs="Times New Roman"/>
                <w:noProof/>
                <w:color w:val="006100"/>
                <w:highlight w:val="yellow"/>
                <w:lang w:val="en-GB"/>
              </w:rPr>
            </w:pPr>
            <w:r w:rsidRPr="001961AA">
              <w:rPr>
                <w:rFonts w:ascii="Times New Roman" w:hAnsi="Times New Roman"/>
                <w:noProof/>
                <w:color w:val="006100"/>
                <w:lang w:val="en-GB"/>
              </w:rPr>
              <w:t>2026</w:t>
            </w:r>
          </w:p>
        </w:tc>
        <w:tc>
          <w:tcPr>
            <w:tcW w:w="395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84F2054" w14:textId="1D6EBC22" w:rsidR="00CF3BB7" w:rsidRPr="001961AA" w:rsidRDefault="00CF3BB7" w:rsidP="00CF3BB7">
            <w:pPr>
              <w:spacing w:after="0"/>
              <w:rPr>
                <w:rFonts w:ascii="Times New Roman" w:hAnsi="Times New Roman" w:cs="Times New Roman"/>
                <w:noProof/>
                <w:color w:val="006100"/>
                <w:highlight w:val="yellow"/>
                <w:lang w:val="en-GB"/>
              </w:rPr>
            </w:pPr>
            <w:r w:rsidRPr="001961AA">
              <w:rPr>
                <w:rFonts w:ascii="Times New Roman" w:hAnsi="Times New Roman"/>
                <w:noProof/>
                <w:color w:val="006100"/>
                <w:lang w:val="en-GB"/>
              </w:rPr>
              <w:t>Complete installation of 76 overnight and 16 opportunity charging stations (with the respective electrical infrastructure) in one bus depot and in five bus line terminals.</w:t>
            </w:r>
          </w:p>
        </w:tc>
      </w:tr>
    </w:tbl>
    <w:p w14:paraId="613968B3" w14:textId="77777777" w:rsidR="006A41D9" w:rsidRPr="001961AA" w:rsidRDefault="006A41D9" w:rsidP="001B6E83">
      <w:pPr>
        <w:rPr>
          <w:rFonts w:ascii="Times New Roman" w:hAnsi="Times New Roman" w:cs="Times New Roman"/>
          <w:noProof/>
          <w:lang w:val="en-GB"/>
        </w:rPr>
        <w:sectPr w:rsidR="006A41D9" w:rsidRPr="001961AA" w:rsidSect="007F56C3">
          <w:headerReference w:type="even" r:id="rId144"/>
          <w:headerReference w:type="default" r:id="rId145"/>
          <w:footerReference w:type="even" r:id="rId146"/>
          <w:footerReference w:type="default" r:id="rId147"/>
          <w:headerReference w:type="first" r:id="rId148"/>
          <w:footerReference w:type="first" r:id="rId149"/>
          <w:pgSz w:w="16839" w:h="11907" w:orient="landscape"/>
          <w:pgMar w:top="1134" w:right="1134" w:bottom="1134" w:left="1134" w:header="567" w:footer="567" w:gutter="0"/>
          <w:cols w:space="720"/>
          <w:docGrid w:linePitch="360"/>
        </w:sectPr>
      </w:pPr>
    </w:p>
    <w:p w14:paraId="13E34EA0" w14:textId="09E35FE3" w:rsidR="006A41D9" w:rsidRPr="001961AA" w:rsidRDefault="006A41D9" w:rsidP="00143925">
      <w:pPr>
        <w:pStyle w:val="ManualHeading1"/>
        <w:spacing w:before="120"/>
        <w:ind w:left="0" w:firstLine="0"/>
        <w:rPr>
          <w:noProof/>
          <w:lang w:val="en-GB"/>
        </w:rPr>
      </w:pPr>
      <w:r w:rsidRPr="001961AA">
        <w:rPr>
          <w:noProof/>
          <w:lang w:val="en-GB"/>
        </w:rPr>
        <w:t>J. COMPONENT 4.1: Education 2.0</w:t>
      </w:r>
    </w:p>
    <w:p w14:paraId="124C063A" w14:textId="77777777" w:rsidR="006A41D9" w:rsidRPr="001961AA" w:rsidRDefault="006A41D9" w:rsidP="00BD6DD1">
      <w:pPr>
        <w:spacing w:before="120" w:after="120" w:line="240" w:lineRule="auto"/>
        <w:jc w:val="both"/>
        <w:rPr>
          <w:rFonts w:ascii="Times New Roman" w:hAnsi="Times New Roman" w:cs="Times New Roman"/>
          <w:noProof/>
          <w:sz w:val="24"/>
          <w:szCs w:val="24"/>
          <w:lang w:val="en-GB"/>
        </w:rPr>
      </w:pPr>
      <w:r w:rsidRPr="001961AA">
        <w:rPr>
          <w:rFonts w:ascii="Times New Roman" w:hAnsi="Times New Roman"/>
          <w:noProof/>
          <w:sz w:val="24"/>
          <w:lang w:val="en-GB"/>
        </w:rPr>
        <w:t>The measures proposed under this component of the Belgian recovery and resilience plan aim at improving the inclusiveness of education systems while strengthening their performance to ensure that the competences taught better match those required in the labour market.</w:t>
      </w:r>
    </w:p>
    <w:p w14:paraId="09979818" w14:textId="77777777" w:rsidR="006A41D9" w:rsidRPr="001961AA" w:rsidRDefault="006A41D9" w:rsidP="00BD6DD1">
      <w:pPr>
        <w:spacing w:before="120" w:after="120" w:line="240" w:lineRule="auto"/>
        <w:jc w:val="both"/>
        <w:rPr>
          <w:rFonts w:ascii="Times New Roman" w:hAnsi="Times New Roman" w:cs="Times New Roman"/>
          <w:noProof/>
          <w:sz w:val="24"/>
          <w:szCs w:val="24"/>
          <w:lang w:val="en-GB"/>
        </w:rPr>
      </w:pPr>
      <w:r w:rsidRPr="001961AA">
        <w:rPr>
          <w:rFonts w:ascii="Times New Roman" w:hAnsi="Times New Roman"/>
          <w:noProof/>
          <w:sz w:val="24"/>
          <w:lang w:val="en-GB"/>
        </w:rPr>
        <w:t>The component contributes to addressing Country Specific Recommendation 2019.2 to improve the performance and inclusiveness of the education and training systems and address skills mismatches.</w:t>
      </w:r>
    </w:p>
    <w:p w14:paraId="17B28CF7" w14:textId="77777777" w:rsidR="006A41D9" w:rsidRPr="001961AA" w:rsidRDefault="006A41D9" w:rsidP="00BD6DD1">
      <w:pPr>
        <w:spacing w:before="120" w:after="120" w:line="240" w:lineRule="auto"/>
        <w:jc w:val="both"/>
        <w:rPr>
          <w:rFonts w:ascii="Times New Roman" w:hAnsi="Times New Roman" w:cs="Times New Roman"/>
          <w:noProof/>
          <w:sz w:val="24"/>
          <w:szCs w:val="24"/>
          <w:lang w:val="en-GB"/>
        </w:rPr>
      </w:pPr>
      <w:r w:rsidRPr="001961AA">
        <w:rPr>
          <w:rFonts w:ascii="Times New Roman" w:hAnsi="Times New Roman"/>
          <w:noProof/>
          <w:sz w:val="24"/>
          <w:lang w:val="en-GB"/>
        </w:rPr>
        <w:t>It is expected that no measure in this component does significant harm to environmental objectives within the meaning of Article 17 of Regulation (EU) 2020/852, taking into account the description of the measures and the mitigating steps set out in the recovery and resilience plan in accordance with the DNSH Technical Guidance (2021/C58/01).</w:t>
      </w:r>
    </w:p>
    <w:p w14:paraId="37D694B5" w14:textId="77777777" w:rsidR="006A41D9" w:rsidRPr="001961AA" w:rsidRDefault="006A41D9" w:rsidP="00BD6DD1">
      <w:pPr>
        <w:jc w:val="both"/>
        <w:rPr>
          <w:rFonts w:ascii="Times New Roman" w:hAnsi="Times New Roman" w:cs="Times New Roman"/>
          <w:b/>
          <w:bCs/>
          <w:noProof/>
          <w:sz w:val="24"/>
          <w:szCs w:val="24"/>
          <w:u w:val="single"/>
          <w:lang w:val="en-GB"/>
        </w:rPr>
      </w:pPr>
      <w:r w:rsidRPr="001961AA">
        <w:rPr>
          <w:rFonts w:ascii="Times New Roman" w:hAnsi="Times New Roman"/>
          <w:b/>
          <w:noProof/>
          <w:sz w:val="24"/>
          <w:u w:val="single"/>
          <w:lang w:val="en-GB"/>
        </w:rPr>
        <w:t xml:space="preserve">J.1. </w:t>
      </w:r>
      <w:r w:rsidRPr="001961AA">
        <w:rPr>
          <w:noProof/>
          <w:lang w:val="en-GB"/>
        </w:rPr>
        <w:tab/>
      </w:r>
      <w:r w:rsidRPr="001961AA">
        <w:rPr>
          <w:rFonts w:ascii="Times New Roman" w:hAnsi="Times New Roman"/>
          <w:b/>
          <w:noProof/>
          <w:sz w:val="24"/>
          <w:u w:val="single"/>
          <w:lang w:val="en-GB"/>
        </w:rPr>
        <w:t>Description of the reforms and investments for non-repayable financial support</w:t>
      </w:r>
    </w:p>
    <w:p w14:paraId="3E13A757" w14:textId="77777777" w:rsidR="006A41D9" w:rsidRPr="001961AA" w:rsidRDefault="006A41D9" w:rsidP="00BD6DD1">
      <w:pPr>
        <w:pStyle w:val="Text1"/>
        <w:ind w:left="0"/>
        <w:rPr>
          <w:noProof/>
          <w:szCs w:val="24"/>
          <w:lang w:val="en-GB"/>
        </w:rPr>
      </w:pPr>
      <w:r w:rsidRPr="001961AA">
        <w:rPr>
          <w:noProof/>
          <w:u w:val="single"/>
          <w:lang w:val="en-GB"/>
        </w:rPr>
        <w:t>Reform R-4.01: ‘Digisprong’ of the Flemish Community</w:t>
      </w:r>
    </w:p>
    <w:p w14:paraId="1307884E" w14:textId="61FEBF3A" w:rsidR="006A41D9" w:rsidRPr="001961AA" w:rsidRDefault="006A41D9" w:rsidP="00BD6DD1">
      <w:pPr>
        <w:pStyle w:val="Text1"/>
        <w:ind w:left="0"/>
        <w:rPr>
          <w:noProof/>
          <w:lang w:val="en-GB"/>
        </w:rPr>
      </w:pPr>
      <w:r w:rsidRPr="001961AA">
        <w:rPr>
          <w:noProof/>
          <w:lang w:val="en-GB"/>
        </w:rPr>
        <w:t xml:space="preserve">This reform consists of actions related to four pillars: (1) ICT education, media literacy and computational thinking reforms, (2) promoting effective ICT school policies, by strengthening the role of ICT coordinators, (3) digitally skilled teachers and trainers for teachers and (4) creation of a knowledge and advisory centre to support schools in digitalising their educational provision. The legislation on the new ICT framework for compulsory education in Flanders shall enter into force by 31 December 2023. </w:t>
      </w:r>
    </w:p>
    <w:p w14:paraId="2304C7B1" w14:textId="77777777" w:rsidR="006A41D9" w:rsidRPr="001961AA" w:rsidRDefault="006A41D9" w:rsidP="00BD6DD1">
      <w:pPr>
        <w:pStyle w:val="Text1"/>
        <w:ind w:left="0"/>
        <w:rPr>
          <w:noProof/>
          <w:szCs w:val="24"/>
          <w:u w:val="single"/>
          <w:lang w:val="en-GB"/>
        </w:rPr>
      </w:pPr>
      <w:r w:rsidRPr="001961AA">
        <w:rPr>
          <w:noProof/>
          <w:u w:val="single"/>
          <w:lang w:val="en-GB"/>
        </w:rPr>
        <w:t>Reform R-4.02: ‘Higher education advancement fund’ of the Flemish Community</w:t>
      </w:r>
    </w:p>
    <w:p w14:paraId="096DA35A" w14:textId="04FAEE5D" w:rsidR="006A41D9" w:rsidRPr="001961AA" w:rsidRDefault="006A41D9" w:rsidP="00BD6DD1">
      <w:pPr>
        <w:pStyle w:val="Text1"/>
        <w:ind w:left="0"/>
        <w:rPr>
          <w:noProof/>
          <w:szCs w:val="24"/>
          <w:lang w:val="en-GB"/>
        </w:rPr>
      </w:pPr>
      <w:r w:rsidRPr="001961AA">
        <w:rPr>
          <w:noProof/>
          <w:lang w:val="en-GB"/>
        </w:rPr>
        <w:t xml:space="preserve">This reform aims at delivering a vision paper on the following three objectives: (1) create a future-proof and flexible offer in Flemish higher education institutions, (2) further development of lifelong learning in higher education and (3) making the most of digital forms of education. Concretely, a vision note shall (i) define a new profile for higher education in Flanders to ensure that higher education institutions are state of the art and (ii) develop a vision on lifelong </w:t>
      </w:r>
      <w:r w:rsidRPr="001961AA">
        <w:rPr>
          <w:noProof/>
          <w:color w:val="000000" w:themeColor="text1"/>
          <w:lang w:val="en-GB"/>
        </w:rPr>
        <w:t xml:space="preserve">learning. The vision paper shall be endorsement by the Minister of education and training of the Flemish government by 31 December 2023.  </w:t>
      </w:r>
    </w:p>
    <w:p w14:paraId="4E206333" w14:textId="77777777" w:rsidR="006A41D9" w:rsidRPr="001961AA" w:rsidRDefault="006A41D9" w:rsidP="00BD6DD1">
      <w:pPr>
        <w:pStyle w:val="Text1"/>
        <w:ind w:left="0"/>
        <w:rPr>
          <w:noProof/>
          <w:szCs w:val="24"/>
          <w:u w:val="single"/>
          <w:lang w:val="en-GB"/>
        </w:rPr>
      </w:pPr>
      <w:r w:rsidRPr="001961AA">
        <w:rPr>
          <w:noProof/>
          <w:u w:val="single"/>
          <w:lang w:val="en-GB"/>
        </w:rPr>
        <w:t>Reform R-4.03: ‘Global action plan against early school leaving’ of the French Community</w:t>
      </w:r>
    </w:p>
    <w:p w14:paraId="4B8A7B83" w14:textId="2997148B" w:rsidR="006A41D9" w:rsidRPr="001961AA" w:rsidRDefault="006A41D9" w:rsidP="00BD6DD1">
      <w:pPr>
        <w:pStyle w:val="Text1"/>
        <w:ind w:left="0"/>
        <w:rPr>
          <w:noProof/>
          <w:lang w:val="en-GB"/>
        </w:rPr>
      </w:pPr>
      <w:r w:rsidRPr="001961AA">
        <w:rPr>
          <w:noProof/>
          <w:lang w:val="en-GB"/>
        </w:rPr>
        <w:t xml:space="preserve">This reform consists of a comprehensive strategy covering three strands - prevention, intervention, compensation- and development in a coherent and concrete manner, based on a new (reinforced) coordination of stakeholders active in different fields and of different support services. The implementation of the reform shall be completed by 30 June 2024. </w:t>
      </w:r>
    </w:p>
    <w:p w14:paraId="1AB11E38" w14:textId="77777777" w:rsidR="006A41D9" w:rsidRPr="001961AA" w:rsidRDefault="006A41D9" w:rsidP="00BD6DD1">
      <w:pPr>
        <w:spacing w:before="120" w:after="120" w:line="240" w:lineRule="auto"/>
        <w:jc w:val="both"/>
        <w:rPr>
          <w:rFonts w:ascii="Times New Roman" w:hAnsi="Times New Roman" w:cs="Times New Roman"/>
          <w:noProof/>
          <w:sz w:val="24"/>
          <w:szCs w:val="24"/>
          <w:lang w:val="en-GB"/>
        </w:rPr>
      </w:pPr>
      <w:r w:rsidRPr="001961AA">
        <w:rPr>
          <w:rFonts w:ascii="Times New Roman" w:hAnsi="Times New Roman"/>
          <w:noProof/>
          <w:sz w:val="24"/>
          <w:u w:val="single"/>
          <w:lang w:val="en-GB"/>
        </w:rPr>
        <w:t>Investment I-4.01: ‘Digisprong’ of the Flemish Community</w:t>
      </w:r>
    </w:p>
    <w:p w14:paraId="17E104B7" w14:textId="322B14ED" w:rsidR="006A41D9" w:rsidRPr="001961AA" w:rsidRDefault="006A41D9" w:rsidP="00BD6DD1">
      <w:pPr>
        <w:pStyle w:val="Text1"/>
        <w:ind w:left="0"/>
        <w:rPr>
          <w:noProof/>
          <w:lang w:val="en-GB"/>
        </w:rPr>
      </w:pPr>
      <w:r w:rsidRPr="001961AA">
        <w:rPr>
          <w:noProof/>
          <w:lang w:val="en-GB"/>
        </w:rPr>
        <w:t>This investment consists of the two following elements: (1) provide all schools with a digital device for each student and (2) provide teachers with effective learning tools and training to improve their digital skills. The implementation of the investment shall be completed by 31 December 2022.</w:t>
      </w:r>
    </w:p>
    <w:p w14:paraId="2E7EA710" w14:textId="77777777" w:rsidR="006A41D9" w:rsidRPr="001961AA" w:rsidRDefault="006A41D9" w:rsidP="00BD6DD1">
      <w:pPr>
        <w:spacing w:before="120" w:after="120" w:line="240" w:lineRule="auto"/>
        <w:jc w:val="both"/>
        <w:rPr>
          <w:rFonts w:ascii="Times New Roman" w:hAnsi="Times New Roman" w:cs="Times New Roman"/>
          <w:noProof/>
          <w:sz w:val="24"/>
          <w:szCs w:val="24"/>
          <w:u w:val="single"/>
          <w:lang w:val="en-GB"/>
        </w:rPr>
      </w:pPr>
      <w:r w:rsidRPr="001961AA">
        <w:rPr>
          <w:rFonts w:ascii="Times New Roman" w:hAnsi="Times New Roman"/>
          <w:noProof/>
          <w:sz w:val="24"/>
          <w:u w:val="single"/>
          <w:lang w:val="en-GB"/>
        </w:rPr>
        <w:t>Investment I-4.02: ‘Higher education advancement fund’ of the Flemish Community</w:t>
      </w:r>
    </w:p>
    <w:p w14:paraId="4BDBEEB2" w14:textId="77777777" w:rsidR="006A41D9" w:rsidRPr="001961AA" w:rsidRDefault="006A41D9" w:rsidP="00BD6DD1">
      <w:pPr>
        <w:pStyle w:val="Text1"/>
        <w:ind w:left="0"/>
        <w:rPr>
          <w:noProof/>
          <w:szCs w:val="24"/>
          <w:lang w:val="en-GB"/>
        </w:rPr>
      </w:pPr>
      <w:r w:rsidRPr="001961AA">
        <w:rPr>
          <w:noProof/>
          <w:lang w:val="en-GB"/>
        </w:rPr>
        <w:t>This investment consists of (1) the creation of a future-proof and flexible offer in Flemish higher education institutions, (2) the further development of lifelong learning in higher education and (3) supporting the sustainable implementation of new digital forms of education. The implementation of the investment shall be completed by 31 December 2023.</w:t>
      </w:r>
    </w:p>
    <w:p w14:paraId="4F61135B" w14:textId="77777777" w:rsidR="006A41D9" w:rsidRPr="001961AA" w:rsidRDefault="006A41D9" w:rsidP="0032251B">
      <w:pPr>
        <w:pageBreakBefore/>
        <w:spacing w:before="120" w:after="120" w:line="240" w:lineRule="auto"/>
        <w:jc w:val="both"/>
        <w:rPr>
          <w:rFonts w:ascii="Times New Roman" w:hAnsi="Times New Roman" w:cs="Times New Roman"/>
          <w:noProof/>
          <w:sz w:val="24"/>
          <w:szCs w:val="24"/>
          <w:u w:val="single"/>
          <w:lang w:val="en-GB"/>
        </w:rPr>
      </w:pPr>
      <w:r w:rsidRPr="001961AA">
        <w:rPr>
          <w:rFonts w:ascii="Times New Roman" w:hAnsi="Times New Roman"/>
          <w:noProof/>
          <w:sz w:val="24"/>
          <w:u w:val="single"/>
          <w:lang w:val="en-GB"/>
        </w:rPr>
        <w:t>Investment I-4.03: ‘Personalised guidance in compulsory education’ of the French Community</w:t>
      </w:r>
    </w:p>
    <w:p w14:paraId="5A306B17" w14:textId="77777777" w:rsidR="006A41D9" w:rsidRPr="001961AA" w:rsidRDefault="006A41D9" w:rsidP="00BD6DD1">
      <w:pPr>
        <w:pStyle w:val="Text1"/>
        <w:ind w:left="0"/>
        <w:rPr>
          <w:noProof/>
          <w:szCs w:val="24"/>
          <w:lang w:val="en-GB"/>
        </w:rPr>
      </w:pPr>
      <w:r w:rsidRPr="001961AA">
        <w:rPr>
          <w:noProof/>
          <w:lang w:val="en-GB"/>
        </w:rPr>
        <w:t>This investment is developed to respond to the psychosocial, educational and pedagogical problems of pupils in primary and secondary schools and to combat the spread of the phenomena of educational disadvantage and early school leaving, as a result of COVID-19. The implementation of the investment shall be completed by 31 December 2022.</w:t>
      </w:r>
    </w:p>
    <w:p w14:paraId="0E8933D1" w14:textId="77777777" w:rsidR="006A41D9" w:rsidRPr="001961AA" w:rsidRDefault="006A41D9" w:rsidP="00BD6DD1">
      <w:pPr>
        <w:spacing w:before="120" w:after="120" w:line="240" w:lineRule="auto"/>
        <w:jc w:val="both"/>
        <w:rPr>
          <w:rFonts w:ascii="Times New Roman" w:hAnsi="Times New Roman" w:cs="Times New Roman"/>
          <w:noProof/>
          <w:sz w:val="24"/>
          <w:szCs w:val="24"/>
          <w:lang w:val="en-GB"/>
        </w:rPr>
      </w:pPr>
      <w:r w:rsidRPr="001961AA">
        <w:rPr>
          <w:rFonts w:ascii="Times New Roman" w:hAnsi="Times New Roman"/>
          <w:noProof/>
          <w:sz w:val="24"/>
          <w:u w:val="single"/>
          <w:lang w:val="en-GB"/>
        </w:rPr>
        <w:t>Investment I-4.04: ‘Digital strategy for higher education and adult learning’ of the French Community</w:t>
      </w:r>
    </w:p>
    <w:p w14:paraId="40957FF7" w14:textId="77777777" w:rsidR="006A41D9" w:rsidRPr="001961AA" w:rsidRDefault="006A41D9" w:rsidP="00BD6DD1">
      <w:pPr>
        <w:pStyle w:val="Text1"/>
        <w:ind w:left="0"/>
        <w:rPr>
          <w:noProof/>
          <w:szCs w:val="24"/>
          <w:lang w:val="en-GB"/>
        </w:rPr>
      </w:pPr>
      <w:r w:rsidRPr="001961AA">
        <w:rPr>
          <w:noProof/>
          <w:lang w:val="en-GB"/>
        </w:rPr>
        <w:t>This investment consists of (1) equipping schools and higher education institutions with digital equipment, (2) developing the digital skills of students and teachers with the help of dedicated digital skills tools and methods. The implementation of the investment shall be completed by 30 June 2026.</w:t>
      </w:r>
    </w:p>
    <w:p w14:paraId="425AF28F" w14:textId="77777777" w:rsidR="006A41D9" w:rsidRPr="001961AA" w:rsidRDefault="006A41D9" w:rsidP="00BD6DD1">
      <w:pPr>
        <w:spacing w:before="120" w:after="120" w:line="240" w:lineRule="auto"/>
        <w:jc w:val="both"/>
        <w:rPr>
          <w:rFonts w:ascii="Times New Roman" w:hAnsi="Times New Roman" w:cs="Times New Roman"/>
          <w:noProof/>
          <w:sz w:val="24"/>
          <w:szCs w:val="24"/>
          <w:lang w:val="en-GB"/>
        </w:rPr>
      </w:pPr>
      <w:r w:rsidRPr="001961AA">
        <w:rPr>
          <w:rFonts w:ascii="Times New Roman" w:hAnsi="Times New Roman"/>
          <w:noProof/>
          <w:sz w:val="24"/>
          <w:u w:val="single"/>
          <w:lang w:val="en-GB"/>
        </w:rPr>
        <w:t>Investment I-4.05: ‘Digital turnaround for Brussels schools’ of the Brussels-Capital Region</w:t>
      </w:r>
    </w:p>
    <w:p w14:paraId="36182AE5" w14:textId="77777777" w:rsidR="006A41D9" w:rsidRPr="001961AA" w:rsidRDefault="006A41D9" w:rsidP="00BD6DD1">
      <w:pPr>
        <w:pStyle w:val="Text1"/>
        <w:ind w:left="0"/>
        <w:rPr>
          <w:noProof/>
          <w:szCs w:val="24"/>
          <w:lang w:val="en-GB"/>
        </w:rPr>
      </w:pPr>
      <w:r w:rsidRPr="001961AA">
        <w:rPr>
          <w:noProof/>
          <w:lang w:val="en-GB"/>
        </w:rPr>
        <w:t>This investment consists of (1) digital equipment for schools with a high level of vulnerable pupils and (2) strengthening the internal connectivity of Brussels schools. The implementation of the investment shall be completed by 31 December 2024.</w:t>
      </w:r>
    </w:p>
    <w:p w14:paraId="58326FF4" w14:textId="77777777" w:rsidR="006A41D9" w:rsidRPr="001961AA" w:rsidRDefault="006A41D9" w:rsidP="00BD6DD1">
      <w:pPr>
        <w:spacing w:before="120" w:after="120" w:line="240" w:lineRule="auto"/>
        <w:jc w:val="both"/>
        <w:rPr>
          <w:rFonts w:ascii="Times New Roman" w:hAnsi="Times New Roman" w:cs="Times New Roman"/>
          <w:noProof/>
          <w:sz w:val="24"/>
          <w:szCs w:val="24"/>
          <w:lang w:val="en-GB"/>
        </w:rPr>
      </w:pPr>
      <w:r w:rsidRPr="001961AA">
        <w:rPr>
          <w:rFonts w:ascii="Times New Roman" w:hAnsi="Times New Roman"/>
          <w:noProof/>
          <w:sz w:val="24"/>
          <w:u w:val="single"/>
          <w:lang w:val="en-GB"/>
        </w:rPr>
        <w:t>Investment I-4.06: ‘Digital transformation of education’ of the German-speaking community</w:t>
      </w:r>
      <w:r w:rsidRPr="001961AA">
        <w:rPr>
          <w:rFonts w:ascii="Times New Roman" w:hAnsi="Times New Roman"/>
          <w:noProof/>
          <w:sz w:val="24"/>
          <w:lang w:val="en-GB"/>
        </w:rPr>
        <w:t xml:space="preserve">, </w:t>
      </w:r>
    </w:p>
    <w:p w14:paraId="21FDB889" w14:textId="193E4BB2" w:rsidR="006A41D9" w:rsidRPr="001961AA" w:rsidRDefault="2DF8951B" w:rsidP="7D2DE183">
      <w:pPr>
        <w:pStyle w:val="Text1"/>
        <w:ind w:left="0"/>
        <w:rPr>
          <w:noProof/>
          <w:lang w:val="en-GB"/>
        </w:rPr>
      </w:pPr>
      <w:r w:rsidRPr="001961AA">
        <w:rPr>
          <w:noProof/>
          <w:lang w:val="en-GB"/>
        </w:rPr>
        <w:t>The objective of the investment is to equip all teachers and secondary school students with laptops. The equipment of teachers takes place on a voluntary basis: only those teachers who have requested a laptop shall be equipped with a laptop. The implementation of the investment shall be completed by 30 June 2026.</w:t>
      </w:r>
    </w:p>
    <w:p w14:paraId="1D9D31E5" w14:textId="77777777" w:rsidR="006A41D9" w:rsidRPr="001961AA" w:rsidRDefault="006A41D9" w:rsidP="00BD6DD1">
      <w:pPr>
        <w:spacing w:before="120" w:after="120" w:line="240" w:lineRule="auto"/>
        <w:jc w:val="both"/>
        <w:rPr>
          <w:rFonts w:ascii="Times New Roman" w:hAnsi="Times New Roman" w:cs="Times New Roman"/>
          <w:noProof/>
          <w:sz w:val="24"/>
          <w:szCs w:val="24"/>
          <w:u w:val="single"/>
          <w:lang w:val="en-GB"/>
        </w:rPr>
      </w:pPr>
      <w:r w:rsidRPr="001961AA">
        <w:rPr>
          <w:rFonts w:ascii="Times New Roman" w:hAnsi="Times New Roman"/>
          <w:noProof/>
          <w:sz w:val="24"/>
          <w:u w:val="single"/>
          <w:lang w:val="en-GB"/>
        </w:rPr>
        <w:t>Investment I-4: ‘Provision of digital equipment and IT infrastructure to schools’</w:t>
      </w:r>
    </w:p>
    <w:p w14:paraId="328FD4AA" w14:textId="77777777" w:rsidR="006A41D9" w:rsidRPr="001961AA" w:rsidRDefault="006A41D9" w:rsidP="00BD6DD1">
      <w:pPr>
        <w:spacing w:before="120" w:after="120" w:line="240" w:lineRule="auto"/>
        <w:jc w:val="both"/>
        <w:rPr>
          <w:rFonts w:ascii="Times New Roman" w:hAnsi="Times New Roman" w:cs="Times New Roman"/>
          <w:noProof/>
          <w:sz w:val="24"/>
          <w:szCs w:val="24"/>
          <w:lang w:val="en-GB"/>
        </w:rPr>
      </w:pPr>
      <w:r w:rsidRPr="001961AA">
        <w:rPr>
          <w:rFonts w:ascii="Times New Roman" w:hAnsi="Times New Roman"/>
          <w:noProof/>
          <w:sz w:val="24"/>
          <w:lang w:val="en-GB"/>
        </w:rPr>
        <w:t>The objective of the investment ‘provision of digital equipment and IT infrastructure to schools’ is to ensure the provision of the necessary digital equipment and IT infrastructure to schools.</w:t>
      </w:r>
    </w:p>
    <w:p w14:paraId="52DE599E" w14:textId="77777777" w:rsidR="006A41D9" w:rsidRPr="001961AA" w:rsidRDefault="006A41D9" w:rsidP="00BD6DD1">
      <w:pPr>
        <w:spacing w:before="120" w:after="120" w:line="240" w:lineRule="auto"/>
        <w:jc w:val="both"/>
        <w:rPr>
          <w:rFonts w:ascii="Times New Roman" w:hAnsi="Times New Roman" w:cs="Times New Roman"/>
          <w:noProof/>
          <w:sz w:val="24"/>
          <w:szCs w:val="24"/>
          <w:lang w:val="en-GB"/>
        </w:rPr>
      </w:pPr>
      <w:r w:rsidRPr="001961AA">
        <w:rPr>
          <w:rFonts w:ascii="Times New Roman" w:hAnsi="Times New Roman"/>
          <w:noProof/>
          <w:sz w:val="24"/>
          <w:lang w:val="en-GB"/>
        </w:rPr>
        <w:t>The investment is composed of the following sub measures/ actions:</w:t>
      </w:r>
    </w:p>
    <w:p w14:paraId="3720F6C3" w14:textId="77777777" w:rsidR="006A41D9" w:rsidRPr="001961AA" w:rsidRDefault="006A41D9" w:rsidP="00AA525D">
      <w:pPr>
        <w:pStyle w:val="ListParagraph"/>
        <w:numPr>
          <w:ilvl w:val="0"/>
          <w:numId w:val="57"/>
        </w:numPr>
        <w:tabs>
          <w:tab w:val="left" w:pos="426"/>
        </w:tabs>
        <w:spacing w:before="120" w:after="120" w:line="240" w:lineRule="auto"/>
        <w:jc w:val="both"/>
        <w:rPr>
          <w:rFonts w:ascii="Times New Roman" w:hAnsi="Times New Roman" w:cs="Times New Roman"/>
          <w:noProof/>
          <w:sz w:val="24"/>
          <w:szCs w:val="24"/>
          <w:lang w:val="en-GB"/>
        </w:rPr>
      </w:pPr>
      <w:r w:rsidRPr="001961AA">
        <w:rPr>
          <w:rFonts w:ascii="Times New Roman" w:hAnsi="Times New Roman"/>
          <w:noProof/>
          <w:sz w:val="24"/>
          <w:lang w:val="en-GB"/>
        </w:rPr>
        <w:t xml:space="preserve">Investment I-4.01: ‘Digisprong’ of the Flemish Community </w:t>
      </w:r>
    </w:p>
    <w:p w14:paraId="06A7740E" w14:textId="77777777" w:rsidR="006A41D9" w:rsidRPr="001961AA" w:rsidRDefault="006A41D9" w:rsidP="00AA525D">
      <w:pPr>
        <w:pStyle w:val="ListParagraph"/>
        <w:numPr>
          <w:ilvl w:val="0"/>
          <w:numId w:val="57"/>
        </w:numPr>
        <w:tabs>
          <w:tab w:val="left" w:pos="426"/>
        </w:tabs>
        <w:spacing w:before="120" w:after="120" w:line="240" w:lineRule="auto"/>
        <w:jc w:val="both"/>
        <w:rPr>
          <w:rFonts w:ascii="Times New Roman" w:hAnsi="Times New Roman" w:cs="Times New Roman"/>
          <w:noProof/>
          <w:sz w:val="24"/>
          <w:szCs w:val="24"/>
          <w:lang w:val="en-GB"/>
        </w:rPr>
      </w:pPr>
      <w:r w:rsidRPr="001961AA">
        <w:rPr>
          <w:rFonts w:ascii="Times New Roman" w:hAnsi="Times New Roman"/>
          <w:noProof/>
          <w:sz w:val="24"/>
          <w:lang w:val="en-GB"/>
        </w:rPr>
        <w:t xml:space="preserve">Investment I-4.04: ‘Digital strategy for higher education and adult learning’ of the French Community </w:t>
      </w:r>
    </w:p>
    <w:p w14:paraId="451C0B0D" w14:textId="77777777" w:rsidR="008A4840" w:rsidRPr="001961AA" w:rsidRDefault="006A41D9" w:rsidP="00AA525D">
      <w:pPr>
        <w:pStyle w:val="ListParagraph"/>
        <w:numPr>
          <w:ilvl w:val="0"/>
          <w:numId w:val="57"/>
        </w:numPr>
        <w:tabs>
          <w:tab w:val="left" w:pos="426"/>
        </w:tabs>
        <w:spacing w:before="120" w:after="120" w:line="240" w:lineRule="auto"/>
        <w:jc w:val="both"/>
        <w:rPr>
          <w:rFonts w:ascii="Times New Roman" w:hAnsi="Times New Roman" w:cs="Times New Roman"/>
          <w:noProof/>
          <w:sz w:val="24"/>
          <w:szCs w:val="24"/>
          <w:lang w:val="en-GB"/>
        </w:rPr>
        <w:sectPr w:rsidR="008A4840" w:rsidRPr="001961AA" w:rsidSect="008A4840">
          <w:headerReference w:type="even" r:id="rId150"/>
          <w:headerReference w:type="default" r:id="rId151"/>
          <w:footerReference w:type="even" r:id="rId152"/>
          <w:footerReference w:type="default" r:id="rId153"/>
          <w:headerReference w:type="first" r:id="rId154"/>
          <w:footerReference w:type="first" r:id="rId155"/>
          <w:pgSz w:w="11907" w:h="16839"/>
          <w:pgMar w:top="1134" w:right="1134" w:bottom="1134" w:left="1134" w:header="567" w:footer="567" w:gutter="0"/>
          <w:cols w:space="720"/>
          <w:docGrid w:linePitch="360"/>
        </w:sectPr>
      </w:pPr>
      <w:r w:rsidRPr="001961AA">
        <w:rPr>
          <w:rFonts w:ascii="Times New Roman" w:hAnsi="Times New Roman"/>
          <w:noProof/>
          <w:sz w:val="24"/>
          <w:lang w:val="en-GB"/>
        </w:rPr>
        <w:t>Investment I-4.06: ‘Digital transformation of education’ of the German-speaking community</w:t>
      </w:r>
    </w:p>
    <w:p w14:paraId="07AF1893" w14:textId="27F350FB" w:rsidR="006A41D9" w:rsidRPr="001961AA" w:rsidRDefault="008A4840" w:rsidP="008A4840">
      <w:pPr>
        <w:tabs>
          <w:tab w:val="left" w:pos="426"/>
        </w:tabs>
        <w:spacing w:before="120" w:after="120" w:line="240" w:lineRule="auto"/>
        <w:jc w:val="both"/>
        <w:rPr>
          <w:rFonts w:ascii="Times New Roman" w:hAnsi="Times New Roman" w:cs="Times New Roman"/>
          <w:noProof/>
          <w:sz w:val="24"/>
          <w:szCs w:val="24"/>
          <w:lang w:val="en-GB"/>
        </w:rPr>
      </w:pPr>
      <w:r w:rsidRPr="001961AA">
        <w:rPr>
          <w:rFonts w:ascii="Times New Roman" w:hAnsi="Times New Roman"/>
          <w:b/>
          <w:noProof/>
          <w:sz w:val="24"/>
          <w:u w:val="single"/>
          <w:lang w:val="en-GB"/>
        </w:rPr>
        <w:t xml:space="preserve">J.2. </w:t>
      </w:r>
      <w:r w:rsidRPr="001961AA">
        <w:rPr>
          <w:noProof/>
          <w:lang w:val="en-GB"/>
        </w:rPr>
        <w:tab/>
      </w:r>
      <w:r w:rsidRPr="001961AA">
        <w:rPr>
          <w:rFonts w:ascii="Times New Roman" w:hAnsi="Times New Roman"/>
          <w:b/>
          <w:noProof/>
          <w:sz w:val="24"/>
          <w:u w:val="single"/>
          <w:lang w:val="en-GB"/>
        </w:rPr>
        <w:t>Milestones, targets, indicators, and timetable for monitoring and implementation for non-repayable financial support</w:t>
      </w:r>
    </w:p>
    <w:tbl>
      <w:tblPr>
        <w:tblW w:w="15502" w:type="dxa"/>
        <w:jc w:val="center"/>
        <w:tblLayout w:type="fixed"/>
        <w:tblLook w:val="04A0" w:firstRow="1" w:lastRow="0" w:firstColumn="1" w:lastColumn="0" w:noHBand="0" w:noVBand="1"/>
      </w:tblPr>
      <w:tblGrid>
        <w:gridCol w:w="880"/>
        <w:gridCol w:w="1701"/>
        <w:gridCol w:w="1134"/>
        <w:gridCol w:w="1760"/>
        <w:gridCol w:w="1480"/>
        <w:gridCol w:w="1320"/>
        <w:gridCol w:w="1080"/>
        <w:gridCol w:w="720"/>
        <w:gridCol w:w="1080"/>
        <w:gridCol w:w="720"/>
        <w:gridCol w:w="3627"/>
      </w:tblGrid>
      <w:tr w:rsidR="00324CC6" w:rsidRPr="001961AA" w14:paraId="5DBE841B" w14:textId="77777777" w:rsidTr="00300C11">
        <w:trPr>
          <w:trHeight w:val="927"/>
          <w:tblHeader/>
          <w:jc w:val="center"/>
        </w:trPr>
        <w:tc>
          <w:tcPr>
            <w:tcW w:w="88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2C63031" w14:textId="37C6E12E" w:rsidR="006A41D9" w:rsidRPr="001961AA" w:rsidRDefault="006A41D9" w:rsidP="00BD6DD1">
            <w:pPr>
              <w:spacing w:after="0"/>
              <w:jc w:val="center"/>
              <w:rPr>
                <w:rFonts w:ascii="Times New Roman" w:eastAsia="Times New Roman" w:hAnsi="Times New Roman" w:cs="Times New Roman"/>
                <w:b/>
                <w:bCs/>
                <w:noProof/>
                <w:lang w:val="en-GB"/>
              </w:rPr>
            </w:pPr>
            <w:r w:rsidRPr="001961AA">
              <w:rPr>
                <w:rFonts w:ascii="Times New Roman" w:hAnsi="Times New Roman"/>
                <w:b/>
                <w:noProof/>
                <w:lang w:val="en-GB"/>
              </w:rPr>
              <w:t>Seq. Nb.</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7833835E" w14:textId="77777777" w:rsidR="006A41D9" w:rsidRPr="001961AA" w:rsidRDefault="006A41D9" w:rsidP="00BD6DD1">
            <w:pPr>
              <w:spacing w:after="0"/>
              <w:jc w:val="center"/>
              <w:rPr>
                <w:rFonts w:ascii="Times New Roman" w:eastAsia="Times New Roman" w:hAnsi="Times New Roman" w:cs="Times New Roman"/>
                <w:b/>
                <w:bCs/>
                <w:noProof/>
                <w:lang w:val="en-GB"/>
              </w:rPr>
            </w:pPr>
            <w:r w:rsidRPr="001961AA">
              <w:rPr>
                <w:rFonts w:ascii="Times New Roman" w:hAnsi="Times New Roman"/>
                <w:b/>
                <w:noProof/>
                <w:lang w:val="en-GB"/>
              </w:rPr>
              <w:t>Related Measure (Reform or Investment)</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B43967F" w14:textId="77777777" w:rsidR="006A41D9" w:rsidRPr="001961AA" w:rsidRDefault="006A41D9" w:rsidP="00BD6DD1">
            <w:pPr>
              <w:spacing w:after="0"/>
              <w:jc w:val="center"/>
              <w:rPr>
                <w:rFonts w:ascii="Times New Roman" w:eastAsia="Times New Roman" w:hAnsi="Times New Roman" w:cs="Times New Roman"/>
                <w:b/>
                <w:bCs/>
                <w:noProof/>
                <w:lang w:val="en-GB"/>
              </w:rPr>
            </w:pPr>
            <w:r w:rsidRPr="001961AA">
              <w:rPr>
                <w:rFonts w:ascii="Times New Roman" w:hAnsi="Times New Roman"/>
                <w:b/>
                <w:noProof/>
                <w:lang w:val="en-GB"/>
              </w:rPr>
              <w:t>Milestone / Target</w:t>
            </w:r>
          </w:p>
        </w:tc>
        <w:tc>
          <w:tcPr>
            <w:tcW w:w="176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AF16EF7" w14:textId="77777777" w:rsidR="006A41D9" w:rsidRPr="001961AA" w:rsidRDefault="006A41D9" w:rsidP="00BD6DD1">
            <w:pPr>
              <w:spacing w:after="0"/>
              <w:jc w:val="center"/>
              <w:rPr>
                <w:rFonts w:ascii="Times New Roman" w:eastAsia="Times New Roman" w:hAnsi="Times New Roman" w:cs="Times New Roman"/>
                <w:b/>
                <w:bCs/>
                <w:noProof/>
                <w:lang w:val="en-GB"/>
              </w:rPr>
            </w:pPr>
            <w:r w:rsidRPr="001961AA">
              <w:rPr>
                <w:rFonts w:ascii="Times New Roman" w:hAnsi="Times New Roman"/>
                <w:b/>
                <w:noProof/>
                <w:lang w:val="en-GB"/>
              </w:rPr>
              <w:t>Name</w:t>
            </w:r>
          </w:p>
        </w:tc>
        <w:tc>
          <w:tcPr>
            <w:tcW w:w="148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B3AB1B4" w14:textId="77777777" w:rsidR="006A41D9" w:rsidRPr="001961AA" w:rsidRDefault="006A41D9" w:rsidP="00BD6DD1">
            <w:pPr>
              <w:spacing w:after="0"/>
              <w:jc w:val="center"/>
              <w:rPr>
                <w:rFonts w:ascii="Times New Roman" w:eastAsia="Times New Roman" w:hAnsi="Times New Roman" w:cs="Times New Roman"/>
                <w:b/>
                <w:bCs/>
                <w:noProof/>
                <w:lang w:val="en-GB"/>
              </w:rPr>
            </w:pPr>
            <w:r w:rsidRPr="001961AA">
              <w:rPr>
                <w:rFonts w:ascii="Times New Roman" w:hAnsi="Times New Roman"/>
                <w:b/>
                <w:noProof/>
                <w:lang w:val="en-GB"/>
              </w:rPr>
              <w:t xml:space="preserve">Qualitative indicators </w:t>
            </w:r>
            <w:r w:rsidRPr="001961AA">
              <w:rPr>
                <w:noProof/>
                <w:lang w:val="en-GB"/>
              </w:rPr>
              <w:t xml:space="preserve"> </w:t>
            </w:r>
            <w:r w:rsidRPr="001961AA">
              <w:rPr>
                <w:noProof/>
                <w:lang w:val="en-GB"/>
              </w:rPr>
              <w:br/>
            </w:r>
            <w:r w:rsidRPr="001961AA">
              <w:rPr>
                <w:rFonts w:ascii="Times New Roman" w:hAnsi="Times New Roman"/>
                <w:b/>
                <w:noProof/>
                <w:lang w:val="en-GB"/>
              </w:rPr>
              <w:t>(for milestones)</w:t>
            </w:r>
          </w:p>
        </w:tc>
        <w:tc>
          <w:tcPr>
            <w:tcW w:w="3120" w:type="dxa"/>
            <w:gridSpan w:val="3"/>
            <w:tcBorders>
              <w:top w:val="single" w:sz="4" w:space="0" w:color="auto"/>
              <w:left w:val="single" w:sz="4" w:space="0" w:color="auto"/>
              <w:bottom w:val="single" w:sz="4" w:space="0" w:color="auto"/>
              <w:right w:val="single" w:sz="4" w:space="0" w:color="auto"/>
            </w:tcBorders>
            <w:shd w:val="clear" w:color="auto" w:fill="BDD7EE"/>
            <w:vAlign w:val="center"/>
            <w:hideMark/>
          </w:tcPr>
          <w:p w14:paraId="55C0142A" w14:textId="77777777" w:rsidR="006A41D9" w:rsidRPr="001961AA" w:rsidRDefault="006A41D9" w:rsidP="00BD6DD1">
            <w:pPr>
              <w:spacing w:after="0"/>
              <w:jc w:val="center"/>
              <w:rPr>
                <w:rFonts w:ascii="Times New Roman" w:eastAsia="Times New Roman" w:hAnsi="Times New Roman" w:cs="Times New Roman"/>
                <w:b/>
                <w:bCs/>
                <w:noProof/>
                <w:lang w:val="en-GB"/>
              </w:rPr>
            </w:pPr>
            <w:r w:rsidRPr="001961AA">
              <w:rPr>
                <w:rFonts w:ascii="Times New Roman" w:hAnsi="Times New Roman"/>
                <w:b/>
                <w:noProof/>
                <w:lang w:val="en-GB"/>
              </w:rPr>
              <w:t xml:space="preserve">Quantitative indicators </w:t>
            </w:r>
            <w:r w:rsidRPr="001961AA">
              <w:rPr>
                <w:noProof/>
                <w:lang w:val="en-GB"/>
              </w:rPr>
              <w:t xml:space="preserve"> </w:t>
            </w:r>
            <w:r w:rsidRPr="001961AA">
              <w:rPr>
                <w:noProof/>
                <w:lang w:val="en-GB"/>
              </w:rPr>
              <w:br/>
            </w:r>
            <w:r w:rsidRPr="001961AA">
              <w:rPr>
                <w:rFonts w:ascii="Times New Roman" w:hAnsi="Times New Roman"/>
                <w:b/>
                <w:noProof/>
                <w:lang w:val="en-GB"/>
              </w:rPr>
              <w:t>(for targets)</w:t>
            </w:r>
          </w:p>
        </w:tc>
        <w:tc>
          <w:tcPr>
            <w:tcW w:w="1800" w:type="dxa"/>
            <w:gridSpan w:val="2"/>
            <w:tcBorders>
              <w:top w:val="single" w:sz="4" w:space="0" w:color="auto"/>
              <w:left w:val="nil"/>
              <w:bottom w:val="single" w:sz="4" w:space="0" w:color="auto"/>
              <w:right w:val="single" w:sz="4" w:space="0" w:color="auto"/>
            </w:tcBorders>
            <w:shd w:val="clear" w:color="auto" w:fill="BDD7EE"/>
            <w:vAlign w:val="center"/>
            <w:hideMark/>
          </w:tcPr>
          <w:p w14:paraId="44D27DED" w14:textId="77777777" w:rsidR="006A41D9" w:rsidRPr="001961AA" w:rsidRDefault="006A41D9" w:rsidP="00BD6DD1">
            <w:pPr>
              <w:spacing w:after="0"/>
              <w:jc w:val="center"/>
              <w:rPr>
                <w:rFonts w:ascii="Times New Roman" w:eastAsia="Times New Roman" w:hAnsi="Times New Roman" w:cs="Times New Roman"/>
                <w:b/>
                <w:bCs/>
                <w:noProof/>
                <w:lang w:val="en-GB"/>
              </w:rPr>
            </w:pPr>
            <w:r w:rsidRPr="001961AA">
              <w:rPr>
                <w:rFonts w:ascii="Times New Roman" w:hAnsi="Times New Roman"/>
                <w:b/>
                <w:noProof/>
                <w:lang w:val="en-GB"/>
              </w:rPr>
              <w:t xml:space="preserve">Indicative timeline for completion </w:t>
            </w:r>
          </w:p>
        </w:tc>
        <w:tc>
          <w:tcPr>
            <w:tcW w:w="3627"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5A35D1CD" w14:textId="77777777" w:rsidR="006A41D9" w:rsidRPr="001961AA" w:rsidRDefault="006A41D9" w:rsidP="00BD6DD1">
            <w:pPr>
              <w:spacing w:after="0"/>
              <w:jc w:val="center"/>
              <w:rPr>
                <w:rFonts w:ascii="Times New Roman" w:eastAsia="Times New Roman" w:hAnsi="Times New Roman" w:cs="Times New Roman"/>
                <w:b/>
                <w:bCs/>
                <w:noProof/>
                <w:lang w:val="en-GB"/>
              </w:rPr>
            </w:pPr>
            <w:r w:rsidRPr="001961AA">
              <w:rPr>
                <w:rFonts w:ascii="Times New Roman" w:hAnsi="Times New Roman"/>
                <w:b/>
                <w:noProof/>
                <w:lang w:val="en-GB"/>
              </w:rPr>
              <w:t>Description of each milestone and target</w:t>
            </w:r>
          </w:p>
        </w:tc>
      </w:tr>
      <w:tr w:rsidR="009E4837" w:rsidRPr="001961AA" w14:paraId="29F77F1F" w14:textId="77777777" w:rsidTr="00300C11">
        <w:trPr>
          <w:trHeight w:val="1013"/>
          <w:jc w:val="center"/>
        </w:trPr>
        <w:tc>
          <w:tcPr>
            <w:tcW w:w="880" w:type="dxa"/>
            <w:vMerge/>
            <w:tcBorders>
              <w:top w:val="single" w:sz="4" w:space="0" w:color="auto"/>
              <w:left w:val="single" w:sz="4" w:space="0" w:color="auto"/>
              <w:bottom w:val="single" w:sz="4" w:space="0" w:color="auto"/>
              <w:right w:val="single" w:sz="4" w:space="0" w:color="auto"/>
            </w:tcBorders>
            <w:vAlign w:val="center"/>
            <w:hideMark/>
          </w:tcPr>
          <w:p w14:paraId="70DEE974" w14:textId="77777777" w:rsidR="006A41D9" w:rsidRPr="001961AA" w:rsidRDefault="006A41D9" w:rsidP="00BD6DD1">
            <w:pPr>
              <w:spacing w:after="0"/>
              <w:rPr>
                <w:rFonts w:ascii="Times New Roman" w:eastAsia="Times New Roman" w:hAnsi="Times New Roman" w:cs="Times New Roman"/>
                <w:b/>
                <w:bCs/>
                <w:noProof/>
                <w:szCs w:val="24"/>
                <w:lang w:val="en-GB" w:eastAsia="en-GB"/>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2AF0BB1" w14:textId="77777777" w:rsidR="006A41D9" w:rsidRPr="001961AA" w:rsidRDefault="006A41D9" w:rsidP="00BD6DD1">
            <w:pPr>
              <w:spacing w:after="0"/>
              <w:rPr>
                <w:rFonts w:ascii="Times New Roman" w:eastAsia="Times New Roman" w:hAnsi="Times New Roman" w:cs="Times New Roman"/>
                <w:b/>
                <w:bCs/>
                <w:noProof/>
                <w:szCs w:val="24"/>
                <w:lang w:val="en-GB" w:eastAsia="en-G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0604538" w14:textId="77777777" w:rsidR="006A41D9" w:rsidRPr="001961AA" w:rsidRDefault="006A41D9" w:rsidP="00BD6DD1">
            <w:pPr>
              <w:spacing w:after="0"/>
              <w:rPr>
                <w:rFonts w:ascii="Times New Roman" w:eastAsia="Times New Roman" w:hAnsi="Times New Roman" w:cs="Times New Roman"/>
                <w:b/>
                <w:bCs/>
                <w:noProof/>
                <w:szCs w:val="24"/>
                <w:lang w:val="en-GB" w:eastAsia="en-GB"/>
              </w:rPr>
            </w:pPr>
          </w:p>
        </w:tc>
        <w:tc>
          <w:tcPr>
            <w:tcW w:w="1760" w:type="dxa"/>
            <w:vMerge/>
            <w:tcBorders>
              <w:top w:val="single" w:sz="4" w:space="0" w:color="auto"/>
              <w:left w:val="single" w:sz="4" w:space="0" w:color="auto"/>
              <w:bottom w:val="single" w:sz="4" w:space="0" w:color="auto"/>
              <w:right w:val="single" w:sz="4" w:space="0" w:color="auto"/>
            </w:tcBorders>
            <w:vAlign w:val="center"/>
            <w:hideMark/>
          </w:tcPr>
          <w:p w14:paraId="084C2680" w14:textId="77777777" w:rsidR="006A41D9" w:rsidRPr="001961AA" w:rsidRDefault="006A41D9" w:rsidP="00BD6DD1">
            <w:pPr>
              <w:spacing w:after="0"/>
              <w:rPr>
                <w:rFonts w:ascii="Times New Roman" w:eastAsia="Times New Roman" w:hAnsi="Times New Roman" w:cs="Times New Roman"/>
                <w:b/>
                <w:bCs/>
                <w:noProof/>
                <w:szCs w:val="24"/>
                <w:lang w:val="en-GB" w:eastAsia="en-GB"/>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14:paraId="6C6DB5F8" w14:textId="77777777" w:rsidR="006A41D9" w:rsidRPr="001961AA" w:rsidRDefault="006A41D9" w:rsidP="00BD6DD1">
            <w:pPr>
              <w:spacing w:after="0"/>
              <w:rPr>
                <w:rFonts w:ascii="Times New Roman" w:eastAsia="Times New Roman" w:hAnsi="Times New Roman" w:cs="Times New Roman"/>
                <w:b/>
                <w:bCs/>
                <w:noProof/>
                <w:szCs w:val="24"/>
                <w:lang w:val="en-GB" w:eastAsia="en-GB"/>
              </w:rPr>
            </w:pPr>
          </w:p>
        </w:tc>
        <w:tc>
          <w:tcPr>
            <w:tcW w:w="1320" w:type="dxa"/>
            <w:tcBorders>
              <w:top w:val="nil"/>
              <w:left w:val="single" w:sz="4" w:space="0" w:color="auto"/>
              <w:bottom w:val="single" w:sz="4" w:space="0" w:color="auto"/>
              <w:right w:val="single" w:sz="4" w:space="0" w:color="auto"/>
            </w:tcBorders>
            <w:shd w:val="clear" w:color="auto" w:fill="BDD7EE"/>
            <w:vAlign w:val="center"/>
            <w:hideMark/>
          </w:tcPr>
          <w:p w14:paraId="47EADF86" w14:textId="77777777" w:rsidR="006A41D9" w:rsidRPr="001961AA" w:rsidRDefault="006A41D9" w:rsidP="00BD6DD1">
            <w:pPr>
              <w:spacing w:after="0"/>
              <w:jc w:val="center"/>
              <w:rPr>
                <w:rFonts w:ascii="Times New Roman" w:eastAsia="Times New Roman" w:hAnsi="Times New Roman" w:cs="Times New Roman"/>
                <w:b/>
                <w:noProof/>
                <w:lang w:val="en-GB"/>
              </w:rPr>
            </w:pPr>
            <w:r w:rsidRPr="001961AA">
              <w:rPr>
                <w:rFonts w:ascii="Times New Roman" w:hAnsi="Times New Roman"/>
                <w:b/>
                <w:noProof/>
                <w:lang w:val="en-GB"/>
              </w:rPr>
              <w:t>Unit of measure</w:t>
            </w:r>
          </w:p>
        </w:tc>
        <w:tc>
          <w:tcPr>
            <w:tcW w:w="1080" w:type="dxa"/>
            <w:tcBorders>
              <w:top w:val="nil"/>
              <w:left w:val="nil"/>
              <w:bottom w:val="single" w:sz="4" w:space="0" w:color="auto"/>
              <w:right w:val="single" w:sz="4" w:space="0" w:color="auto"/>
            </w:tcBorders>
            <w:shd w:val="clear" w:color="auto" w:fill="BDD7EE"/>
            <w:vAlign w:val="center"/>
            <w:hideMark/>
          </w:tcPr>
          <w:p w14:paraId="188DECBA" w14:textId="77777777" w:rsidR="006A41D9" w:rsidRPr="001961AA" w:rsidRDefault="006A41D9" w:rsidP="00BD6DD1">
            <w:pPr>
              <w:spacing w:after="0"/>
              <w:jc w:val="center"/>
              <w:rPr>
                <w:rFonts w:ascii="Times New Roman" w:eastAsia="Times New Roman" w:hAnsi="Times New Roman" w:cs="Times New Roman"/>
                <w:b/>
                <w:noProof/>
                <w:lang w:val="en-GB"/>
              </w:rPr>
            </w:pPr>
            <w:r w:rsidRPr="001961AA">
              <w:rPr>
                <w:rFonts w:ascii="Times New Roman" w:hAnsi="Times New Roman"/>
                <w:b/>
                <w:noProof/>
                <w:lang w:val="en-GB"/>
              </w:rPr>
              <w:t xml:space="preserve">Baseline </w:t>
            </w:r>
          </w:p>
        </w:tc>
        <w:tc>
          <w:tcPr>
            <w:tcW w:w="720" w:type="dxa"/>
            <w:tcBorders>
              <w:top w:val="nil"/>
              <w:left w:val="nil"/>
              <w:bottom w:val="single" w:sz="4" w:space="0" w:color="auto"/>
              <w:right w:val="single" w:sz="4" w:space="0" w:color="auto"/>
            </w:tcBorders>
            <w:shd w:val="clear" w:color="auto" w:fill="BDD7EE"/>
            <w:vAlign w:val="center"/>
            <w:hideMark/>
          </w:tcPr>
          <w:p w14:paraId="17BF5545" w14:textId="77777777" w:rsidR="006A41D9" w:rsidRPr="001961AA" w:rsidRDefault="006A41D9" w:rsidP="00BD6DD1">
            <w:pPr>
              <w:spacing w:after="0"/>
              <w:jc w:val="center"/>
              <w:rPr>
                <w:rFonts w:ascii="Times New Roman" w:eastAsia="Times New Roman" w:hAnsi="Times New Roman" w:cs="Times New Roman"/>
                <w:b/>
                <w:noProof/>
                <w:lang w:val="en-GB"/>
              </w:rPr>
            </w:pPr>
            <w:r w:rsidRPr="001961AA">
              <w:rPr>
                <w:rFonts w:ascii="Times New Roman" w:hAnsi="Times New Roman"/>
                <w:b/>
                <w:noProof/>
                <w:lang w:val="en-GB"/>
              </w:rPr>
              <w:t xml:space="preserve">Goal </w:t>
            </w:r>
          </w:p>
        </w:tc>
        <w:tc>
          <w:tcPr>
            <w:tcW w:w="1080" w:type="dxa"/>
            <w:tcBorders>
              <w:top w:val="nil"/>
              <w:left w:val="nil"/>
              <w:bottom w:val="single" w:sz="4" w:space="0" w:color="auto"/>
              <w:right w:val="single" w:sz="4" w:space="0" w:color="auto"/>
            </w:tcBorders>
            <w:shd w:val="clear" w:color="auto" w:fill="BDD7EE"/>
            <w:vAlign w:val="center"/>
            <w:hideMark/>
          </w:tcPr>
          <w:p w14:paraId="2236E64D" w14:textId="77777777" w:rsidR="006A41D9" w:rsidRPr="001961AA" w:rsidRDefault="006A41D9" w:rsidP="00BD6DD1">
            <w:pPr>
              <w:spacing w:after="0"/>
              <w:jc w:val="center"/>
              <w:rPr>
                <w:rFonts w:ascii="Times New Roman" w:eastAsia="Times New Roman" w:hAnsi="Times New Roman" w:cs="Times New Roman"/>
                <w:b/>
                <w:noProof/>
                <w:lang w:val="en-GB"/>
              </w:rPr>
            </w:pPr>
            <w:r w:rsidRPr="001961AA">
              <w:rPr>
                <w:rFonts w:ascii="Times New Roman" w:hAnsi="Times New Roman"/>
                <w:b/>
                <w:noProof/>
                <w:lang w:val="en-GB"/>
              </w:rPr>
              <w:t>Quarter</w:t>
            </w:r>
          </w:p>
        </w:tc>
        <w:tc>
          <w:tcPr>
            <w:tcW w:w="720" w:type="dxa"/>
            <w:tcBorders>
              <w:top w:val="nil"/>
              <w:left w:val="nil"/>
              <w:bottom w:val="single" w:sz="4" w:space="0" w:color="auto"/>
              <w:right w:val="single" w:sz="4" w:space="0" w:color="auto"/>
            </w:tcBorders>
            <w:shd w:val="clear" w:color="auto" w:fill="BDD7EE"/>
            <w:vAlign w:val="center"/>
            <w:hideMark/>
          </w:tcPr>
          <w:p w14:paraId="2F2DCE39" w14:textId="77777777" w:rsidR="006A41D9" w:rsidRPr="001961AA" w:rsidRDefault="006A41D9" w:rsidP="00BD6DD1">
            <w:pPr>
              <w:spacing w:after="0"/>
              <w:jc w:val="center"/>
              <w:rPr>
                <w:rFonts w:ascii="Times New Roman" w:eastAsia="Times New Roman" w:hAnsi="Times New Roman" w:cs="Times New Roman"/>
                <w:b/>
                <w:noProof/>
                <w:lang w:val="en-GB"/>
              </w:rPr>
            </w:pPr>
            <w:r w:rsidRPr="001961AA">
              <w:rPr>
                <w:rFonts w:ascii="Times New Roman" w:hAnsi="Times New Roman"/>
                <w:b/>
                <w:noProof/>
                <w:lang w:val="en-GB"/>
              </w:rPr>
              <w:t>Year</w:t>
            </w:r>
          </w:p>
        </w:tc>
        <w:tc>
          <w:tcPr>
            <w:tcW w:w="3627" w:type="dxa"/>
            <w:vMerge/>
            <w:tcBorders>
              <w:top w:val="single" w:sz="4" w:space="0" w:color="auto"/>
              <w:bottom w:val="single" w:sz="4" w:space="0" w:color="auto"/>
              <w:right w:val="single" w:sz="4" w:space="0" w:color="auto"/>
            </w:tcBorders>
            <w:vAlign w:val="center"/>
            <w:hideMark/>
          </w:tcPr>
          <w:p w14:paraId="0B4D27AB" w14:textId="77777777" w:rsidR="006A41D9" w:rsidRPr="001961AA" w:rsidRDefault="006A41D9" w:rsidP="00BD6DD1">
            <w:pPr>
              <w:spacing w:after="0"/>
              <w:rPr>
                <w:rFonts w:ascii="Times New Roman" w:eastAsia="Times New Roman" w:hAnsi="Times New Roman" w:cs="Times New Roman"/>
                <w:b/>
                <w:bCs/>
                <w:noProof/>
                <w:szCs w:val="24"/>
                <w:lang w:val="en-GB" w:eastAsia="en-GB"/>
              </w:rPr>
            </w:pPr>
          </w:p>
        </w:tc>
      </w:tr>
      <w:tr w:rsidR="00324CC6" w:rsidRPr="001961AA" w14:paraId="1205EF47" w14:textId="77777777" w:rsidTr="00300C11">
        <w:trPr>
          <w:trHeight w:val="309"/>
          <w:jc w:val="center"/>
        </w:trPr>
        <w:tc>
          <w:tcPr>
            <w:tcW w:w="880"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16D4A45A"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127</w:t>
            </w:r>
          </w:p>
        </w:tc>
        <w:tc>
          <w:tcPr>
            <w:tcW w:w="1701" w:type="dxa"/>
            <w:tcBorders>
              <w:top w:val="single" w:sz="4" w:space="0" w:color="auto"/>
              <w:left w:val="nil"/>
              <w:bottom w:val="single" w:sz="4" w:space="0" w:color="auto"/>
              <w:right w:val="single" w:sz="4" w:space="0" w:color="auto"/>
            </w:tcBorders>
            <w:shd w:val="clear" w:color="auto" w:fill="C6EFCE"/>
            <w:noWrap/>
            <w:vAlign w:val="center"/>
            <w:hideMark/>
          </w:tcPr>
          <w:p w14:paraId="76B1CD3C"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Digisprong (R-4.01)</w:t>
            </w:r>
          </w:p>
        </w:tc>
        <w:tc>
          <w:tcPr>
            <w:tcW w:w="1134" w:type="dxa"/>
            <w:tcBorders>
              <w:top w:val="single" w:sz="4" w:space="0" w:color="auto"/>
              <w:left w:val="nil"/>
              <w:bottom w:val="single" w:sz="4" w:space="0" w:color="auto"/>
              <w:right w:val="single" w:sz="4" w:space="0" w:color="auto"/>
            </w:tcBorders>
            <w:shd w:val="clear" w:color="auto" w:fill="C6EFCE"/>
            <w:noWrap/>
            <w:vAlign w:val="center"/>
            <w:hideMark/>
          </w:tcPr>
          <w:p w14:paraId="1E1B6E03" w14:textId="250A4A5F"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M</w:t>
            </w:r>
          </w:p>
        </w:tc>
        <w:tc>
          <w:tcPr>
            <w:tcW w:w="1760" w:type="dxa"/>
            <w:tcBorders>
              <w:top w:val="single" w:sz="4" w:space="0" w:color="auto"/>
              <w:left w:val="nil"/>
              <w:bottom w:val="single" w:sz="4" w:space="0" w:color="auto"/>
              <w:right w:val="single" w:sz="4" w:space="0" w:color="auto"/>
            </w:tcBorders>
            <w:shd w:val="clear" w:color="auto" w:fill="C6EFCE"/>
            <w:noWrap/>
            <w:vAlign w:val="center"/>
            <w:hideMark/>
          </w:tcPr>
          <w:p w14:paraId="1D581C45"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Adoption of new ICT framework for compulsory education in Flanders</w:t>
            </w:r>
          </w:p>
        </w:tc>
        <w:tc>
          <w:tcPr>
            <w:tcW w:w="1480" w:type="dxa"/>
            <w:tcBorders>
              <w:top w:val="single" w:sz="4" w:space="0" w:color="auto"/>
              <w:left w:val="nil"/>
              <w:bottom w:val="single" w:sz="4" w:space="0" w:color="auto"/>
              <w:right w:val="single" w:sz="4" w:space="0" w:color="auto"/>
            </w:tcBorders>
            <w:shd w:val="clear" w:color="auto" w:fill="C6EFCE"/>
            <w:noWrap/>
            <w:vAlign w:val="center"/>
            <w:hideMark/>
          </w:tcPr>
          <w:p w14:paraId="584138DD" w14:textId="77777777" w:rsidR="006A41D9" w:rsidRPr="001961AA" w:rsidRDefault="006A41D9" w:rsidP="00BD6DD1">
            <w:pPr>
              <w:spacing w:after="0"/>
              <w:rPr>
                <w:rFonts w:ascii="Times New Roman" w:hAnsi="Times New Roman" w:cs="Times New Roman"/>
                <w:noProof/>
                <w:lang w:val="en-GB"/>
              </w:rPr>
            </w:pPr>
            <w:r w:rsidRPr="001961AA">
              <w:rPr>
                <w:rFonts w:ascii="Times New Roman" w:hAnsi="Times New Roman"/>
                <w:noProof/>
                <w:color w:val="006100"/>
                <w:lang w:val="en-GB"/>
              </w:rPr>
              <w:t>Adoption of new legislation by the Flemish Parliament to improve the ICT framework</w:t>
            </w:r>
          </w:p>
        </w:tc>
        <w:tc>
          <w:tcPr>
            <w:tcW w:w="1320" w:type="dxa"/>
            <w:tcBorders>
              <w:top w:val="nil"/>
              <w:left w:val="nil"/>
              <w:bottom w:val="single" w:sz="4" w:space="0" w:color="auto"/>
              <w:right w:val="single" w:sz="4" w:space="0" w:color="auto"/>
            </w:tcBorders>
            <w:shd w:val="clear" w:color="auto" w:fill="C6EFCE"/>
            <w:noWrap/>
            <w:vAlign w:val="center"/>
            <w:hideMark/>
          </w:tcPr>
          <w:p w14:paraId="592F6028" w14:textId="77777777"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1080" w:type="dxa"/>
            <w:tcBorders>
              <w:top w:val="nil"/>
              <w:left w:val="nil"/>
              <w:bottom w:val="single" w:sz="4" w:space="0" w:color="auto"/>
              <w:right w:val="single" w:sz="4" w:space="0" w:color="auto"/>
            </w:tcBorders>
            <w:shd w:val="clear" w:color="auto" w:fill="C6EFCE"/>
            <w:noWrap/>
            <w:vAlign w:val="center"/>
            <w:hideMark/>
          </w:tcPr>
          <w:p w14:paraId="0988D1A0" w14:textId="77777777" w:rsidR="006A41D9" w:rsidRPr="001961AA" w:rsidRDefault="006A41D9" w:rsidP="00BD6DD1">
            <w:pPr>
              <w:spacing w:after="0"/>
              <w:jc w:val="right"/>
              <w:rPr>
                <w:rFonts w:ascii="Times New Roman" w:eastAsia="Times New Roman" w:hAnsi="Times New Roman" w:cs="Times New Roman"/>
                <w:noProof/>
                <w:color w:val="006100"/>
                <w:lang w:val="en-GB" w:eastAsia="en-GB"/>
              </w:rPr>
            </w:pPr>
          </w:p>
        </w:tc>
        <w:tc>
          <w:tcPr>
            <w:tcW w:w="720" w:type="dxa"/>
            <w:tcBorders>
              <w:top w:val="nil"/>
              <w:left w:val="nil"/>
              <w:bottom w:val="single" w:sz="4" w:space="0" w:color="auto"/>
              <w:right w:val="single" w:sz="4" w:space="0" w:color="auto"/>
            </w:tcBorders>
            <w:shd w:val="clear" w:color="auto" w:fill="C6EFCE"/>
            <w:noWrap/>
            <w:vAlign w:val="center"/>
            <w:hideMark/>
          </w:tcPr>
          <w:p w14:paraId="60DE9A99" w14:textId="77777777" w:rsidR="006A41D9" w:rsidRPr="001961AA" w:rsidRDefault="006A41D9" w:rsidP="00BD6DD1">
            <w:pPr>
              <w:spacing w:after="0"/>
              <w:jc w:val="right"/>
              <w:rPr>
                <w:rFonts w:ascii="Times New Roman" w:eastAsia="Times New Roman" w:hAnsi="Times New Roman" w:cs="Times New Roman"/>
                <w:noProof/>
                <w:color w:val="006100"/>
                <w:lang w:val="en-GB" w:eastAsia="en-GB"/>
              </w:rPr>
            </w:pPr>
          </w:p>
        </w:tc>
        <w:tc>
          <w:tcPr>
            <w:tcW w:w="1080" w:type="dxa"/>
            <w:tcBorders>
              <w:top w:val="nil"/>
              <w:left w:val="nil"/>
              <w:bottom w:val="single" w:sz="4" w:space="0" w:color="auto"/>
              <w:right w:val="single" w:sz="4" w:space="0" w:color="auto"/>
            </w:tcBorders>
            <w:shd w:val="clear" w:color="auto" w:fill="C6EFCE"/>
            <w:noWrap/>
            <w:vAlign w:val="center"/>
            <w:hideMark/>
          </w:tcPr>
          <w:p w14:paraId="56DDD79E" w14:textId="53EF2070"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Q4</w:t>
            </w:r>
          </w:p>
        </w:tc>
        <w:tc>
          <w:tcPr>
            <w:tcW w:w="720" w:type="dxa"/>
            <w:tcBorders>
              <w:top w:val="nil"/>
              <w:left w:val="nil"/>
              <w:bottom w:val="single" w:sz="4" w:space="0" w:color="auto"/>
              <w:right w:val="single" w:sz="4" w:space="0" w:color="auto"/>
            </w:tcBorders>
            <w:shd w:val="clear" w:color="auto" w:fill="C6EFCE"/>
            <w:noWrap/>
            <w:vAlign w:val="center"/>
            <w:hideMark/>
          </w:tcPr>
          <w:p w14:paraId="17A5A1CA" w14:textId="17BC5902"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2023</w:t>
            </w:r>
          </w:p>
        </w:tc>
        <w:tc>
          <w:tcPr>
            <w:tcW w:w="3627" w:type="dxa"/>
            <w:tcBorders>
              <w:top w:val="single" w:sz="4" w:space="0" w:color="auto"/>
              <w:left w:val="nil"/>
              <w:bottom w:val="single" w:sz="4" w:space="0" w:color="auto"/>
              <w:right w:val="single" w:sz="4" w:space="0" w:color="auto"/>
            </w:tcBorders>
            <w:shd w:val="clear" w:color="auto" w:fill="C6EFCE"/>
            <w:noWrap/>
            <w:vAlign w:val="center"/>
            <w:hideMark/>
          </w:tcPr>
          <w:p w14:paraId="483C909C"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 xml:space="preserve">Adoption by the Flemish Parliament of the new legislation to improve the current ICT framework on two aspects: </w:t>
            </w:r>
          </w:p>
          <w:p w14:paraId="56847C6C"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 xml:space="preserve">- the role of ICT coordinators in schools </w:t>
            </w:r>
          </w:p>
          <w:p w14:paraId="33A62D93"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 and the ICT minimum goals.</w:t>
            </w:r>
          </w:p>
          <w:p w14:paraId="74E86209" w14:textId="6786FD11"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The legislation shall allow to (i) strengthen the role of ICT coordinators in all levels of education and ensure better supervision on ICT policy in schools through the amendment of decree 31 and (ii) ratify the minimum goals for the 2</w:t>
            </w:r>
            <w:r w:rsidRPr="001961AA">
              <w:rPr>
                <w:rFonts w:ascii="Times New Roman" w:hAnsi="Times New Roman"/>
                <w:noProof/>
                <w:color w:val="006100"/>
                <w:vertAlign w:val="superscript"/>
                <w:lang w:val="en-GB"/>
              </w:rPr>
              <w:t>nd</w:t>
            </w:r>
            <w:r w:rsidRPr="001961AA">
              <w:rPr>
                <w:rFonts w:ascii="Times New Roman" w:hAnsi="Times New Roman"/>
                <w:noProof/>
                <w:color w:val="006100"/>
                <w:lang w:val="en-GB"/>
              </w:rPr>
              <w:t xml:space="preserve"> and 3</w:t>
            </w:r>
            <w:r w:rsidRPr="001961AA">
              <w:rPr>
                <w:rFonts w:ascii="Times New Roman" w:hAnsi="Times New Roman"/>
                <w:noProof/>
                <w:color w:val="006100"/>
                <w:vertAlign w:val="superscript"/>
                <w:lang w:val="en-GB"/>
              </w:rPr>
              <w:t>rd</w:t>
            </w:r>
            <w:r w:rsidRPr="001961AA">
              <w:rPr>
                <w:rFonts w:ascii="Times New Roman" w:hAnsi="Times New Roman"/>
                <w:noProof/>
                <w:color w:val="006100"/>
                <w:lang w:val="en-GB"/>
              </w:rPr>
              <w:t xml:space="preserve"> stage of secondary education.</w:t>
            </w:r>
          </w:p>
        </w:tc>
      </w:tr>
      <w:tr w:rsidR="00324CC6" w:rsidRPr="001961AA" w14:paraId="44400163" w14:textId="77777777" w:rsidTr="00300C11">
        <w:trPr>
          <w:trHeight w:val="309"/>
          <w:jc w:val="center"/>
        </w:trPr>
        <w:tc>
          <w:tcPr>
            <w:tcW w:w="880" w:type="dxa"/>
            <w:tcBorders>
              <w:top w:val="nil"/>
              <w:left w:val="single" w:sz="4" w:space="0" w:color="auto"/>
              <w:bottom w:val="single" w:sz="4" w:space="0" w:color="auto"/>
              <w:right w:val="single" w:sz="4" w:space="0" w:color="auto"/>
            </w:tcBorders>
            <w:shd w:val="clear" w:color="auto" w:fill="C6EFCE"/>
            <w:noWrap/>
            <w:vAlign w:val="center"/>
            <w:hideMark/>
          </w:tcPr>
          <w:p w14:paraId="08B941F3"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128</w:t>
            </w:r>
          </w:p>
        </w:tc>
        <w:tc>
          <w:tcPr>
            <w:tcW w:w="1701" w:type="dxa"/>
            <w:tcBorders>
              <w:top w:val="nil"/>
              <w:left w:val="nil"/>
              <w:bottom w:val="single" w:sz="4" w:space="0" w:color="auto"/>
              <w:right w:val="single" w:sz="4" w:space="0" w:color="auto"/>
            </w:tcBorders>
            <w:shd w:val="clear" w:color="auto" w:fill="C6EFCE"/>
            <w:noWrap/>
            <w:vAlign w:val="center"/>
            <w:hideMark/>
          </w:tcPr>
          <w:p w14:paraId="4623C1DF"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Higher education advancement Fund (R-4.02)</w:t>
            </w:r>
          </w:p>
        </w:tc>
        <w:tc>
          <w:tcPr>
            <w:tcW w:w="1134" w:type="dxa"/>
            <w:tcBorders>
              <w:top w:val="nil"/>
              <w:left w:val="nil"/>
              <w:bottom w:val="single" w:sz="4" w:space="0" w:color="auto"/>
              <w:right w:val="single" w:sz="4" w:space="0" w:color="auto"/>
            </w:tcBorders>
            <w:shd w:val="clear" w:color="auto" w:fill="C6EFCE"/>
            <w:noWrap/>
            <w:vAlign w:val="center"/>
            <w:hideMark/>
          </w:tcPr>
          <w:p w14:paraId="64D1637F" w14:textId="617EE94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M</w:t>
            </w:r>
          </w:p>
        </w:tc>
        <w:tc>
          <w:tcPr>
            <w:tcW w:w="1760" w:type="dxa"/>
            <w:tcBorders>
              <w:top w:val="nil"/>
              <w:left w:val="nil"/>
              <w:bottom w:val="single" w:sz="4" w:space="0" w:color="auto"/>
              <w:right w:val="single" w:sz="4" w:space="0" w:color="auto"/>
            </w:tcBorders>
            <w:shd w:val="clear" w:color="auto" w:fill="C6EFCE"/>
            <w:noWrap/>
            <w:vAlign w:val="center"/>
            <w:hideMark/>
          </w:tcPr>
          <w:p w14:paraId="4FE2F705"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Vision paper for a future oriented, agile, and digital higher education</w:t>
            </w:r>
          </w:p>
        </w:tc>
        <w:tc>
          <w:tcPr>
            <w:tcW w:w="1480" w:type="dxa"/>
            <w:tcBorders>
              <w:top w:val="nil"/>
              <w:left w:val="nil"/>
              <w:bottom w:val="single" w:sz="4" w:space="0" w:color="auto"/>
              <w:right w:val="single" w:sz="4" w:space="0" w:color="auto"/>
            </w:tcBorders>
            <w:shd w:val="clear" w:color="auto" w:fill="C6EFCE"/>
            <w:noWrap/>
            <w:vAlign w:val="center"/>
            <w:hideMark/>
          </w:tcPr>
          <w:p w14:paraId="512B6CA2"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Adoption of a vision note by the Flemish government</w:t>
            </w:r>
          </w:p>
        </w:tc>
        <w:tc>
          <w:tcPr>
            <w:tcW w:w="1320" w:type="dxa"/>
            <w:tcBorders>
              <w:top w:val="nil"/>
              <w:left w:val="nil"/>
              <w:bottom w:val="single" w:sz="4" w:space="0" w:color="auto"/>
              <w:right w:val="single" w:sz="4" w:space="0" w:color="auto"/>
            </w:tcBorders>
            <w:shd w:val="clear" w:color="auto" w:fill="C6EFCE"/>
            <w:noWrap/>
            <w:vAlign w:val="center"/>
            <w:hideMark/>
          </w:tcPr>
          <w:p w14:paraId="09F35953" w14:textId="77777777"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1080" w:type="dxa"/>
            <w:tcBorders>
              <w:top w:val="nil"/>
              <w:left w:val="nil"/>
              <w:bottom w:val="single" w:sz="4" w:space="0" w:color="auto"/>
              <w:right w:val="single" w:sz="4" w:space="0" w:color="auto"/>
            </w:tcBorders>
            <w:shd w:val="clear" w:color="auto" w:fill="C6EFCE"/>
            <w:noWrap/>
            <w:vAlign w:val="center"/>
            <w:hideMark/>
          </w:tcPr>
          <w:p w14:paraId="57B669CB" w14:textId="77777777" w:rsidR="006A41D9" w:rsidRPr="001961AA" w:rsidRDefault="006A41D9" w:rsidP="00BD6DD1">
            <w:pPr>
              <w:spacing w:after="0"/>
              <w:jc w:val="center"/>
              <w:rPr>
                <w:rFonts w:ascii="Times New Roman" w:eastAsia="Times New Roman" w:hAnsi="Times New Roman" w:cs="Times New Roman"/>
                <w:noProof/>
                <w:color w:val="006100"/>
                <w:lang w:val="en-GB" w:eastAsia="en-GB"/>
              </w:rPr>
            </w:pPr>
          </w:p>
        </w:tc>
        <w:tc>
          <w:tcPr>
            <w:tcW w:w="720" w:type="dxa"/>
            <w:tcBorders>
              <w:top w:val="nil"/>
              <w:left w:val="nil"/>
              <w:bottom w:val="single" w:sz="4" w:space="0" w:color="auto"/>
              <w:right w:val="single" w:sz="4" w:space="0" w:color="auto"/>
            </w:tcBorders>
            <w:shd w:val="clear" w:color="auto" w:fill="C6EFCE"/>
            <w:noWrap/>
            <w:vAlign w:val="center"/>
            <w:hideMark/>
          </w:tcPr>
          <w:p w14:paraId="0C0563C5" w14:textId="77777777" w:rsidR="006A41D9" w:rsidRPr="001961AA" w:rsidRDefault="006A41D9" w:rsidP="00BD6DD1">
            <w:pPr>
              <w:spacing w:after="0"/>
              <w:jc w:val="right"/>
              <w:rPr>
                <w:rFonts w:ascii="Times New Roman" w:eastAsia="Times New Roman" w:hAnsi="Times New Roman" w:cs="Times New Roman"/>
                <w:noProof/>
                <w:color w:val="006100"/>
                <w:lang w:val="en-GB" w:eastAsia="en-GB"/>
              </w:rPr>
            </w:pPr>
          </w:p>
        </w:tc>
        <w:tc>
          <w:tcPr>
            <w:tcW w:w="1080" w:type="dxa"/>
            <w:tcBorders>
              <w:top w:val="nil"/>
              <w:left w:val="nil"/>
              <w:bottom w:val="single" w:sz="4" w:space="0" w:color="auto"/>
              <w:right w:val="single" w:sz="4" w:space="0" w:color="auto"/>
            </w:tcBorders>
            <w:shd w:val="clear" w:color="auto" w:fill="C6EFCE"/>
            <w:noWrap/>
            <w:vAlign w:val="center"/>
            <w:hideMark/>
          </w:tcPr>
          <w:p w14:paraId="45D139EF"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Q4</w:t>
            </w:r>
          </w:p>
        </w:tc>
        <w:tc>
          <w:tcPr>
            <w:tcW w:w="720" w:type="dxa"/>
            <w:tcBorders>
              <w:top w:val="nil"/>
              <w:left w:val="nil"/>
              <w:bottom w:val="single" w:sz="4" w:space="0" w:color="auto"/>
              <w:right w:val="single" w:sz="4" w:space="0" w:color="auto"/>
            </w:tcBorders>
            <w:shd w:val="clear" w:color="auto" w:fill="C6EFCE"/>
            <w:noWrap/>
            <w:vAlign w:val="center"/>
            <w:hideMark/>
          </w:tcPr>
          <w:p w14:paraId="06A8569A"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2023</w:t>
            </w:r>
          </w:p>
        </w:tc>
        <w:tc>
          <w:tcPr>
            <w:tcW w:w="3627" w:type="dxa"/>
            <w:tcBorders>
              <w:top w:val="nil"/>
              <w:left w:val="nil"/>
              <w:bottom w:val="single" w:sz="4" w:space="0" w:color="auto"/>
              <w:right w:val="single" w:sz="4" w:space="0" w:color="auto"/>
            </w:tcBorders>
            <w:shd w:val="clear" w:color="auto" w:fill="C6EFCE"/>
            <w:noWrap/>
            <w:vAlign w:val="center"/>
            <w:hideMark/>
          </w:tcPr>
          <w:p w14:paraId="030EFE15"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 xml:space="preserve">Endorsement by the Minister of education and training of a vision note by the Flemish government laying out the profile for higher education and life-long learning in Flanders. The new text aims at setting the vision to develop a Flemish high education portfolio that is future-proof and agile. It shall be elaborated in consultation with a broad spectrum of stakeholders including higher education institutions, the professional field, and social partners. </w:t>
            </w:r>
          </w:p>
          <w:p w14:paraId="71361E94"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Concretely, it shall (i) define a new profile for higher education in Flanders to ensure that higher education institutions are state of the art and (ii) develop a vision on lifelong learning.</w:t>
            </w:r>
          </w:p>
        </w:tc>
      </w:tr>
      <w:tr w:rsidR="00324CC6" w:rsidRPr="001961AA" w14:paraId="5F7DED13" w14:textId="77777777" w:rsidTr="00300C11">
        <w:trPr>
          <w:trHeight w:val="309"/>
          <w:jc w:val="center"/>
        </w:trPr>
        <w:tc>
          <w:tcPr>
            <w:tcW w:w="880" w:type="dxa"/>
            <w:tcBorders>
              <w:top w:val="nil"/>
              <w:left w:val="single" w:sz="4" w:space="0" w:color="auto"/>
              <w:bottom w:val="single" w:sz="4" w:space="0" w:color="auto"/>
              <w:right w:val="single" w:sz="4" w:space="0" w:color="auto"/>
            </w:tcBorders>
            <w:shd w:val="clear" w:color="auto" w:fill="C6EFCE"/>
            <w:noWrap/>
            <w:vAlign w:val="center"/>
            <w:hideMark/>
          </w:tcPr>
          <w:p w14:paraId="668219D7"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129</w:t>
            </w:r>
          </w:p>
        </w:tc>
        <w:tc>
          <w:tcPr>
            <w:tcW w:w="1701" w:type="dxa"/>
            <w:tcBorders>
              <w:top w:val="nil"/>
              <w:left w:val="nil"/>
              <w:bottom w:val="single" w:sz="4" w:space="0" w:color="auto"/>
              <w:right w:val="single" w:sz="4" w:space="0" w:color="auto"/>
            </w:tcBorders>
            <w:shd w:val="clear" w:color="auto" w:fill="C6EFCE"/>
            <w:noWrap/>
            <w:vAlign w:val="center"/>
            <w:hideMark/>
          </w:tcPr>
          <w:p w14:paraId="28263602"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Global action plan against early school leaving (R-4.03)</w:t>
            </w:r>
          </w:p>
        </w:tc>
        <w:tc>
          <w:tcPr>
            <w:tcW w:w="1134" w:type="dxa"/>
            <w:tcBorders>
              <w:top w:val="nil"/>
              <w:left w:val="nil"/>
              <w:bottom w:val="single" w:sz="4" w:space="0" w:color="auto"/>
              <w:right w:val="single" w:sz="4" w:space="0" w:color="auto"/>
            </w:tcBorders>
            <w:shd w:val="clear" w:color="auto" w:fill="C6EFCE"/>
            <w:noWrap/>
            <w:vAlign w:val="center"/>
            <w:hideMark/>
          </w:tcPr>
          <w:p w14:paraId="5CF2A997" w14:textId="311CC80A"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M</w:t>
            </w:r>
          </w:p>
        </w:tc>
        <w:tc>
          <w:tcPr>
            <w:tcW w:w="1760" w:type="dxa"/>
            <w:tcBorders>
              <w:top w:val="nil"/>
              <w:left w:val="nil"/>
              <w:bottom w:val="single" w:sz="4" w:space="0" w:color="auto"/>
              <w:right w:val="single" w:sz="4" w:space="0" w:color="auto"/>
            </w:tcBorders>
            <w:shd w:val="clear" w:color="auto" w:fill="C6EFCE"/>
            <w:noWrap/>
            <w:vAlign w:val="center"/>
            <w:hideMark/>
          </w:tcPr>
          <w:p w14:paraId="6460EEE7"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New comprehensive plan against school dropout</w:t>
            </w:r>
          </w:p>
        </w:tc>
        <w:tc>
          <w:tcPr>
            <w:tcW w:w="1480" w:type="dxa"/>
            <w:tcBorders>
              <w:top w:val="nil"/>
              <w:left w:val="nil"/>
              <w:bottom w:val="single" w:sz="4" w:space="0" w:color="auto"/>
              <w:right w:val="single" w:sz="4" w:space="0" w:color="auto"/>
            </w:tcBorders>
            <w:shd w:val="clear" w:color="auto" w:fill="C6EFCE"/>
            <w:noWrap/>
            <w:vAlign w:val="center"/>
            <w:hideMark/>
          </w:tcPr>
          <w:p w14:paraId="75BA0714"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Adoption by the French Community of new legislative acts against school dropout</w:t>
            </w:r>
          </w:p>
        </w:tc>
        <w:tc>
          <w:tcPr>
            <w:tcW w:w="1320" w:type="dxa"/>
            <w:tcBorders>
              <w:top w:val="nil"/>
              <w:left w:val="nil"/>
              <w:bottom w:val="single" w:sz="4" w:space="0" w:color="auto"/>
              <w:right w:val="single" w:sz="4" w:space="0" w:color="auto"/>
            </w:tcBorders>
            <w:shd w:val="clear" w:color="auto" w:fill="C6EFCE"/>
            <w:noWrap/>
            <w:vAlign w:val="center"/>
            <w:hideMark/>
          </w:tcPr>
          <w:p w14:paraId="7CAE916F" w14:textId="77777777"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1080" w:type="dxa"/>
            <w:tcBorders>
              <w:top w:val="nil"/>
              <w:left w:val="nil"/>
              <w:bottom w:val="single" w:sz="4" w:space="0" w:color="auto"/>
              <w:right w:val="single" w:sz="4" w:space="0" w:color="auto"/>
            </w:tcBorders>
            <w:shd w:val="clear" w:color="auto" w:fill="C6EFCE"/>
            <w:noWrap/>
            <w:vAlign w:val="center"/>
            <w:hideMark/>
          </w:tcPr>
          <w:p w14:paraId="500E433D" w14:textId="77777777"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720" w:type="dxa"/>
            <w:tcBorders>
              <w:top w:val="nil"/>
              <w:left w:val="nil"/>
              <w:bottom w:val="single" w:sz="4" w:space="0" w:color="auto"/>
              <w:right w:val="single" w:sz="4" w:space="0" w:color="auto"/>
            </w:tcBorders>
            <w:shd w:val="clear" w:color="auto" w:fill="C6EFCE"/>
            <w:noWrap/>
            <w:vAlign w:val="center"/>
            <w:hideMark/>
          </w:tcPr>
          <w:p w14:paraId="4E365500" w14:textId="77777777"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1080" w:type="dxa"/>
            <w:tcBorders>
              <w:top w:val="nil"/>
              <w:left w:val="nil"/>
              <w:bottom w:val="single" w:sz="4" w:space="0" w:color="auto"/>
              <w:right w:val="single" w:sz="4" w:space="0" w:color="auto"/>
            </w:tcBorders>
            <w:shd w:val="clear" w:color="auto" w:fill="C6EFCE"/>
            <w:noWrap/>
            <w:vAlign w:val="center"/>
            <w:hideMark/>
          </w:tcPr>
          <w:p w14:paraId="1567B2AD" w14:textId="40A7529D"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Q2</w:t>
            </w:r>
          </w:p>
        </w:tc>
        <w:tc>
          <w:tcPr>
            <w:tcW w:w="720" w:type="dxa"/>
            <w:tcBorders>
              <w:top w:val="nil"/>
              <w:left w:val="nil"/>
              <w:bottom w:val="single" w:sz="4" w:space="0" w:color="auto"/>
              <w:right w:val="single" w:sz="4" w:space="0" w:color="auto"/>
            </w:tcBorders>
            <w:shd w:val="clear" w:color="auto" w:fill="C6EFCE"/>
            <w:noWrap/>
            <w:vAlign w:val="center"/>
            <w:hideMark/>
          </w:tcPr>
          <w:p w14:paraId="463E49E0" w14:textId="6E1917EA"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2024</w:t>
            </w:r>
          </w:p>
        </w:tc>
        <w:tc>
          <w:tcPr>
            <w:tcW w:w="3627" w:type="dxa"/>
            <w:tcBorders>
              <w:top w:val="nil"/>
              <w:left w:val="nil"/>
              <w:bottom w:val="single" w:sz="4" w:space="0" w:color="auto"/>
              <w:right w:val="single" w:sz="4" w:space="0" w:color="auto"/>
            </w:tcBorders>
            <w:shd w:val="clear" w:color="auto" w:fill="C6EFCE"/>
            <w:noWrap/>
            <w:vAlign w:val="center"/>
            <w:hideMark/>
          </w:tcPr>
          <w:p w14:paraId="5EA4E499"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The overall plan against school dropout includes reviewed decrees addressing 4 key areas:</w:t>
            </w:r>
          </w:p>
          <w:p w14:paraId="76E2B3B2"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(1) ‘Centres Psycho-Médicaux-Sociaux’ (CPMS)’: the decree shall review their role to strengthen the focus of their mission on school drop-out.</w:t>
            </w:r>
          </w:p>
          <w:p w14:paraId="7214A600"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 School exclusion: the decree shall limit the grounds for exclusion and establish a single board of appeal to ensure equal treatment of students.</w:t>
            </w:r>
          </w:p>
          <w:p w14:paraId="1D315566"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(3) Prevention and intervention: the decree shall reinforce the support and prevention mechanisms for students demonstrating particular signals of potential drop out (such as students with 10 half days of unjustified absence).</w:t>
            </w:r>
          </w:p>
          <w:p w14:paraId="08A5E63A"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(4) Compensation: the decree shall promote compensation mechanisms to allow students - especially those who have accumulated a period of absence of several months - to be taken in charge by 3rd line workers in order to provide transitional support with an SAS or within the framework of an internship or citizen project.</w:t>
            </w:r>
          </w:p>
        </w:tc>
      </w:tr>
      <w:tr w:rsidR="00324CC6" w:rsidRPr="001961AA" w14:paraId="2CB88189" w14:textId="77777777" w:rsidTr="00300C11">
        <w:trPr>
          <w:trHeight w:val="309"/>
          <w:jc w:val="center"/>
        </w:trPr>
        <w:tc>
          <w:tcPr>
            <w:tcW w:w="880" w:type="dxa"/>
            <w:tcBorders>
              <w:top w:val="nil"/>
              <w:left w:val="single" w:sz="4" w:space="0" w:color="auto"/>
              <w:bottom w:val="single" w:sz="4" w:space="0" w:color="auto"/>
              <w:right w:val="single" w:sz="4" w:space="0" w:color="auto"/>
            </w:tcBorders>
            <w:shd w:val="clear" w:color="auto" w:fill="C6EFCE"/>
            <w:noWrap/>
            <w:vAlign w:val="center"/>
          </w:tcPr>
          <w:p w14:paraId="0D0CEAFD"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131</w:t>
            </w:r>
          </w:p>
        </w:tc>
        <w:tc>
          <w:tcPr>
            <w:tcW w:w="1701" w:type="dxa"/>
            <w:tcBorders>
              <w:top w:val="nil"/>
              <w:left w:val="nil"/>
              <w:bottom w:val="single" w:sz="4" w:space="0" w:color="auto"/>
              <w:right w:val="single" w:sz="4" w:space="0" w:color="auto"/>
            </w:tcBorders>
            <w:shd w:val="clear" w:color="auto" w:fill="C6EFCE"/>
            <w:noWrap/>
            <w:vAlign w:val="center"/>
          </w:tcPr>
          <w:p w14:paraId="439FB68A"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Provision of digital equipment and IT infrastructure to schools (I-4)</w:t>
            </w:r>
          </w:p>
        </w:tc>
        <w:tc>
          <w:tcPr>
            <w:tcW w:w="1134" w:type="dxa"/>
            <w:tcBorders>
              <w:top w:val="nil"/>
              <w:left w:val="nil"/>
              <w:bottom w:val="single" w:sz="4" w:space="0" w:color="auto"/>
              <w:right w:val="single" w:sz="4" w:space="0" w:color="auto"/>
            </w:tcBorders>
            <w:shd w:val="clear" w:color="auto" w:fill="C6EFCE"/>
            <w:noWrap/>
            <w:vAlign w:val="center"/>
          </w:tcPr>
          <w:p w14:paraId="612AA2AC" w14:textId="48EE8150"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T</w:t>
            </w:r>
          </w:p>
        </w:tc>
        <w:tc>
          <w:tcPr>
            <w:tcW w:w="1760" w:type="dxa"/>
            <w:tcBorders>
              <w:top w:val="nil"/>
              <w:left w:val="nil"/>
              <w:bottom w:val="single" w:sz="4" w:space="0" w:color="auto"/>
              <w:right w:val="single" w:sz="4" w:space="0" w:color="auto"/>
            </w:tcBorders>
            <w:shd w:val="clear" w:color="auto" w:fill="C6EFCE"/>
            <w:noWrap/>
            <w:vAlign w:val="center"/>
          </w:tcPr>
          <w:p w14:paraId="3BAF98D2" w14:textId="114EEE05"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Equipping schools / institutions with adequate ICT devices and infrastructure to improve the overall performance of education systems</w:t>
            </w:r>
          </w:p>
        </w:tc>
        <w:tc>
          <w:tcPr>
            <w:tcW w:w="1480" w:type="dxa"/>
            <w:tcBorders>
              <w:top w:val="nil"/>
              <w:left w:val="nil"/>
              <w:bottom w:val="single" w:sz="4" w:space="0" w:color="auto"/>
              <w:right w:val="single" w:sz="4" w:space="0" w:color="auto"/>
            </w:tcBorders>
            <w:shd w:val="clear" w:color="auto" w:fill="C6EFCE"/>
            <w:noWrap/>
            <w:vAlign w:val="center"/>
          </w:tcPr>
          <w:p w14:paraId="5A867F30" w14:textId="77777777"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1320" w:type="dxa"/>
            <w:tcBorders>
              <w:top w:val="nil"/>
              <w:left w:val="nil"/>
              <w:bottom w:val="single" w:sz="4" w:space="0" w:color="auto"/>
              <w:right w:val="single" w:sz="4" w:space="0" w:color="auto"/>
            </w:tcBorders>
            <w:shd w:val="clear" w:color="auto" w:fill="C6EFCE"/>
            <w:noWrap/>
            <w:vAlign w:val="center"/>
          </w:tcPr>
          <w:p w14:paraId="74CA388A" w14:textId="3A41F049" w:rsidR="006A41D9" w:rsidRPr="001961AA" w:rsidRDefault="006A41D9" w:rsidP="00BD6DD1">
            <w:pPr>
              <w:spacing w:after="0"/>
              <w:rPr>
                <w:rFonts w:ascii="Times New Roman" w:eastAsia="Times New Roman" w:hAnsi="Times New Roman" w:cs="Times New Roman"/>
                <w:noProof/>
                <w:color w:val="006100"/>
                <w:highlight w:val="cyan"/>
                <w:lang w:val="en-GB"/>
              </w:rPr>
            </w:pPr>
            <w:r w:rsidRPr="001961AA">
              <w:rPr>
                <w:rFonts w:ascii="Times New Roman" w:hAnsi="Times New Roman"/>
                <w:noProof/>
                <w:color w:val="006100"/>
                <w:lang w:val="en-GB"/>
              </w:rPr>
              <w:t xml:space="preserve">Number of schools / Institutions receiving funds </w:t>
            </w:r>
          </w:p>
        </w:tc>
        <w:tc>
          <w:tcPr>
            <w:tcW w:w="1080" w:type="dxa"/>
            <w:tcBorders>
              <w:top w:val="nil"/>
              <w:left w:val="nil"/>
              <w:bottom w:val="single" w:sz="4" w:space="0" w:color="auto"/>
              <w:right w:val="single" w:sz="4" w:space="0" w:color="auto"/>
            </w:tcBorders>
            <w:shd w:val="clear" w:color="auto" w:fill="C6EFCE"/>
            <w:noWrap/>
            <w:vAlign w:val="center"/>
          </w:tcPr>
          <w:p w14:paraId="0CE7F9C0" w14:textId="4C94D2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0</w:t>
            </w:r>
          </w:p>
        </w:tc>
        <w:tc>
          <w:tcPr>
            <w:tcW w:w="720" w:type="dxa"/>
            <w:tcBorders>
              <w:top w:val="nil"/>
              <w:left w:val="nil"/>
              <w:bottom w:val="single" w:sz="4" w:space="0" w:color="auto"/>
              <w:right w:val="single" w:sz="4" w:space="0" w:color="auto"/>
            </w:tcBorders>
            <w:shd w:val="clear" w:color="auto" w:fill="C6EFCE"/>
            <w:noWrap/>
            <w:vAlign w:val="center"/>
          </w:tcPr>
          <w:p w14:paraId="3A64F8B7" w14:textId="045AEAB0"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3 828</w:t>
            </w:r>
          </w:p>
        </w:tc>
        <w:tc>
          <w:tcPr>
            <w:tcW w:w="1080" w:type="dxa"/>
            <w:tcBorders>
              <w:top w:val="nil"/>
              <w:left w:val="nil"/>
              <w:bottom w:val="single" w:sz="4" w:space="0" w:color="auto"/>
              <w:right w:val="single" w:sz="4" w:space="0" w:color="auto"/>
            </w:tcBorders>
            <w:shd w:val="clear" w:color="auto" w:fill="C6EFCE"/>
            <w:noWrap/>
            <w:vAlign w:val="center"/>
          </w:tcPr>
          <w:p w14:paraId="4EA666A3"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Q4</w:t>
            </w:r>
          </w:p>
        </w:tc>
        <w:tc>
          <w:tcPr>
            <w:tcW w:w="720" w:type="dxa"/>
            <w:tcBorders>
              <w:top w:val="nil"/>
              <w:left w:val="nil"/>
              <w:bottom w:val="single" w:sz="4" w:space="0" w:color="auto"/>
              <w:right w:val="single" w:sz="4" w:space="0" w:color="auto"/>
            </w:tcBorders>
            <w:shd w:val="clear" w:color="auto" w:fill="C6EFCE"/>
            <w:noWrap/>
            <w:vAlign w:val="center"/>
          </w:tcPr>
          <w:p w14:paraId="60BC531B"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2022</w:t>
            </w:r>
          </w:p>
        </w:tc>
        <w:tc>
          <w:tcPr>
            <w:tcW w:w="3627" w:type="dxa"/>
            <w:tcBorders>
              <w:top w:val="nil"/>
              <w:left w:val="nil"/>
              <w:bottom w:val="single" w:sz="4" w:space="0" w:color="auto"/>
              <w:right w:val="single" w:sz="4" w:space="0" w:color="auto"/>
            </w:tcBorders>
            <w:shd w:val="clear" w:color="auto" w:fill="C6EFCE"/>
            <w:noWrap/>
            <w:vAlign w:val="center"/>
          </w:tcPr>
          <w:p w14:paraId="33CD0F1F" w14:textId="2EEA120B"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3 828 schools and/or educational institutions in Belgium have received funds to upgrade of ICT infrastructure, including:</w:t>
            </w:r>
          </w:p>
          <w:p w14:paraId="5CC9E9B5" w14:textId="64C2FAFF"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 Flemish community (I-4.01): 3 785 compulsory education schools</w:t>
            </w:r>
          </w:p>
          <w:p w14:paraId="4917AF9A" w14:textId="03981B5D"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w:t>
            </w:r>
            <w:r w:rsidRPr="001961AA">
              <w:rPr>
                <w:noProof/>
                <w:lang w:val="en-GB"/>
              </w:rPr>
              <w:t xml:space="preserve"> </w:t>
            </w:r>
            <w:r w:rsidRPr="001961AA">
              <w:rPr>
                <w:rFonts w:ascii="Times New Roman" w:hAnsi="Times New Roman"/>
                <w:noProof/>
                <w:color w:val="006100"/>
                <w:lang w:val="en-GB"/>
              </w:rPr>
              <w:t xml:space="preserve">German-speaking community (I-4.06): 43 </w:t>
            </w:r>
            <w:r w:rsidR="00122F5F">
              <w:rPr>
                <w:rFonts w:ascii="Times New Roman" w:hAnsi="Times New Roman"/>
                <w:noProof/>
                <w:color w:val="006100"/>
                <w:lang w:val="en-GB"/>
              </w:rPr>
              <w:t xml:space="preserve">compulsory education </w:t>
            </w:r>
            <w:r w:rsidRPr="001961AA">
              <w:rPr>
                <w:rFonts w:ascii="Times New Roman" w:hAnsi="Times New Roman"/>
                <w:noProof/>
                <w:color w:val="006100"/>
                <w:lang w:val="en-GB"/>
              </w:rPr>
              <w:t>schools.</w:t>
            </w:r>
          </w:p>
        </w:tc>
      </w:tr>
      <w:tr w:rsidR="00324CC6" w:rsidRPr="001961AA" w14:paraId="228C708F" w14:textId="77777777" w:rsidTr="00300C11">
        <w:trPr>
          <w:trHeight w:val="309"/>
          <w:jc w:val="center"/>
        </w:trPr>
        <w:tc>
          <w:tcPr>
            <w:tcW w:w="880" w:type="dxa"/>
            <w:tcBorders>
              <w:top w:val="nil"/>
              <w:left w:val="single" w:sz="4" w:space="0" w:color="auto"/>
              <w:bottom w:val="single" w:sz="4" w:space="0" w:color="auto"/>
              <w:right w:val="single" w:sz="4" w:space="0" w:color="auto"/>
            </w:tcBorders>
            <w:shd w:val="clear" w:color="auto" w:fill="C6EFCE"/>
            <w:noWrap/>
            <w:vAlign w:val="center"/>
          </w:tcPr>
          <w:p w14:paraId="18A7E1FB"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133</w:t>
            </w:r>
          </w:p>
        </w:tc>
        <w:tc>
          <w:tcPr>
            <w:tcW w:w="1701" w:type="dxa"/>
            <w:tcBorders>
              <w:top w:val="nil"/>
              <w:left w:val="nil"/>
              <w:bottom w:val="single" w:sz="4" w:space="0" w:color="auto"/>
              <w:right w:val="single" w:sz="4" w:space="0" w:color="auto"/>
            </w:tcBorders>
            <w:shd w:val="clear" w:color="auto" w:fill="C6EFCE"/>
            <w:noWrap/>
            <w:vAlign w:val="center"/>
          </w:tcPr>
          <w:p w14:paraId="7B95173F"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Provision of digital equipment and IT infrastructure to schools’ (I-4)</w:t>
            </w:r>
          </w:p>
        </w:tc>
        <w:tc>
          <w:tcPr>
            <w:tcW w:w="1134" w:type="dxa"/>
            <w:tcBorders>
              <w:top w:val="nil"/>
              <w:left w:val="nil"/>
              <w:bottom w:val="single" w:sz="4" w:space="0" w:color="auto"/>
              <w:right w:val="single" w:sz="4" w:space="0" w:color="auto"/>
            </w:tcBorders>
            <w:shd w:val="clear" w:color="auto" w:fill="C6EFCE"/>
            <w:noWrap/>
            <w:vAlign w:val="center"/>
          </w:tcPr>
          <w:p w14:paraId="21A9CD84" w14:textId="3B152D42"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T</w:t>
            </w:r>
          </w:p>
        </w:tc>
        <w:tc>
          <w:tcPr>
            <w:tcW w:w="1760" w:type="dxa"/>
            <w:tcBorders>
              <w:top w:val="nil"/>
              <w:left w:val="nil"/>
              <w:bottom w:val="single" w:sz="4" w:space="0" w:color="auto"/>
              <w:right w:val="single" w:sz="4" w:space="0" w:color="auto"/>
            </w:tcBorders>
            <w:shd w:val="clear" w:color="auto" w:fill="C6EFCE"/>
            <w:noWrap/>
            <w:vAlign w:val="center"/>
          </w:tcPr>
          <w:p w14:paraId="0A3DFDB9" w14:textId="1C0DF894"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Equipping schools / institutions with adequate ICT devices and infrastructure to improve the overall performance of education systems</w:t>
            </w:r>
          </w:p>
        </w:tc>
        <w:tc>
          <w:tcPr>
            <w:tcW w:w="1480" w:type="dxa"/>
            <w:tcBorders>
              <w:top w:val="nil"/>
              <w:left w:val="nil"/>
              <w:bottom w:val="single" w:sz="4" w:space="0" w:color="auto"/>
              <w:right w:val="single" w:sz="4" w:space="0" w:color="auto"/>
            </w:tcBorders>
            <w:shd w:val="clear" w:color="auto" w:fill="C6EFCE"/>
            <w:noWrap/>
            <w:vAlign w:val="center"/>
          </w:tcPr>
          <w:p w14:paraId="073B619A" w14:textId="77777777"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1320" w:type="dxa"/>
            <w:tcBorders>
              <w:top w:val="nil"/>
              <w:left w:val="nil"/>
              <w:bottom w:val="single" w:sz="4" w:space="0" w:color="auto"/>
              <w:right w:val="single" w:sz="4" w:space="0" w:color="auto"/>
            </w:tcBorders>
            <w:shd w:val="clear" w:color="auto" w:fill="C6EFCE"/>
            <w:noWrap/>
            <w:vAlign w:val="center"/>
          </w:tcPr>
          <w:p w14:paraId="0C1BF7B0" w14:textId="5709C986"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 xml:space="preserve">Number of schools / institutions receiving funds </w:t>
            </w:r>
          </w:p>
        </w:tc>
        <w:tc>
          <w:tcPr>
            <w:tcW w:w="1080" w:type="dxa"/>
            <w:tcBorders>
              <w:top w:val="nil"/>
              <w:left w:val="nil"/>
              <w:bottom w:val="single" w:sz="4" w:space="0" w:color="auto"/>
              <w:right w:val="single" w:sz="4" w:space="0" w:color="auto"/>
            </w:tcBorders>
            <w:shd w:val="clear" w:color="auto" w:fill="C6EFCE"/>
            <w:noWrap/>
            <w:vAlign w:val="center"/>
          </w:tcPr>
          <w:p w14:paraId="27F9CAE5" w14:textId="0090DB29"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3 828</w:t>
            </w:r>
          </w:p>
        </w:tc>
        <w:tc>
          <w:tcPr>
            <w:tcW w:w="720" w:type="dxa"/>
            <w:tcBorders>
              <w:top w:val="nil"/>
              <w:left w:val="nil"/>
              <w:bottom w:val="single" w:sz="4" w:space="0" w:color="auto"/>
              <w:right w:val="single" w:sz="4" w:space="0" w:color="auto"/>
            </w:tcBorders>
            <w:shd w:val="clear" w:color="auto" w:fill="C6EFCE"/>
            <w:noWrap/>
            <w:vAlign w:val="center"/>
          </w:tcPr>
          <w:p w14:paraId="34E97042" w14:textId="503461AD"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3 905</w:t>
            </w:r>
          </w:p>
        </w:tc>
        <w:tc>
          <w:tcPr>
            <w:tcW w:w="1080" w:type="dxa"/>
            <w:tcBorders>
              <w:top w:val="nil"/>
              <w:left w:val="nil"/>
              <w:bottom w:val="single" w:sz="4" w:space="0" w:color="auto"/>
              <w:right w:val="single" w:sz="4" w:space="0" w:color="auto"/>
            </w:tcBorders>
            <w:shd w:val="clear" w:color="auto" w:fill="C6EFCE"/>
            <w:noWrap/>
            <w:vAlign w:val="center"/>
          </w:tcPr>
          <w:p w14:paraId="7A846F3C"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Q2</w:t>
            </w:r>
          </w:p>
        </w:tc>
        <w:tc>
          <w:tcPr>
            <w:tcW w:w="720" w:type="dxa"/>
            <w:tcBorders>
              <w:top w:val="nil"/>
              <w:left w:val="nil"/>
              <w:bottom w:val="single" w:sz="4" w:space="0" w:color="auto"/>
              <w:right w:val="single" w:sz="4" w:space="0" w:color="auto"/>
            </w:tcBorders>
            <w:shd w:val="clear" w:color="auto" w:fill="C6EFCE"/>
            <w:noWrap/>
            <w:vAlign w:val="center"/>
          </w:tcPr>
          <w:p w14:paraId="45AC5A24"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2026</w:t>
            </w:r>
          </w:p>
        </w:tc>
        <w:tc>
          <w:tcPr>
            <w:tcW w:w="3627" w:type="dxa"/>
            <w:tcBorders>
              <w:top w:val="nil"/>
              <w:left w:val="nil"/>
              <w:bottom w:val="single" w:sz="4" w:space="0" w:color="auto"/>
              <w:right w:val="single" w:sz="4" w:space="0" w:color="auto"/>
            </w:tcBorders>
            <w:shd w:val="clear" w:color="auto" w:fill="C6EFCE"/>
            <w:noWrap/>
            <w:vAlign w:val="center"/>
          </w:tcPr>
          <w:p w14:paraId="000AEEF9" w14:textId="06527543"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3 905 schools and/or educational institutions in Belgium have received funds to upgrade ICT infrastructure, including:</w:t>
            </w:r>
          </w:p>
          <w:p w14:paraId="1577733C" w14:textId="759B7E16"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French Community (I-4.04), 40% (77) of institutions of Social Promotion Education and Higher Education.</w:t>
            </w:r>
          </w:p>
        </w:tc>
      </w:tr>
      <w:tr w:rsidR="00324CC6" w:rsidRPr="001961AA" w14:paraId="1D08D246" w14:textId="77777777" w:rsidTr="00300C11">
        <w:trPr>
          <w:trHeight w:val="309"/>
          <w:jc w:val="center"/>
        </w:trPr>
        <w:tc>
          <w:tcPr>
            <w:tcW w:w="880" w:type="dxa"/>
            <w:tcBorders>
              <w:top w:val="nil"/>
              <w:left w:val="single" w:sz="4" w:space="0" w:color="auto"/>
              <w:bottom w:val="single" w:sz="4" w:space="0" w:color="auto"/>
              <w:right w:val="single" w:sz="4" w:space="0" w:color="auto"/>
            </w:tcBorders>
            <w:shd w:val="clear" w:color="auto" w:fill="C6EFCE"/>
            <w:noWrap/>
            <w:vAlign w:val="center"/>
          </w:tcPr>
          <w:p w14:paraId="00C6D46D"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134</w:t>
            </w:r>
          </w:p>
        </w:tc>
        <w:tc>
          <w:tcPr>
            <w:tcW w:w="1701" w:type="dxa"/>
            <w:tcBorders>
              <w:top w:val="nil"/>
              <w:left w:val="nil"/>
              <w:bottom w:val="single" w:sz="4" w:space="0" w:color="auto"/>
              <w:right w:val="single" w:sz="4" w:space="0" w:color="auto"/>
            </w:tcBorders>
            <w:shd w:val="clear" w:color="auto" w:fill="C6EFCE"/>
            <w:noWrap/>
            <w:vAlign w:val="center"/>
          </w:tcPr>
          <w:p w14:paraId="66D00F18"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Higher Education Advancement Fund (I-4.02)</w:t>
            </w:r>
          </w:p>
        </w:tc>
        <w:tc>
          <w:tcPr>
            <w:tcW w:w="1134" w:type="dxa"/>
            <w:tcBorders>
              <w:top w:val="nil"/>
              <w:left w:val="nil"/>
              <w:bottom w:val="single" w:sz="4" w:space="0" w:color="auto"/>
              <w:right w:val="single" w:sz="4" w:space="0" w:color="auto"/>
            </w:tcBorders>
            <w:shd w:val="clear" w:color="auto" w:fill="C6EFCE"/>
            <w:noWrap/>
            <w:vAlign w:val="center"/>
          </w:tcPr>
          <w:p w14:paraId="56E00015" w14:textId="356C52E0"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T</w:t>
            </w:r>
          </w:p>
        </w:tc>
        <w:tc>
          <w:tcPr>
            <w:tcW w:w="1760" w:type="dxa"/>
            <w:tcBorders>
              <w:top w:val="nil"/>
              <w:left w:val="nil"/>
              <w:bottom w:val="single" w:sz="4" w:space="0" w:color="auto"/>
              <w:right w:val="single" w:sz="4" w:space="0" w:color="auto"/>
            </w:tcBorders>
            <w:shd w:val="clear" w:color="auto" w:fill="C6EFCE"/>
            <w:noWrap/>
            <w:vAlign w:val="center"/>
          </w:tcPr>
          <w:p w14:paraId="6A700E4D"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Improving High Education offering in Flanders to make it more future-proof and agile</w:t>
            </w:r>
          </w:p>
        </w:tc>
        <w:tc>
          <w:tcPr>
            <w:tcW w:w="1480" w:type="dxa"/>
            <w:tcBorders>
              <w:top w:val="nil"/>
              <w:left w:val="nil"/>
              <w:bottom w:val="single" w:sz="4" w:space="0" w:color="auto"/>
              <w:right w:val="single" w:sz="4" w:space="0" w:color="auto"/>
            </w:tcBorders>
            <w:shd w:val="clear" w:color="auto" w:fill="C6EFCE"/>
            <w:noWrap/>
            <w:vAlign w:val="center"/>
          </w:tcPr>
          <w:p w14:paraId="67E196A8" w14:textId="77777777"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1320" w:type="dxa"/>
            <w:tcBorders>
              <w:top w:val="nil"/>
              <w:left w:val="nil"/>
              <w:bottom w:val="single" w:sz="4" w:space="0" w:color="auto"/>
              <w:right w:val="single" w:sz="4" w:space="0" w:color="auto"/>
            </w:tcBorders>
            <w:shd w:val="clear" w:color="auto" w:fill="C6EFCE"/>
            <w:noWrap/>
            <w:vAlign w:val="center"/>
          </w:tcPr>
          <w:p w14:paraId="545DA071" w14:textId="6940FC3D"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 xml:space="preserve">Number of higher education institutions who received funds </w:t>
            </w:r>
          </w:p>
        </w:tc>
        <w:tc>
          <w:tcPr>
            <w:tcW w:w="1080" w:type="dxa"/>
            <w:tcBorders>
              <w:top w:val="nil"/>
              <w:left w:val="nil"/>
              <w:bottom w:val="single" w:sz="4" w:space="0" w:color="auto"/>
              <w:right w:val="single" w:sz="4" w:space="0" w:color="auto"/>
            </w:tcBorders>
            <w:shd w:val="clear" w:color="auto" w:fill="C6EFCE"/>
            <w:noWrap/>
            <w:vAlign w:val="center"/>
          </w:tcPr>
          <w:p w14:paraId="26E10118"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0</w:t>
            </w:r>
          </w:p>
        </w:tc>
        <w:tc>
          <w:tcPr>
            <w:tcW w:w="720" w:type="dxa"/>
            <w:tcBorders>
              <w:top w:val="nil"/>
              <w:left w:val="nil"/>
              <w:bottom w:val="single" w:sz="4" w:space="0" w:color="auto"/>
              <w:right w:val="single" w:sz="4" w:space="0" w:color="auto"/>
            </w:tcBorders>
            <w:shd w:val="clear" w:color="auto" w:fill="C6EFCE"/>
            <w:noWrap/>
            <w:vAlign w:val="center"/>
          </w:tcPr>
          <w:p w14:paraId="20F3BABB"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7</w:t>
            </w:r>
          </w:p>
        </w:tc>
        <w:tc>
          <w:tcPr>
            <w:tcW w:w="1080" w:type="dxa"/>
            <w:tcBorders>
              <w:top w:val="nil"/>
              <w:left w:val="nil"/>
              <w:bottom w:val="single" w:sz="4" w:space="0" w:color="auto"/>
              <w:right w:val="single" w:sz="4" w:space="0" w:color="auto"/>
            </w:tcBorders>
            <w:shd w:val="clear" w:color="auto" w:fill="C6EFCE"/>
            <w:noWrap/>
            <w:vAlign w:val="center"/>
          </w:tcPr>
          <w:p w14:paraId="414F5693"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Q4</w:t>
            </w:r>
          </w:p>
        </w:tc>
        <w:tc>
          <w:tcPr>
            <w:tcW w:w="720" w:type="dxa"/>
            <w:tcBorders>
              <w:top w:val="nil"/>
              <w:left w:val="nil"/>
              <w:bottom w:val="single" w:sz="4" w:space="0" w:color="auto"/>
              <w:right w:val="single" w:sz="4" w:space="0" w:color="auto"/>
            </w:tcBorders>
            <w:shd w:val="clear" w:color="auto" w:fill="C6EFCE"/>
            <w:noWrap/>
            <w:vAlign w:val="center"/>
          </w:tcPr>
          <w:p w14:paraId="1BB9198D"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2023</w:t>
            </w:r>
          </w:p>
        </w:tc>
        <w:tc>
          <w:tcPr>
            <w:tcW w:w="3627" w:type="dxa"/>
            <w:tcBorders>
              <w:top w:val="nil"/>
              <w:left w:val="nil"/>
              <w:bottom w:val="single" w:sz="4" w:space="0" w:color="auto"/>
              <w:right w:val="single" w:sz="4" w:space="0" w:color="auto"/>
            </w:tcBorders>
            <w:shd w:val="clear" w:color="auto" w:fill="C6EFCE"/>
            <w:noWrap/>
            <w:vAlign w:val="center"/>
          </w:tcPr>
          <w:p w14:paraId="2715E907"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7 higher education institutions have benefitted from the Higher Education Advancement Fund.</w:t>
            </w:r>
          </w:p>
          <w:p w14:paraId="0E996ADE"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Through the Higher Education Advancement Fund, higher education institutions, based on analyses of training portfolios, shall draw up action plans to adjust and reduce the existing offerings and, where necessary, create new ones. In addition, attention shall be paid to adapting programs, based on the requirements of the labour market and society.</w:t>
            </w:r>
          </w:p>
          <w:p w14:paraId="2EA57867" w14:textId="5B174DE8"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 xml:space="preserve">All Flemish higher education institutions shall be eligible to suggest and submit projects under this call for projects. However participation in this call is not obligatory for higher education institutions, nor is submitting a plan a guarantee of acceptance. </w:t>
            </w:r>
          </w:p>
        </w:tc>
      </w:tr>
      <w:tr w:rsidR="00324CC6" w:rsidRPr="001961AA" w14:paraId="5E8D06BA" w14:textId="77777777" w:rsidTr="00300C11">
        <w:trPr>
          <w:trHeight w:val="309"/>
          <w:jc w:val="center"/>
        </w:trPr>
        <w:tc>
          <w:tcPr>
            <w:tcW w:w="880" w:type="dxa"/>
            <w:tcBorders>
              <w:top w:val="nil"/>
              <w:left w:val="single" w:sz="4" w:space="0" w:color="auto"/>
              <w:bottom w:val="single" w:sz="4" w:space="0" w:color="auto"/>
              <w:right w:val="single" w:sz="4" w:space="0" w:color="auto"/>
            </w:tcBorders>
            <w:shd w:val="clear" w:color="auto" w:fill="C6EFCE"/>
            <w:noWrap/>
            <w:vAlign w:val="center"/>
          </w:tcPr>
          <w:p w14:paraId="76778C83"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135</w:t>
            </w:r>
          </w:p>
        </w:tc>
        <w:tc>
          <w:tcPr>
            <w:tcW w:w="1701" w:type="dxa"/>
            <w:tcBorders>
              <w:top w:val="nil"/>
              <w:left w:val="nil"/>
              <w:bottom w:val="single" w:sz="4" w:space="0" w:color="auto"/>
              <w:right w:val="single" w:sz="4" w:space="0" w:color="auto"/>
            </w:tcBorders>
            <w:shd w:val="clear" w:color="auto" w:fill="C6EFCE"/>
            <w:noWrap/>
            <w:vAlign w:val="center"/>
          </w:tcPr>
          <w:p w14:paraId="6356698F"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Personalised guidance in compulsory education (I-4.03)</w:t>
            </w:r>
          </w:p>
        </w:tc>
        <w:tc>
          <w:tcPr>
            <w:tcW w:w="1134" w:type="dxa"/>
            <w:tcBorders>
              <w:top w:val="nil"/>
              <w:left w:val="nil"/>
              <w:bottom w:val="single" w:sz="4" w:space="0" w:color="auto"/>
              <w:right w:val="single" w:sz="4" w:space="0" w:color="auto"/>
            </w:tcBorders>
            <w:shd w:val="clear" w:color="auto" w:fill="C6EFCE"/>
            <w:noWrap/>
            <w:vAlign w:val="center"/>
          </w:tcPr>
          <w:p w14:paraId="051C896A" w14:textId="47317B23"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M</w:t>
            </w:r>
          </w:p>
        </w:tc>
        <w:tc>
          <w:tcPr>
            <w:tcW w:w="1760" w:type="dxa"/>
            <w:tcBorders>
              <w:top w:val="nil"/>
              <w:left w:val="nil"/>
              <w:bottom w:val="single" w:sz="4" w:space="0" w:color="auto"/>
              <w:right w:val="single" w:sz="4" w:space="0" w:color="auto"/>
            </w:tcBorders>
            <w:shd w:val="clear" w:color="auto" w:fill="C6EFCE"/>
            <w:noWrap/>
            <w:vAlign w:val="center"/>
          </w:tcPr>
          <w:p w14:paraId="32D061A7"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Adoption of a new decree framework that sets the terms of intervention of the system</w:t>
            </w:r>
          </w:p>
        </w:tc>
        <w:tc>
          <w:tcPr>
            <w:tcW w:w="1480" w:type="dxa"/>
            <w:tcBorders>
              <w:top w:val="nil"/>
              <w:left w:val="nil"/>
              <w:bottom w:val="single" w:sz="4" w:space="0" w:color="auto"/>
              <w:right w:val="single" w:sz="4" w:space="0" w:color="auto"/>
            </w:tcBorders>
            <w:shd w:val="clear" w:color="auto" w:fill="C6EFCE"/>
            <w:noWrap/>
            <w:vAlign w:val="center"/>
          </w:tcPr>
          <w:p w14:paraId="7F3F1BB5"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 xml:space="preserve">Adoption by the Parliament of the French Community of the decree framework that sets the terms of intervention of the system </w:t>
            </w:r>
          </w:p>
        </w:tc>
        <w:tc>
          <w:tcPr>
            <w:tcW w:w="1320" w:type="dxa"/>
            <w:tcBorders>
              <w:top w:val="nil"/>
              <w:left w:val="nil"/>
              <w:bottom w:val="single" w:sz="4" w:space="0" w:color="auto"/>
              <w:right w:val="single" w:sz="4" w:space="0" w:color="auto"/>
            </w:tcBorders>
            <w:shd w:val="clear" w:color="auto" w:fill="C6EFCE"/>
            <w:noWrap/>
            <w:vAlign w:val="center"/>
          </w:tcPr>
          <w:p w14:paraId="3316D901" w14:textId="77777777"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1080" w:type="dxa"/>
            <w:tcBorders>
              <w:top w:val="nil"/>
              <w:left w:val="nil"/>
              <w:bottom w:val="single" w:sz="4" w:space="0" w:color="auto"/>
              <w:right w:val="single" w:sz="4" w:space="0" w:color="auto"/>
            </w:tcBorders>
            <w:shd w:val="clear" w:color="auto" w:fill="C6EFCE"/>
            <w:noWrap/>
            <w:vAlign w:val="center"/>
          </w:tcPr>
          <w:p w14:paraId="0E8FC4B9" w14:textId="77777777"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720" w:type="dxa"/>
            <w:tcBorders>
              <w:top w:val="nil"/>
              <w:left w:val="nil"/>
              <w:bottom w:val="single" w:sz="4" w:space="0" w:color="auto"/>
              <w:right w:val="single" w:sz="4" w:space="0" w:color="auto"/>
            </w:tcBorders>
            <w:shd w:val="clear" w:color="auto" w:fill="C6EFCE"/>
            <w:noWrap/>
            <w:vAlign w:val="center"/>
          </w:tcPr>
          <w:p w14:paraId="3C7A9A04" w14:textId="77777777"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1080" w:type="dxa"/>
            <w:tcBorders>
              <w:top w:val="nil"/>
              <w:left w:val="nil"/>
              <w:bottom w:val="single" w:sz="4" w:space="0" w:color="auto"/>
              <w:right w:val="single" w:sz="4" w:space="0" w:color="auto"/>
            </w:tcBorders>
            <w:shd w:val="clear" w:color="auto" w:fill="C6EFCE"/>
            <w:noWrap/>
            <w:vAlign w:val="center"/>
          </w:tcPr>
          <w:p w14:paraId="467356C2"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Q3</w:t>
            </w:r>
          </w:p>
        </w:tc>
        <w:tc>
          <w:tcPr>
            <w:tcW w:w="720" w:type="dxa"/>
            <w:tcBorders>
              <w:top w:val="nil"/>
              <w:left w:val="nil"/>
              <w:bottom w:val="single" w:sz="4" w:space="0" w:color="auto"/>
              <w:right w:val="single" w:sz="4" w:space="0" w:color="auto"/>
            </w:tcBorders>
            <w:shd w:val="clear" w:color="auto" w:fill="C6EFCE"/>
            <w:noWrap/>
            <w:vAlign w:val="center"/>
          </w:tcPr>
          <w:p w14:paraId="51D41902"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2021</w:t>
            </w:r>
          </w:p>
        </w:tc>
        <w:tc>
          <w:tcPr>
            <w:tcW w:w="3627" w:type="dxa"/>
            <w:tcBorders>
              <w:top w:val="nil"/>
              <w:left w:val="nil"/>
              <w:bottom w:val="single" w:sz="4" w:space="0" w:color="auto"/>
              <w:right w:val="single" w:sz="4" w:space="0" w:color="auto"/>
            </w:tcBorders>
            <w:shd w:val="clear" w:color="auto" w:fill="C6EFCE"/>
            <w:noWrap/>
            <w:vAlign w:val="center"/>
          </w:tcPr>
          <w:p w14:paraId="50D034F9"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Adoption by the Parliament of the French Community of a new decree framework, regulating a transitional system including provisions related to: (1) the granting of resources to schools in connection with differentiation-remediation strategies and the fight against dropping out of school, (2) the modification of PR-FPO/WBE contracts in the context of the crisis and (3) the missions of the CPMS in the context of the crisis.</w:t>
            </w:r>
          </w:p>
        </w:tc>
      </w:tr>
      <w:tr w:rsidR="00324CC6" w:rsidRPr="001961AA" w14:paraId="734B5509" w14:textId="77777777" w:rsidTr="00300C11">
        <w:trPr>
          <w:trHeight w:val="309"/>
          <w:jc w:val="center"/>
        </w:trPr>
        <w:tc>
          <w:tcPr>
            <w:tcW w:w="880" w:type="dxa"/>
            <w:tcBorders>
              <w:top w:val="nil"/>
              <w:left w:val="single" w:sz="4" w:space="0" w:color="auto"/>
              <w:bottom w:val="single" w:sz="4" w:space="0" w:color="auto"/>
              <w:right w:val="single" w:sz="4" w:space="0" w:color="auto"/>
            </w:tcBorders>
            <w:shd w:val="clear" w:color="auto" w:fill="C6EFCE"/>
            <w:noWrap/>
            <w:vAlign w:val="center"/>
          </w:tcPr>
          <w:p w14:paraId="6347F857"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136</w:t>
            </w:r>
          </w:p>
        </w:tc>
        <w:tc>
          <w:tcPr>
            <w:tcW w:w="1701" w:type="dxa"/>
            <w:tcBorders>
              <w:top w:val="nil"/>
              <w:left w:val="nil"/>
              <w:bottom w:val="single" w:sz="4" w:space="0" w:color="auto"/>
              <w:right w:val="single" w:sz="4" w:space="0" w:color="auto"/>
            </w:tcBorders>
            <w:shd w:val="clear" w:color="auto" w:fill="C6EFCE"/>
            <w:noWrap/>
            <w:vAlign w:val="center"/>
          </w:tcPr>
          <w:p w14:paraId="5B0F1B96"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Personalised guidance in compulsory education (I-4.03)</w:t>
            </w:r>
          </w:p>
        </w:tc>
        <w:tc>
          <w:tcPr>
            <w:tcW w:w="1134" w:type="dxa"/>
            <w:tcBorders>
              <w:top w:val="nil"/>
              <w:left w:val="nil"/>
              <w:bottom w:val="single" w:sz="4" w:space="0" w:color="auto"/>
              <w:right w:val="single" w:sz="4" w:space="0" w:color="auto"/>
            </w:tcBorders>
            <w:shd w:val="clear" w:color="auto" w:fill="C6EFCE"/>
            <w:noWrap/>
            <w:vAlign w:val="center"/>
          </w:tcPr>
          <w:p w14:paraId="6DA23E9A" w14:textId="51968A21"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T</w:t>
            </w:r>
          </w:p>
        </w:tc>
        <w:tc>
          <w:tcPr>
            <w:tcW w:w="1760" w:type="dxa"/>
            <w:tcBorders>
              <w:top w:val="nil"/>
              <w:left w:val="nil"/>
              <w:bottom w:val="single" w:sz="4" w:space="0" w:color="auto"/>
              <w:right w:val="single" w:sz="4" w:space="0" w:color="auto"/>
            </w:tcBorders>
            <w:shd w:val="clear" w:color="auto" w:fill="C6EFCE"/>
            <w:noWrap/>
            <w:vAlign w:val="center"/>
          </w:tcPr>
          <w:p w14:paraId="0448967B"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Deployment of a reinforced support mechanism for students in need</w:t>
            </w:r>
          </w:p>
        </w:tc>
        <w:tc>
          <w:tcPr>
            <w:tcW w:w="1480" w:type="dxa"/>
            <w:tcBorders>
              <w:top w:val="nil"/>
              <w:left w:val="nil"/>
              <w:bottom w:val="single" w:sz="4" w:space="0" w:color="auto"/>
              <w:right w:val="single" w:sz="4" w:space="0" w:color="auto"/>
            </w:tcBorders>
            <w:shd w:val="clear" w:color="auto" w:fill="C6EFCE"/>
            <w:noWrap/>
            <w:vAlign w:val="center"/>
          </w:tcPr>
          <w:p w14:paraId="6FC19BF6" w14:textId="77777777"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1320" w:type="dxa"/>
            <w:tcBorders>
              <w:top w:val="nil"/>
              <w:left w:val="nil"/>
              <w:bottom w:val="single" w:sz="4" w:space="0" w:color="auto"/>
              <w:right w:val="single" w:sz="4" w:space="0" w:color="auto"/>
            </w:tcBorders>
            <w:shd w:val="clear" w:color="auto" w:fill="C6EFCE"/>
            <w:noWrap/>
            <w:vAlign w:val="center"/>
          </w:tcPr>
          <w:p w14:paraId="71891DCE"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Schools (and CPMS) benefiting from support and coaching</w:t>
            </w:r>
          </w:p>
        </w:tc>
        <w:tc>
          <w:tcPr>
            <w:tcW w:w="1080" w:type="dxa"/>
            <w:tcBorders>
              <w:top w:val="nil"/>
              <w:left w:val="nil"/>
              <w:bottom w:val="single" w:sz="4" w:space="0" w:color="auto"/>
              <w:right w:val="single" w:sz="4" w:space="0" w:color="auto"/>
            </w:tcBorders>
            <w:shd w:val="clear" w:color="auto" w:fill="C6EFCE"/>
            <w:noWrap/>
            <w:vAlign w:val="center"/>
          </w:tcPr>
          <w:p w14:paraId="34496857"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0</w:t>
            </w:r>
          </w:p>
        </w:tc>
        <w:tc>
          <w:tcPr>
            <w:tcW w:w="720" w:type="dxa"/>
            <w:tcBorders>
              <w:top w:val="nil"/>
              <w:left w:val="nil"/>
              <w:bottom w:val="single" w:sz="4" w:space="0" w:color="auto"/>
              <w:right w:val="single" w:sz="4" w:space="0" w:color="auto"/>
            </w:tcBorders>
            <w:shd w:val="clear" w:color="auto" w:fill="C6EFCE"/>
            <w:noWrap/>
            <w:vAlign w:val="center"/>
          </w:tcPr>
          <w:p w14:paraId="7F3498DC"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531</w:t>
            </w:r>
          </w:p>
        </w:tc>
        <w:tc>
          <w:tcPr>
            <w:tcW w:w="1080" w:type="dxa"/>
            <w:tcBorders>
              <w:top w:val="nil"/>
              <w:left w:val="nil"/>
              <w:bottom w:val="single" w:sz="4" w:space="0" w:color="auto"/>
              <w:right w:val="single" w:sz="4" w:space="0" w:color="auto"/>
            </w:tcBorders>
            <w:shd w:val="clear" w:color="auto" w:fill="C6EFCE"/>
            <w:noWrap/>
            <w:vAlign w:val="center"/>
          </w:tcPr>
          <w:p w14:paraId="1FD92629"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Q4</w:t>
            </w:r>
          </w:p>
        </w:tc>
        <w:tc>
          <w:tcPr>
            <w:tcW w:w="720" w:type="dxa"/>
            <w:tcBorders>
              <w:top w:val="nil"/>
              <w:left w:val="nil"/>
              <w:bottom w:val="single" w:sz="4" w:space="0" w:color="auto"/>
              <w:right w:val="single" w:sz="4" w:space="0" w:color="auto"/>
            </w:tcBorders>
            <w:shd w:val="clear" w:color="auto" w:fill="C6EFCE"/>
            <w:noWrap/>
            <w:vAlign w:val="center"/>
          </w:tcPr>
          <w:p w14:paraId="6899BEA5"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2022</w:t>
            </w:r>
          </w:p>
        </w:tc>
        <w:tc>
          <w:tcPr>
            <w:tcW w:w="3627" w:type="dxa"/>
            <w:tcBorders>
              <w:top w:val="nil"/>
              <w:left w:val="nil"/>
              <w:bottom w:val="single" w:sz="4" w:space="0" w:color="auto"/>
              <w:right w:val="single" w:sz="4" w:space="0" w:color="auto"/>
            </w:tcBorders>
            <w:shd w:val="clear" w:color="auto" w:fill="C6EFCE"/>
            <w:noWrap/>
            <w:vAlign w:val="center"/>
          </w:tcPr>
          <w:p w14:paraId="6D33B248"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Deployment of additional resources (such as teachers, educators, psychological support staff) to support 531 schools/CPMS based on identified needs.</w:t>
            </w:r>
          </w:p>
        </w:tc>
      </w:tr>
      <w:tr w:rsidR="00324CC6" w:rsidRPr="001961AA" w14:paraId="1C644EA4" w14:textId="77777777" w:rsidTr="00300C11">
        <w:trPr>
          <w:trHeight w:val="309"/>
          <w:jc w:val="center"/>
        </w:trPr>
        <w:tc>
          <w:tcPr>
            <w:tcW w:w="880" w:type="dxa"/>
            <w:tcBorders>
              <w:top w:val="nil"/>
              <w:left w:val="single" w:sz="4" w:space="0" w:color="auto"/>
              <w:bottom w:val="single" w:sz="4" w:space="0" w:color="auto"/>
              <w:right w:val="single" w:sz="4" w:space="0" w:color="auto"/>
            </w:tcBorders>
            <w:shd w:val="clear" w:color="auto" w:fill="C6EFCE"/>
            <w:noWrap/>
            <w:vAlign w:val="center"/>
          </w:tcPr>
          <w:p w14:paraId="2C0A353A"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137</w:t>
            </w:r>
          </w:p>
        </w:tc>
        <w:tc>
          <w:tcPr>
            <w:tcW w:w="1701" w:type="dxa"/>
            <w:tcBorders>
              <w:top w:val="nil"/>
              <w:left w:val="nil"/>
              <w:bottom w:val="single" w:sz="4" w:space="0" w:color="auto"/>
              <w:right w:val="single" w:sz="4" w:space="0" w:color="auto"/>
            </w:tcBorders>
            <w:shd w:val="clear" w:color="auto" w:fill="C6EFCE"/>
            <w:noWrap/>
            <w:vAlign w:val="center"/>
          </w:tcPr>
          <w:p w14:paraId="1EA8CEC2"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Digital turnaround for Brussels schools (I-4.05)</w:t>
            </w:r>
          </w:p>
        </w:tc>
        <w:tc>
          <w:tcPr>
            <w:tcW w:w="1134" w:type="dxa"/>
            <w:tcBorders>
              <w:top w:val="nil"/>
              <w:left w:val="nil"/>
              <w:bottom w:val="single" w:sz="4" w:space="0" w:color="auto"/>
              <w:right w:val="single" w:sz="4" w:space="0" w:color="auto"/>
            </w:tcBorders>
            <w:shd w:val="clear" w:color="auto" w:fill="C6EFCE"/>
            <w:noWrap/>
            <w:vAlign w:val="center"/>
          </w:tcPr>
          <w:p w14:paraId="4D10B667" w14:textId="2F3D0D8C"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T</w:t>
            </w:r>
          </w:p>
        </w:tc>
        <w:tc>
          <w:tcPr>
            <w:tcW w:w="1760" w:type="dxa"/>
            <w:tcBorders>
              <w:top w:val="nil"/>
              <w:left w:val="nil"/>
              <w:bottom w:val="single" w:sz="4" w:space="0" w:color="auto"/>
              <w:right w:val="single" w:sz="4" w:space="0" w:color="auto"/>
            </w:tcBorders>
            <w:shd w:val="clear" w:color="auto" w:fill="C6EFCE"/>
            <w:noWrap/>
            <w:vAlign w:val="center"/>
          </w:tcPr>
          <w:p w14:paraId="153263AA" w14:textId="080E7976"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Equipping schools / institutions with adequate ICT devices and infrastructure to improve the overall performance of education systems</w:t>
            </w:r>
          </w:p>
        </w:tc>
        <w:tc>
          <w:tcPr>
            <w:tcW w:w="1480" w:type="dxa"/>
            <w:tcBorders>
              <w:top w:val="nil"/>
              <w:left w:val="nil"/>
              <w:bottom w:val="single" w:sz="4" w:space="0" w:color="auto"/>
              <w:right w:val="single" w:sz="4" w:space="0" w:color="auto"/>
            </w:tcBorders>
            <w:shd w:val="clear" w:color="auto" w:fill="C6EFCE"/>
            <w:noWrap/>
            <w:vAlign w:val="center"/>
          </w:tcPr>
          <w:p w14:paraId="492626DB" w14:textId="77777777"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1320" w:type="dxa"/>
            <w:tcBorders>
              <w:top w:val="nil"/>
              <w:left w:val="nil"/>
              <w:bottom w:val="single" w:sz="4" w:space="0" w:color="auto"/>
              <w:right w:val="single" w:sz="4" w:space="0" w:color="auto"/>
            </w:tcBorders>
            <w:shd w:val="clear" w:color="auto" w:fill="C6EFCE"/>
            <w:noWrap/>
            <w:vAlign w:val="center"/>
          </w:tcPr>
          <w:p w14:paraId="57AD7EF1"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ICT devices and WIFI hotspots installed in schools</w:t>
            </w:r>
          </w:p>
        </w:tc>
        <w:tc>
          <w:tcPr>
            <w:tcW w:w="1080" w:type="dxa"/>
            <w:tcBorders>
              <w:top w:val="nil"/>
              <w:left w:val="nil"/>
              <w:bottom w:val="single" w:sz="4" w:space="0" w:color="auto"/>
              <w:right w:val="single" w:sz="4" w:space="0" w:color="auto"/>
            </w:tcBorders>
            <w:shd w:val="clear" w:color="auto" w:fill="C6EFCE"/>
            <w:noWrap/>
            <w:vAlign w:val="center"/>
          </w:tcPr>
          <w:p w14:paraId="35EBC628"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900</w:t>
            </w:r>
          </w:p>
        </w:tc>
        <w:tc>
          <w:tcPr>
            <w:tcW w:w="720" w:type="dxa"/>
            <w:tcBorders>
              <w:top w:val="nil"/>
              <w:left w:val="nil"/>
              <w:bottom w:val="single" w:sz="4" w:space="0" w:color="auto"/>
              <w:right w:val="single" w:sz="4" w:space="0" w:color="auto"/>
            </w:tcBorders>
            <w:shd w:val="clear" w:color="auto" w:fill="C6EFCE"/>
            <w:noWrap/>
            <w:vAlign w:val="center"/>
          </w:tcPr>
          <w:p w14:paraId="311DC7DF"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2200</w:t>
            </w:r>
          </w:p>
        </w:tc>
        <w:tc>
          <w:tcPr>
            <w:tcW w:w="1080" w:type="dxa"/>
            <w:tcBorders>
              <w:top w:val="nil"/>
              <w:left w:val="nil"/>
              <w:bottom w:val="single" w:sz="4" w:space="0" w:color="auto"/>
              <w:right w:val="single" w:sz="4" w:space="0" w:color="auto"/>
            </w:tcBorders>
            <w:shd w:val="clear" w:color="auto" w:fill="C6EFCE"/>
            <w:noWrap/>
            <w:vAlign w:val="center"/>
          </w:tcPr>
          <w:p w14:paraId="5E897998"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Q4</w:t>
            </w:r>
          </w:p>
        </w:tc>
        <w:tc>
          <w:tcPr>
            <w:tcW w:w="720" w:type="dxa"/>
            <w:tcBorders>
              <w:top w:val="nil"/>
              <w:left w:val="nil"/>
              <w:bottom w:val="single" w:sz="4" w:space="0" w:color="auto"/>
              <w:right w:val="single" w:sz="4" w:space="0" w:color="auto"/>
            </w:tcBorders>
            <w:shd w:val="clear" w:color="auto" w:fill="C6EFCE"/>
            <w:noWrap/>
            <w:vAlign w:val="center"/>
          </w:tcPr>
          <w:p w14:paraId="5B0AB647"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2021</w:t>
            </w:r>
          </w:p>
        </w:tc>
        <w:tc>
          <w:tcPr>
            <w:tcW w:w="3627" w:type="dxa"/>
            <w:tcBorders>
              <w:top w:val="nil"/>
              <w:left w:val="nil"/>
              <w:bottom w:val="single" w:sz="4" w:space="0" w:color="auto"/>
              <w:right w:val="single" w:sz="4" w:space="0" w:color="auto"/>
            </w:tcBorders>
            <w:shd w:val="clear" w:color="auto" w:fill="C6EFCE"/>
            <w:noWrap/>
            <w:vAlign w:val="center"/>
          </w:tcPr>
          <w:p w14:paraId="44FF9783"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2200 ICT devices (such as laptops, tablets, interactive dashboards) and WIFI access points shall be installed in Brussels schools. The distribution shall be based on the needs of schools (with a focus on schools with a lower socio-economic index)</w:t>
            </w:r>
          </w:p>
        </w:tc>
      </w:tr>
      <w:tr w:rsidR="00324CC6" w:rsidRPr="001961AA" w14:paraId="7E7EEAC2" w14:textId="77777777" w:rsidTr="00300C11">
        <w:trPr>
          <w:trHeight w:val="309"/>
          <w:jc w:val="center"/>
        </w:trPr>
        <w:tc>
          <w:tcPr>
            <w:tcW w:w="880" w:type="dxa"/>
            <w:tcBorders>
              <w:top w:val="nil"/>
              <w:left w:val="single" w:sz="4" w:space="0" w:color="auto"/>
              <w:bottom w:val="single" w:sz="4" w:space="0" w:color="auto"/>
              <w:right w:val="single" w:sz="4" w:space="0" w:color="auto"/>
            </w:tcBorders>
            <w:shd w:val="clear" w:color="auto" w:fill="C6EFCE"/>
            <w:noWrap/>
            <w:vAlign w:val="center"/>
            <w:hideMark/>
          </w:tcPr>
          <w:p w14:paraId="4F299915"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138</w:t>
            </w:r>
          </w:p>
        </w:tc>
        <w:tc>
          <w:tcPr>
            <w:tcW w:w="1701" w:type="dxa"/>
            <w:tcBorders>
              <w:top w:val="nil"/>
              <w:left w:val="nil"/>
              <w:bottom w:val="single" w:sz="4" w:space="0" w:color="auto"/>
              <w:right w:val="single" w:sz="4" w:space="0" w:color="auto"/>
            </w:tcBorders>
            <w:shd w:val="clear" w:color="auto" w:fill="C6EFCE"/>
            <w:noWrap/>
            <w:vAlign w:val="center"/>
            <w:hideMark/>
          </w:tcPr>
          <w:p w14:paraId="09E29A9E"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Digital turnaround for Brussels schools (I-4.05)</w:t>
            </w:r>
          </w:p>
        </w:tc>
        <w:tc>
          <w:tcPr>
            <w:tcW w:w="1134" w:type="dxa"/>
            <w:tcBorders>
              <w:top w:val="nil"/>
              <w:left w:val="nil"/>
              <w:bottom w:val="single" w:sz="4" w:space="0" w:color="auto"/>
              <w:right w:val="single" w:sz="4" w:space="0" w:color="auto"/>
            </w:tcBorders>
            <w:shd w:val="clear" w:color="auto" w:fill="C6EFCE"/>
            <w:noWrap/>
            <w:vAlign w:val="center"/>
            <w:hideMark/>
          </w:tcPr>
          <w:p w14:paraId="555246A9" w14:textId="7506875C"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T</w:t>
            </w:r>
          </w:p>
        </w:tc>
        <w:tc>
          <w:tcPr>
            <w:tcW w:w="1760" w:type="dxa"/>
            <w:tcBorders>
              <w:top w:val="nil"/>
              <w:left w:val="nil"/>
              <w:bottom w:val="single" w:sz="4" w:space="0" w:color="auto"/>
              <w:right w:val="single" w:sz="4" w:space="0" w:color="auto"/>
            </w:tcBorders>
            <w:shd w:val="clear" w:color="auto" w:fill="C6EFCE"/>
            <w:noWrap/>
            <w:vAlign w:val="center"/>
            <w:hideMark/>
          </w:tcPr>
          <w:p w14:paraId="506DA220" w14:textId="3F989134"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Equipping schools / institutions with adequate ICT devices and infrastructure to improve the overall performance of education systems</w:t>
            </w:r>
          </w:p>
        </w:tc>
        <w:tc>
          <w:tcPr>
            <w:tcW w:w="1480" w:type="dxa"/>
            <w:tcBorders>
              <w:top w:val="nil"/>
              <w:left w:val="nil"/>
              <w:bottom w:val="single" w:sz="4" w:space="0" w:color="auto"/>
              <w:right w:val="single" w:sz="4" w:space="0" w:color="auto"/>
            </w:tcBorders>
            <w:shd w:val="clear" w:color="auto" w:fill="C6EFCE"/>
            <w:noWrap/>
            <w:vAlign w:val="center"/>
            <w:hideMark/>
          </w:tcPr>
          <w:p w14:paraId="18F19293" w14:textId="77777777"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1320" w:type="dxa"/>
            <w:tcBorders>
              <w:top w:val="nil"/>
              <w:left w:val="nil"/>
              <w:bottom w:val="single" w:sz="4" w:space="0" w:color="auto"/>
              <w:right w:val="single" w:sz="4" w:space="0" w:color="auto"/>
            </w:tcBorders>
            <w:shd w:val="clear" w:color="auto" w:fill="C6EFCE"/>
            <w:noWrap/>
            <w:vAlign w:val="center"/>
            <w:hideMark/>
          </w:tcPr>
          <w:p w14:paraId="0690C8EE"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ICT devices and WIFI hotspots installed in secondary schools</w:t>
            </w:r>
          </w:p>
        </w:tc>
        <w:tc>
          <w:tcPr>
            <w:tcW w:w="1080" w:type="dxa"/>
            <w:tcBorders>
              <w:top w:val="nil"/>
              <w:left w:val="nil"/>
              <w:bottom w:val="single" w:sz="4" w:space="0" w:color="auto"/>
              <w:right w:val="single" w:sz="4" w:space="0" w:color="auto"/>
            </w:tcBorders>
            <w:shd w:val="clear" w:color="auto" w:fill="C6EFCE"/>
            <w:noWrap/>
            <w:vAlign w:val="center"/>
            <w:hideMark/>
          </w:tcPr>
          <w:p w14:paraId="7B78F66C" w14:textId="0C755CF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2 200</w:t>
            </w:r>
          </w:p>
        </w:tc>
        <w:tc>
          <w:tcPr>
            <w:tcW w:w="720" w:type="dxa"/>
            <w:tcBorders>
              <w:top w:val="nil"/>
              <w:left w:val="nil"/>
              <w:bottom w:val="single" w:sz="4" w:space="0" w:color="auto"/>
              <w:right w:val="single" w:sz="4" w:space="0" w:color="auto"/>
            </w:tcBorders>
            <w:shd w:val="clear" w:color="auto" w:fill="C6EFCE"/>
            <w:noWrap/>
            <w:vAlign w:val="center"/>
            <w:hideMark/>
          </w:tcPr>
          <w:p w14:paraId="6A9294A1" w14:textId="353F2C68"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3 500</w:t>
            </w:r>
          </w:p>
        </w:tc>
        <w:tc>
          <w:tcPr>
            <w:tcW w:w="1080" w:type="dxa"/>
            <w:tcBorders>
              <w:top w:val="nil"/>
              <w:left w:val="nil"/>
              <w:bottom w:val="single" w:sz="4" w:space="0" w:color="auto"/>
              <w:right w:val="single" w:sz="4" w:space="0" w:color="auto"/>
            </w:tcBorders>
            <w:shd w:val="clear" w:color="auto" w:fill="C6EFCE"/>
            <w:noWrap/>
            <w:vAlign w:val="center"/>
            <w:hideMark/>
          </w:tcPr>
          <w:p w14:paraId="145CC706"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Q4</w:t>
            </w:r>
          </w:p>
        </w:tc>
        <w:tc>
          <w:tcPr>
            <w:tcW w:w="720" w:type="dxa"/>
            <w:tcBorders>
              <w:top w:val="nil"/>
              <w:left w:val="nil"/>
              <w:bottom w:val="single" w:sz="4" w:space="0" w:color="auto"/>
              <w:right w:val="single" w:sz="4" w:space="0" w:color="auto"/>
            </w:tcBorders>
            <w:shd w:val="clear" w:color="auto" w:fill="C6EFCE"/>
            <w:noWrap/>
            <w:vAlign w:val="center"/>
            <w:hideMark/>
          </w:tcPr>
          <w:p w14:paraId="464BDF30"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2024</w:t>
            </w:r>
          </w:p>
        </w:tc>
        <w:tc>
          <w:tcPr>
            <w:tcW w:w="3627" w:type="dxa"/>
            <w:tcBorders>
              <w:top w:val="nil"/>
              <w:left w:val="nil"/>
              <w:bottom w:val="single" w:sz="4" w:space="0" w:color="auto"/>
              <w:right w:val="single" w:sz="4" w:space="0" w:color="auto"/>
            </w:tcBorders>
            <w:shd w:val="clear" w:color="auto" w:fill="C6EFCE"/>
            <w:noWrap/>
            <w:vAlign w:val="center"/>
            <w:hideMark/>
          </w:tcPr>
          <w:p w14:paraId="67BDFC24" w14:textId="3F4F9879"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3 500 WIFI hotspots shall be delivered in Brussels schools.</w:t>
            </w:r>
          </w:p>
        </w:tc>
      </w:tr>
    </w:tbl>
    <w:p w14:paraId="66011414" w14:textId="77777777" w:rsidR="006A41D9" w:rsidRPr="001961AA" w:rsidRDefault="006A41D9" w:rsidP="00BD6DD1">
      <w:pPr>
        <w:pStyle w:val="Text1"/>
        <w:ind w:left="709"/>
        <w:rPr>
          <w:noProof/>
          <w:szCs w:val="24"/>
          <w:lang w:val="en-GB"/>
        </w:rPr>
      </w:pPr>
    </w:p>
    <w:p w14:paraId="526C29FE" w14:textId="77777777" w:rsidR="006A41D9" w:rsidRPr="001961AA" w:rsidRDefault="006A41D9" w:rsidP="00BD6DD1">
      <w:pPr>
        <w:ind w:left="709"/>
        <w:rPr>
          <w:rFonts w:ascii="Times New Roman" w:hAnsi="Times New Roman" w:cs="Times New Roman"/>
          <w:noProof/>
          <w:lang w:val="en-GB"/>
        </w:rPr>
        <w:sectPr w:rsidR="006A41D9" w:rsidRPr="001961AA" w:rsidSect="007F56C3">
          <w:headerReference w:type="even" r:id="rId156"/>
          <w:headerReference w:type="default" r:id="rId157"/>
          <w:footerReference w:type="even" r:id="rId158"/>
          <w:footerReference w:type="default" r:id="rId159"/>
          <w:headerReference w:type="first" r:id="rId160"/>
          <w:footerReference w:type="first" r:id="rId161"/>
          <w:pgSz w:w="16839" w:h="11907" w:orient="landscape"/>
          <w:pgMar w:top="1134" w:right="1134" w:bottom="1134" w:left="1134" w:header="567" w:footer="567" w:gutter="0"/>
          <w:cols w:space="720"/>
          <w:docGrid w:linePitch="360"/>
        </w:sectPr>
      </w:pPr>
    </w:p>
    <w:p w14:paraId="1A93D03D" w14:textId="1B2F813F" w:rsidR="006A41D9" w:rsidRPr="001961AA" w:rsidRDefault="006A41D9" w:rsidP="00143925">
      <w:pPr>
        <w:pStyle w:val="ManualHeading1"/>
        <w:spacing w:before="120"/>
        <w:ind w:left="0" w:firstLine="0"/>
        <w:rPr>
          <w:noProof/>
          <w:szCs w:val="24"/>
          <w:lang w:val="en-GB"/>
        </w:rPr>
      </w:pPr>
      <w:r w:rsidRPr="001961AA">
        <w:rPr>
          <w:noProof/>
          <w:lang w:val="en-GB"/>
        </w:rPr>
        <w:t>K. COMPONENT 4.2: Training and employment of vulnerable groups</w:t>
      </w:r>
    </w:p>
    <w:p w14:paraId="33A87B45" w14:textId="77777777" w:rsidR="006A41D9" w:rsidRPr="001961AA" w:rsidRDefault="006A41D9" w:rsidP="00BD6DD1">
      <w:pPr>
        <w:spacing w:before="120" w:after="120" w:line="240" w:lineRule="auto"/>
        <w:jc w:val="both"/>
        <w:rPr>
          <w:rFonts w:ascii="Times New Roman" w:hAnsi="Times New Roman" w:cs="Times New Roman"/>
          <w:noProof/>
          <w:sz w:val="24"/>
          <w:szCs w:val="24"/>
          <w:lang w:val="en-GB"/>
        </w:rPr>
      </w:pPr>
      <w:r w:rsidRPr="001961AA">
        <w:rPr>
          <w:rFonts w:ascii="Times New Roman" w:hAnsi="Times New Roman"/>
          <w:noProof/>
          <w:sz w:val="24"/>
          <w:lang w:val="en-GB"/>
        </w:rPr>
        <w:t>The measures proposed under this component of the Belgian recovery and resilience plan aim at strengthening the social and labour market integration of vulnerable groups, including people with a migrant background, women, people with disabilities, prisoners and people at risk of digital exclusion. Several of the measures aim at fostering digital inclusion and enhancing access to essential services, such as e-government, by combining the provision of digital equipment with training in digital skills.</w:t>
      </w:r>
    </w:p>
    <w:p w14:paraId="618DC800" w14:textId="77777777" w:rsidR="006A41D9" w:rsidRPr="001961AA" w:rsidRDefault="006A41D9" w:rsidP="00BD6DD1">
      <w:pPr>
        <w:spacing w:before="120" w:after="120" w:line="240" w:lineRule="auto"/>
        <w:jc w:val="both"/>
        <w:rPr>
          <w:rFonts w:ascii="Times New Roman" w:hAnsi="Times New Roman" w:cs="Times New Roman"/>
          <w:noProof/>
          <w:sz w:val="24"/>
          <w:szCs w:val="24"/>
          <w:lang w:val="en-GB"/>
        </w:rPr>
      </w:pPr>
      <w:r w:rsidRPr="001961AA">
        <w:rPr>
          <w:rFonts w:ascii="Times New Roman" w:hAnsi="Times New Roman"/>
          <w:noProof/>
          <w:sz w:val="24"/>
          <w:lang w:val="en-GB"/>
        </w:rPr>
        <w:t>The component contributes to addressing Country Specific Recommendation 2019.2 on strengthening the labour market integration of vulnerable groups and to Country Specific Recommendation 2020.2 on the mitigation of the employment and social impact of the crisis.</w:t>
      </w:r>
    </w:p>
    <w:p w14:paraId="173EA236" w14:textId="77777777" w:rsidR="006A41D9" w:rsidRPr="001961AA" w:rsidRDefault="006A41D9" w:rsidP="00BD6DD1">
      <w:pPr>
        <w:pStyle w:val="Text1"/>
        <w:ind w:left="0"/>
        <w:rPr>
          <w:b/>
          <w:i/>
          <w:noProof/>
          <w:szCs w:val="24"/>
          <w:lang w:val="en-GB"/>
        </w:rPr>
      </w:pPr>
      <w:r w:rsidRPr="001961AA">
        <w:rPr>
          <w:b/>
          <w:noProof/>
          <w:u w:val="single"/>
          <w:lang w:val="en-GB"/>
        </w:rPr>
        <w:t xml:space="preserve">K.1. </w:t>
      </w:r>
      <w:r w:rsidRPr="001961AA">
        <w:rPr>
          <w:noProof/>
          <w:lang w:val="en-GB"/>
        </w:rPr>
        <w:tab/>
      </w:r>
      <w:r w:rsidRPr="001961AA">
        <w:rPr>
          <w:b/>
          <w:noProof/>
          <w:u w:val="single"/>
          <w:lang w:val="en-GB"/>
        </w:rPr>
        <w:t>Description of the reforms and investments for non-repayable financial support</w:t>
      </w:r>
    </w:p>
    <w:p w14:paraId="58E1AEE8" w14:textId="77777777" w:rsidR="006A41D9" w:rsidRPr="001961AA" w:rsidRDefault="006A41D9" w:rsidP="00BD6DD1">
      <w:pPr>
        <w:pStyle w:val="Text1"/>
        <w:ind w:left="0"/>
        <w:rPr>
          <w:noProof/>
          <w:szCs w:val="24"/>
          <w:u w:val="single"/>
          <w:lang w:val="en-GB"/>
        </w:rPr>
      </w:pPr>
      <w:r w:rsidRPr="001961AA">
        <w:rPr>
          <w:noProof/>
          <w:u w:val="single"/>
          <w:lang w:val="en-GB"/>
        </w:rPr>
        <w:t>Reform R-4.04: ‘Tackling discrimination at the labour market’ of the Federal State</w:t>
      </w:r>
    </w:p>
    <w:p w14:paraId="64FFEA72" w14:textId="77777777" w:rsidR="006A41D9" w:rsidRPr="001961AA" w:rsidRDefault="006A41D9" w:rsidP="00BD6DD1">
      <w:pPr>
        <w:pStyle w:val="Text1"/>
        <w:ind w:left="0"/>
        <w:rPr>
          <w:noProof/>
          <w:szCs w:val="24"/>
          <w:lang w:val="en-GB"/>
        </w:rPr>
      </w:pPr>
      <w:r w:rsidRPr="001961AA">
        <w:rPr>
          <w:noProof/>
          <w:lang w:val="en-GB"/>
        </w:rPr>
        <w:t>The reform aims at tackling discrimination at the labour market and consists of (1) improving the regulatory framework of discrimination tests (2) improving the available tools and data for targeted checks and (3) training and strengthening social law monitoring services of the Federal Public Service for Employment, Labour and Social Dialogue in order to improve the effectiveness of discriminatory tests. The adapted regulatory framework on discrimination tests shall enter into force by 1 January 2024.</w:t>
      </w:r>
    </w:p>
    <w:p w14:paraId="48D21465" w14:textId="77777777" w:rsidR="006A41D9" w:rsidRPr="001961AA" w:rsidRDefault="006A41D9" w:rsidP="00BD6DD1">
      <w:pPr>
        <w:pStyle w:val="Text1"/>
        <w:ind w:left="0"/>
        <w:rPr>
          <w:noProof/>
          <w:szCs w:val="24"/>
          <w:u w:val="single"/>
          <w:lang w:val="en-GB"/>
        </w:rPr>
      </w:pPr>
      <w:r w:rsidRPr="001961AA">
        <w:rPr>
          <w:noProof/>
          <w:u w:val="single"/>
          <w:lang w:val="en-GB"/>
        </w:rPr>
        <w:t>Reform R-4.05: ‘Re-qualification strategy’ of the Brussels-Capital Region</w:t>
      </w:r>
    </w:p>
    <w:p w14:paraId="3E653FA2" w14:textId="5E4C8CC5" w:rsidR="006A41D9" w:rsidRPr="001961AA" w:rsidRDefault="006A41D9" w:rsidP="00BD6DD1">
      <w:pPr>
        <w:pStyle w:val="Text1"/>
        <w:ind w:left="0"/>
        <w:rPr>
          <w:noProof/>
          <w:szCs w:val="24"/>
          <w:lang w:val="en-GB"/>
        </w:rPr>
      </w:pPr>
      <w:r w:rsidRPr="001961AA">
        <w:rPr>
          <w:noProof/>
          <w:lang w:val="en-GB"/>
        </w:rPr>
        <w:t>The reform aims at promoting the sustainable integration of vulnerable groups into the labour market and consists of the adoption of two regulatory texts intended to: (1) the introduction of a systematic digital and language skills assessment and/or of a development pathway for Brussels jobseekers and (2) the introduction of a specific bonus scheme to support employers in the recruitment of job seekers with disabilities. Furthermore, the commonly agreed exit rate (</w:t>
      </w:r>
      <w:r w:rsidRPr="001961AA">
        <w:rPr>
          <w:i/>
          <w:noProof/>
          <w:lang w:val="en-GB"/>
        </w:rPr>
        <w:t>taux de sortie vers l'emploi</w:t>
      </w:r>
      <w:r w:rsidRPr="001961AA">
        <w:rPr>
          <w:noProof/>
          <w:lang w:val="en-GB"/>
        </w:rPr>
        <w:t xml:space="preserve">) shall be transposed in the 2023-2027 management contracts of Actiris, Bruxelles Formation and VDAB Brussel, setting the framework for its implementation, monitoring and impact assessment. </w:t>
      </w:r>
      <w:r w:rsidRPr="001961AA">
        <w:rPr>
          <w:rStyle w:val="normaltextrun"/>
          <w:noProof/>
          <w:lang w:val="en-GB"/>
        </w:rPr>
        <w:t xml:space="preserve">The regulatory acts promoting the integration of vulnerable groups into the labour market shall </w:t>
      </w:r>
      <w:r w:rsidRPr="001961AA">
        <w:rPr>
          <w:rStyle w:val="eop"/>
          <w:noProof/>
          <w:color w:val="000000"/>
          <w:shd w:val="clear" w:color="auto" w:fill="FFFFFF"/>
          <w:lang w:val="en-GB"/>
        </w:rPr>
        <w:t>enter into force by 31 December 2024.</w:t>
      </w:r>
    </w:p>
    <w:p w14:paraId="4D46F4A1" w14:textId="77777777" w:rsidR="006A41D9" w:rsidRPr="001961AA" w:rsidRDefault="006A41D9" w:rsidP="00BD6DD1">
      <w:pPr>
        <w:pStyle w:val="Text1"/>
        <w:ind w:left="0"/>
        <w:rPr>
          <w:noProof/>
          <w:szCs w:val="24"/>
          <w:u w:val="single"/>
          <w:lang w:val="en-GB"/>
        </w:rPr>
      </w:pPr>
      <w:r w:rsidRPr="001961AA">
        <w:rPr>
          <w:noProof/>
          <w:u w:val="single"/>
          <w:lang w:val="en-GB"/>
        </w:rPr>
        <w:t>Reform R-4.06: ‘An inclusive labour market’ of Flemish Community</w:t>
      </w:r>
    </w:p>
    <w:p w14:paraId="3623A8F8" w14:textId="77777777" w:rsidR="006A41D9" w:rsidRPr="001961AA" w:rsidRDefault="006A41D9" w:rsidP="00BD6DD1">
      <w:pPr>
        <w:pStyle w:val="Text1"/>
        <w:ind w:left="0"/>
        <w:rPr>
          <w:noProof/>
          <w:szCs w:val="24"/>
          <w:lang w:val="en-GB"/>
        </w:rPr>
      </w:pPr>
      <w:r w:rsidRPr="001961AA">
        <w:rPr>
          <w:noProof/>
          <w:lang w:val="en-GB"/>
        </w:rPr>
        <w:t>The reform aims at integrating people with a migrant background into the labour market and consists of (1) developing an integrated trajectory to support newcomers (migrants with a non-EU nationality) in their integration into society and in particular into the labour market and (2) strengthening the non-discrimination policy at sector level, including by enhanced monitoring and setting up of specific actions, such as trainings on how to deal with discrimination and actions specific to disadvantaged groups. The implementation of the reform shall be completed by 31 December 2023.</w:t>
      </w:r>
    </w:p>
    <w:p w14:paraId="1115FBD4" w14:textId="77777777" w:rsidR="006A41D9" w:rsidRPr="001961AA" w:rsidRDefault="006A41D9" w:rsidP="00BD6DD1">
      <w:pPr>
        <w:pStyle w:val="Text1"/>
        <w:ind w:left="0"/>
        <w:rPr>
          <w:noProof/>
          <w:szCs w:val="24"/>
          <w:u w:val="single"/>
          <w:lang w:val="en-GB"/>
        </w:rPr>
      </w:pPr>
      <w:r w:rsidRPr="001961AA">
        <w:rPr>
          <w:noProof/>
          <w:u w:val="single"/>
          <w:lang w:val="en-GB"/>
        </w:rPr>
        <w:t>Investment I-4.07: ‘Re-qualification strategy’ of the Brussels-Capital Region</w:t>
      </w:r>
    </w:p>
    <w:p w14:paraId="136A9D4E" w14:textId="77777777" w:rsidR="006A41D9" w:rsidRPr="001961AA" w:rsidRDefault="006A41D9" w:rsidP="00BD6DD1">
      <w:pPr>
        <w:pStyle w:val="Text1"/>
        <w:ind w:left="0"/>
        <w:rPr>
          <w:noProof/>
          <w:szCs w:val="24"/>
          <w:lang w:val="en-GB"/>
        </w:rPr>
      </w:pPr>
      <w:r w:rsidRPr="001961AA">
        <w:rPr>
          <w:noProof/>
          <w:lang w:val="en-GB"/>
        </w:rPr>
        <w:t>The investment aims at promoting the sustainable integration of vulnerable groups into the labour market and consists of (1) setting up a systematic training trajectory, focused on strengthening language and digital skills of unemployed, (2) providing ‘emergency’ childcare for parents that were recruited or follow a training and (3) supporting social innovation, including pilot projects linked to social innovation. The implementation of the investment shall be completed by 31 December 2025.</w:t>
      </w:r>
    </w:p>
    <w:p w14:paraId="7C217008" w14:textId="77777777" w:rsidR="006A41D9" w:rsidRPr="001961AA" w:rsidRDefault="006A41D9" w:rsidP="00BD6DD1">
      <w:pPr>
        <w:pStyle w:val="Text1"/>
        <w:ind w:left="0"/>
        <w:rPr>
          <w:noProof/>
          <w:szCs w:val="24"/>
          <w:u w:val="single"/>
          <w:lang w:val="en-GB"/>
        </w:rPr>
      </w:pPr>
      <w:r w:rsidRPr="001961AA">
        <w:rPr>
          <w:noProof/>
          <w:u w:val="single"/>
          <w:lang w:val="en-GB"/>
        </w:rPr>
        <w:t>Investment I-4.08: ‘E-inclusion for Belgium’ of the Federal State</w:t>
      </w:r>
    </w:p>
    <w:p w14:paraId="29D3D3AD" w14:textId="77777777" w:rsidR="006A41D9" w:rsidRPr="001961AA" w:rsidRDefault="006A41D9" w:rsidP="00BD6DD1">
      <w:pPr>
        <w:pStyle w:val="Text1"/>
        <w:ind w:left="0"/>
        <w:rPr>
          <w:noProof/>
          <w:szCs w:val="24"/>
          <w:lang w:val="en-GB"/>
        </w:rPr>
      </w:pPr>
      <w:r w:rsidRPr="001961AA">
        <w:rPr>
          <w:noProof/>
          <w:lang w:val="en-GB"/>
        </w:rPr>
        <w:t>The investment aims at fostering the social and economic integration of vulnerable groups into society by improving their digital skills. The investment consists of a call for projects to support the digital inclusion of vulnerable groups. Projects shall aim at either (1) raising awareness for vulnerable target groups to get acquainted with relevant ICT in order to improve their personal situation and strengthen social integration, (2) improving the digital skills of vulnerable target groups in order to improve their personal situation and strengthen social integration, or (3) improving the digital skills of the caregivers of vulnerable target groups. The implementation of the investment shall be completed by 30 June 2024.</w:t>
      </w:r>
    </w:p>
    <w:p w14:paraId="3E6C558F" w14:textId="77777777" w:rsidR="006A41D9" w:rsidRPr="001961AA" w:rsidRDefault="006A41D9" w:rsidP="00BD6DD1">
      <w:pPr>
        <w:pStyle w:val="Text1"/>
        <w:ind w:left="0"/>
        <w:rPr>
          <w:noProof/>
          <w:szCs w:val="24"/>
          <w:u w:val="single"/>
          <w:lang w:val="en-GB"/>
        </w:rPr>
      </w:pPr>
      <w:r w:rsidRPr="001961AA">
        <w:rPr>
          <w:noProof/>
          <w:u w:val="single"/>
          <w:lang w:val="en-GB"/>
        </w:rPr>
        <w:t>Investment I-4.09: ‘Digital platforms for prisoners’ of the Federal State</w:t>
      </w:r>
    </w:p>
    <w:p w14:paraId="5D1B3440" w14:textId="77777777" w:rsidR="006A41D9" w:rsidRPr="001961AA" w:rsidRDefault="006A41D9" w:rsidP="00BD6DD1">
      <w:pPr>
        <w:pStyle w:val="Text1"/>
        <w:ind w:left="0"/>
        <w:rPr>
          <w:noProof/>
          <w:szCs w:val="24"/>
          <w:lang w:val="en-GB"/>
        </w:rPr>
      </w:pPr>
      <w:r w:rsidRPr="001961AA">
        <w:rPr>
          <w:noProof/>
          <w:lang w:val="en-GB"/>
        </w:rPr>
        <w:t>The investment aims at fostering the social and economic integration of prisoners into society through digital services. The investment consists of developing a digital platform within prisons to enable prisoners to follow trainings, access prison services and rehabilitation services, as well as to seek or apply for a job. The implementation of the investment shall be completed by 31 December 2024.</w:t>
      </w:r>
    </w:p>
    <w:p w14:paraId="77B06B44" w14:textId="77777777" w:rsidR="006A41D9" w:rsidRPr="001961AA" w:rsidRDefault="006A41D9" w:rsidP="00BD6DD1">
      <w:pPr>
        <w:pStyle w:val="Text1"/>
        <w:ind w:left="0"/>
        <w:rPr>
          <w:noProof/>
          <w:szCs w:val="24"/>
          <w:u w:val="single"/>
          <w:lang w:val="en-GB"/>
        </w:rPr>
      </w:pPr>
      <w:r w:rsidRPr="001961AA">
        <w:rPr>
          <w:noProof/>
          <w:u w:val="single"/>
          <w:lang w:val="en-GB"/>
        </w:rPr>
        <w:t>Investment I-4.10: ‘Gender and work’ of the Federal State</w:t>
      </w:r>
    </w:p>
    <w:p w14:paraId="460FFEBF" w14:textId="77777777" w:rsidR="006A41D9" w:rsidRPr="001961AA" w:rsidRDefault="006A41D9" w:rsidP="00BD6DD1">
      <w:pPr>
        <w:pStyle w:val="Text1"/>
        <w:ind w:left="0"/>
        <w:rPr>
          <w:noProof/>
          <w:szCs w:val="24"/>
          <w:lang w:val="en-GB"/>
        </w:rPr>
      </w:pPr>
      <w:r w:rsidRPr="001961AA">
        <w:rPr>
          <w:noProof/>
          <w:lang w:val="en-GB"/>
        </w:rPr>
        <w:t>The investment aims at analysing gender inequality on the labour market and promoting the integration of women into the labour market. The investment consists of launching a call for projects focused on the integration of vulnerable women on the labour market. The implementation of the investment shall be completed by 31 December 2024.</w:t>
      </w:r>
    </w:p>
    <w:p w14:paraId="6EACC6B7" w14:textId="77777777" w:rsidR="006A41D9" w:rsidRPr="001961AA" w:rsidRDefault="006A41D9" w:rsidP="00BD6DD1">
      <w:pPr>
        <w:pStyle w:val="Text1"/>
        <w:ind w:left="0"/>
        <w:rPr>
          <w:noProof/>
          <w:szCs w:val="24"/>
          <w:u w:val="single"/>
          <w:lang w:val="en-GB"/>
        </w:rPr>
      </w:pPr>
      <w:r w:rsidRPr="001961AA">
        <w:rPr>
          <w:noProof/>
          <w:u w:val="single"/>
          <w:lang w:val="en-GB"/>
        </w:rPr>
        <w:t>Investment I-4.11: ‘Digibanks’ of Flemish Region</w:t>
      </w:r>
    </w:p>
    <w:p w14:paraId="2AEF982A" w14:textId="3C1740D0" w:rsidR="008A4840" w:rsidRPr="001961AA" w:rsidRDefault="006A41D9" w:rsidP="00BD6DD1">
      <w:pPr>
        <w:pStyle w:val="Text1"/>
        <w:ind w:left="0"/>
        <w:rPr>
          <w:noProof/>
          <w:szCs w:val="24"/>
          <w:lang w:val="en-GB"/>
        </w:rPr>
        <w:sectPr w:rsidR="008A4840" w:rsidRPr="001961AA" w:rsidSect="008A4840">
          <w:headerReference w:type="even" r:id="rId162"/>
          <w:headerReference w:type="default" r:id="rId163"/>
          <w:footerReference w:type="even" r:id="rId164"/>
          <w:footerReference w:type="default" r:id="rId165"/>
          <w:headerReference w:type="first" r:id="rId166"/>
          <w:footerReference w:type="first" r:id="rId167"/>
          <w:pgSz w:w="11907" w:h="16839"/>
          <w:pgMar w:top="1134" w:right="1134" w:bottom="1134" w:left="1134" w:header="567" w:footer="567" w:gutter="0"/>
          <w:cols w:space="720"/>
          <w:docGrid w:linePitch="360"/>
        </w:sectPr>
      </w:pPr>
      <w:r w:rsidRPr="001961AA">
        <w:rPr>
          <w:noProof/>
          <w:lang w:val="en-GB"/>
        </w:rPr>
        <w:t>The investment aims at promoting the social and economic integration of vulnerable groups by fostering their digital inclusion at municipal level. The investment consists of (1) ensuring equal access to digital technology, (2) providing training and knowledge sharing to strengthen digital skills and (3) providing digital access to essential services. The implementation of the investment shall be completed by 31 December 2022</w:t>
      </w:r>
    </w:p>
    <w:p w14:paraId="266BE0A2" w14:textId="1ED3BD70" w:rsidR="006A41D9" w:rsidRPr="001961AA" w:rsidRDefault="008A4840" w:rsidP="00BD6DD1">
      <w:pPr>
        <w:pStyle w:val="Text1"/>
        <w:ind w:left="0"/>
        <w:rPr>
          <w:b/>
          <w:bCs/>
          <w:noProof/>
          <w:szCs w:val="24"/>
          <w:u w:val="single"/>
          <w:lang w:val="en-GB"/>
        </w:rPr>
      </w:pPr>
      <w:r w:rsidRPr="001961AA">
        <w:rPr>
          <w:b/>
          <w:noProof/>
          <w:u w:val="single"/>
          <w:lang w:val="en-GB"/>
        </w:rPr>
        <w:t xml:space="preserve">K.2. </w:t>
      </w:r>
      <w:r w:rsidRPr="001961AA">
        <w:rPr>
          <w:noProof/>
          <w:lang w:val="en-GB"/>
        </w:rPr>
        <w:tab/>
      </w:r>
      <w:r w:rsidRPr="001961AA">
        <w:rPr>
          <w:b/>
          <w:noProof/>
          <w:u w:val="single"/>
          <w:lang w:val="en-GB"/>
        </w:rPr>
        <w:t>Milestones, targets, indicators, and timetable for monitoring and implementation for non-repayable financial support</w:t>
      </w:r>
    </w:p>
    <w:tbl>
      <w:tblPr>
        <w:tblW w:w="15502" w:type="dxa"/>
        <w:jc w:val="center"/>
        <w:tblLayout w:type="fixed"/>
        <w:tblLook w:val="04A0" w:firstRow="1" w:lastRow="0" w:firstColumn="1" w:lastColumn="0" w:noHBand="0" w:noVBand="1"/>
      </w:tblPr>
      <w:tblGrid>
        <w:gridCol w:w="846"/>
        <w:gridCol w:w="1452"/>
        <w:gridCol w:w="1275"/>
        <w:gridCol w:w="1702"/>
        <w:gridCol w:w="1680"/>
        <w:gridCol w:w="1440"/>
        <w:gridCol w:w="1080"/>
        <w:gridCol w:w="720"/>
        <w:gridCol w:w="1080"/>
        <w:gridCol w:w="720"/>
        <w:gridCol w:w="3507"/>
      </w:tblGrid>
      <w:tr w:rsidR="00324CC6" w:rsidRPr="001961AA" w14:paraId="1BD737D7" w14:textId="77777777" w:rsidTr="00300C11">
        <w:trPr>
          <w:trHeight w:val="927"/>
          <w:tblHeader/>
          <w:jc w:val="center"/>
        </w:trPr>
        <w:tc>
          <w:tcPr>
            <w:tcW w:w="84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BDBE34D" w14:textId="556716DB" w:rsidR="006A41D9" w:rsidRPr="001961AA" w:rsidRDefault="006A41D9" w:rsidP="00BD6DD1">
            <w:pPr>
              <w:spacing w:after="0"/>
              <w:jc w:val="center"/>
              <w:rPr>
                <w:rFonts w:ascii="Times New Roman" w:eastAsia="Times New Roman" w:hAnsi="Times New Roman" w:cs="Times New Roman"/>
                <w:b/>
                <w:noProof/>
                <w:lang w:val="en-GB"/>
              </w:rPr>
            </w:pPr>
            <w:r w:rsidRPr="001961AA">
              <w:rPr>
                <w:rFonts w:ascii="Times New Roman" w:hAnsi="Times New Roman"/>
                <w:b/>
                <w:noProof/>
                <w:lang w:val="en-GB"/>
              </w:rPr>
              <w:t>Seq. Nb.</w:t>
            </w:r>
          </w:p>
        </w:tc>
        <w:tc>
          <w:tcPr>
            <w:tcW w:w="1452"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DABACA9" w14:textId="77777777" w:rsidR="006A41D9" w:rsidRPr="001961AA" w:rsidRDefault="006A41D9" w:rsidP="00BD6DD1">
            <w:pPr>
              <w:spacing w:after="0"/>
              <w:jc w:val="center"/>
              <w:rPr>
                <w:rFonts w:ascii="Times New Roman" w:eastAsia="Times New Roman" w:hAnsi="Times New Roman" w:cs="Times New Roman"/>
                <w:b/>
                <w:noProof/>
                <w:lang w:val="en-GB"/>
              </w:rPr>
            </w:pPr>
            <w:r w:rsidRPr="001961AA">
              <w:rPr>
                <w:rFonts w:ascii="Times New Roman" w:hAnsi="Times New Roman"/>
                <w:b/>
                <w:noProof/>
                <w:lang w:val="en-GB"/>
              </w:rPr>
              <w:t>Related Measure (Reform or Investment)</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E0B7EE7" w14:textId="77777777" w:rsidR="006A41D9" w:rsidRPr="001961AA" w:rsidRDefault="006A41D9" w:rsidP="00BD6DD1">
            <w:pPr>
              <w:spacing w:after="0"/>
              <w:jc w:val="center"/>
              <w:rPr>
                <w:rFonts w:ascii="Times New Roman" w:eastAsia="Times New Roman" w:hAnsi="Times New Roman" w:cs="Times New Roman"/>
                <w:b/>
                <w:noProof/>
                <w:lang w:val="en-GB"/>
              </w:rPr>
            </w:pPr>
            <w:r w:rsidRPr="001961AA">
              <w:rPr>
                <w:rFonts w:ascii="Times New Roman" w:hAnsi="Times New Roman"/>
                <w:b/>
                <w:noProof/>
                <w:lang w:val="en-GB"/>
              </w:rPr>
              <w:t>Milestone / Target</w:t>
            </w:r>
          </w:p>
        </w:tc>
        <w:tc>
          <w:tcPr>
            <w:tcW w:w="1702" w:type="dxa"/>
            <w:vMerge w:val="restart"/>
            <w:tcBorders>
              <w:top w:val="single" w:sz="4" w:space="0" w:color="auto"/>
              <w:left w:val="nil"/>
              <w:bottom w:val="single" w:sz="4" w:space="0" w:color="auto"/>
              <w:right w:val="single" w:sz="4" w:space="0" w:color="auto"/>
            </w:tcBorders>
            <w:shd w:val="clear" w:color="auto" w:fill="BDD7EE"/>
            <w:vAlign w:val="center"/>
            <w:hideMark/>
          </w:tcPr>
          <w:p w14:paraId="6A101D89" w14:textId="77777777" w:rsidR="006A41D9" w:rsidRPr="001961AA" w:rsidRDefault="006A41D9" w:rsidP="00BD6DD1">
            <w:pPr>
              <w:spacing w:after="0"/>
              <w:jc w:val="center"/>
              <w:rPr>
                <w:rFonts w:ascii="Times New Roman" w:eastAsia="Times New Roman" w:hAnsi="Times New Roman" w:cs="Times New Roman"/>
                <w:b/>
                <w:noProof/>
                <w:lang w:val="en-GB"/>
              </w:rPr>
            </w:pPr>
            <w:r w:rsidRPr="001961AA">
              <w:rPr>
                <w:rFonts w:ascii="Times New Roman" w:hAnsi="Times New Roman"/>
                <w:b/>
                <w:noProof/>
                <w:lang w:val="en-GB"/>
              </w:rPr>
              <w:t>Name</w:t>
            </w:r>
          </w:p>
        </w:tc>
        <w:tc>
          <w:tcPr>
            <w:tcW w:w="168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74A04C3" w14:textId="77777777" w:rsidR="006A41D9" w:rsidRPr="001961AA" w:rsidRDefault="006A41D9" w:rsidP="00BD6DD1">
            <w:pPr>
              <w:spacing w:after="0"/>
              <w:jc w:val="center"/>
              <w:rPr>
                <w:rFonts w:ascii="Times New Roman" w:eastAsia="Times New Roman" w:hAnsi="Times New Roman" w:cs="Times New Roman"/>
                <w:b/>
                <w:noProof/>
                <w:lang w:val="en-GB"/>
              </w:rPr>
            </w:pPr>
            <w:r w:rsidRPr="001961AA">
              <w:rPr>
                <w:rFonts w:ascii="Times New Roman" w:hAnsi="Times New Roman"/>
                <w:b/>
                <w:noProof/>
                <w:lang w:val="en-GB"/>
              </w:rPr>
              <w:t xml:space="preserve">Qualitative indicators </w:t>
            </w:r>
            <w:r w:rsidRPr="001961AA">
              <w:rPr>
                <w:noProof/>
                <w:lang w:val="en-GB"/>
              </w:rPr>
              <w:t xml:space="preserve"> </w:t>
            </w:r>
            <w:r w:rsidRPr="001961AA">
              <w:rPr>
                <w:noProof/>
                <w:lang w:val="en-GB"/>
              </w:rPr>
              <w:br/>
            </w:r>
            <w:r w:rsidRPr="001961AA">
              <w:rPr>
                <w:rFonts w:ascii="Times New Roman" w:hAnsi="Times New Roman"/>
                <w:b/>
                <w:noProof/>
                <w:lang w:val="en-GB"/>
              </w:rPr>
              <w:t>(for milestones)</w:t>
            </w:r>
          </w:p>
        </w:tc>
        <w:tc>
          <w:tcPr>
            <w:tcW w:w="3240" w:type="dxa"/>
            <w:gridSpan w:val="3"/>
            <w:tcBorders>
              <w:top w:val="single" w:sz="4" w:space="0" w:color="auto"/>
              <w:left w:val="nil"/>
              <w:bottom w:val="single" w:sz="4" w:space="0" w:color="auto"/>
              <w:right w:val="single" w:sz="4" w:space="0" w:color="auto"/>
            </w:tcBorders>
            <w:shd w:val="clear" w:color="auto" w:fill="BDD7EE"/>
            <w:vAlign w:val="center"/>
            <w:hideMark/>
          </w:tcPr>
          <w:p w14:paraId="3DA56736" w14:textId="77777777" w:rsidR="006A41D9" w:rsidRPr="001961AA" w:rsidRDefault="006A41D9" w:rsidP="00BD6DD1">
            <w:pPr>
              <w:spacing w:after="0"/>
              <w:jc w:val="center"/>
              <w:rPr>
                <w:rFonts w:ascii="Times New Roman" w:eastAsia="Times New Roman" w:hAnsi="Times New Roman" w:cs="Times New Roman"/>
                <w:b/>
                <w:noProof/>
                <w:lang w:val="en-GB"/>
              </w:rPr>
            </w:pPr>
            <w:r w:rsidRPr="001961AA">
              <w:rPr>
                <w:rFonts w:ascii="Times New Roman" w:hAnsi="Times New Roman"/>
                <w:b/>
                <w:noProof/>
                <w:lang w:val="en-GB"/>
              </w:rPr>
              <w:t xml:space="preserve">Quantitative indicators </w:t>
            </w:r>
            <w:r w:rsidRPr="001961AA">
              <w:rPr>
                <w:noProof/>
                <w:lang w:val="en-GB"/>
              </w:rPr>
              <w:t xml:space="preserve"> </w:t>
            </w:r>
            <w:r w:rsidRPr="001961AA">
              <w:rPr>
                <w:noProof/>
                <w:lang w:val="en-GB"/>
              </w:rPr>
              <w:br/>
            </w:r>
            <w:r w:rsidRPr="001961AA">
              <w:rPr>
                <w:rFonts w:ascii="Times New Roman" w:hAnsi="Times New Roman"/>
                <w:b/>
                <w:noProof/>
                <w:lang w:val="en-GB"/>
              </w:rPr>
              <w:t>(for targets)</w:t>
            </w:r>
          </w:p>
        </w:tc>
        <w:tc>
          <w:tcPr>
            <w:tcW w:w="1800" w:type="dxa"/>
            <w:gridSpan w:val="2"/>
            <w:tcBorders>
              <w:top w:val="single" w:sz="4" w:space="0" w:color="auto"/>
              <w:left w:val="nil"/>
              <w:bottom w:val="single" w:sz="4" w:space="0" w:color="auto"/>
              <w:right w:val="single" w:sz="4" w:space="0" w:color="auto"/>
            </w:tcBorders>
            <w:shd w:val="clear" w:color="auto" w:fill="BDD7EE"/>
            <w:vAlign w:val="center"/>
            <w:hideMark/>
          </w:tcPr>
          <w:p w14:paraId="0D754934" w14:textId="77777777" w:rsidR="006A41D9" w:rsidRPr="001961AA" w:rsidRDefault="006A41D9" w:rsidP="00BD6DD1">
            <w:pPr>
              <w:spacing w:after="0"/>
              <w:jc w:val="center"/>
              <w:rPr>
                <w:rFonts w:ascii="Times New Roman" w:eastAsia="Times New Roman" w:hAnsi="Times New Roman" w:cs="Times New Roman"/>
                <w:b/>
                <w:noProof/>
                <w:lang w:val="en-GB"/>
              </w:rPr>
            </w:pPr>
            <w:r w:rsidRPr="001961AA">
              <w:rPr>
                <w:rFonts w:ascii="Times New Roman" w:hAnsi="Times New Roman"/>
                <w:b/>
                <w:noProof/>
                <w:lang w:val="en-GB"/>
              </w:rPr>
              <w:t xml:space="preserve">Indicative timeline for completion </w:t>
            </w:r>
          </w:p>
        </w:tc>
        <w:tc>
          <w:tcPr>
            <w:tcW w:w="3507"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7860769" w14:textId="77777777" w:rsidR="006A41D9" w:rsidRPr="001961AA" w:rsidRDefault="006A41D9" w:rsidP="00BD6DD1">
            <w:pPr>
              <w:spacing w:after="0"/>
              <w:jc w:val="center"/>
              <w:rPr>
                <w:rFonts w:ascii="Times New Roman" w:eastAsia="Times New Roman" w:hAnsi="Times New Roman" w:cs="Times New Roman"/>
                <w:b/>
                <w:noProof/>
                <w:lang w:val="en-GB"/>
              </w:rPr>
            </w:pPr>
            <w:r w:rsidRPr="001961AA">
              <w:rPr>
                <w:rFonts w:ascii="Times New Roman" w:hAnsi="Times New Roman"/>
                <w:b/>
                <w:noProof/>
                <w:lang w:val="en-GB"/>
              </w:rPr>
              <w:t>Description of each milestone and target</w:t>
            </w:r>
          </w:p>
        </w:tc>
      </w:tr>
      <w:tr w:rsidR="00300C11" w:rsidRPr="001961AA" w14:paraId="53964A24" w14:textId="77777777" w:rsidTr="00300C11">
        <w:trPr>
          <w:trHeight w:val="1013"/>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2A85EDC7" w14:textId="77777777" w:rsidR="006A41D9" w:rsidRPr="001961AA" w:rsidRDefault="006A41D9" w:rsidP="00BD6DD1">
            <w:pPr>
              <w:spacing w:after="0"/>
              <w:rPr>
                <w:rFonts w:ascii="Times New Roman" w:eastAsia="Times New Roman" w:hAnsi="Times New Roman" w:cs="Times New Roman"/>
                <w:b/>
                <w:bCs/>
                <w:noProof/>
                <w:szCs w:val="24"/>
                <w:lang w:val="en-GB" w:eastAsia="en-GB"/>
              </w:rPr>
            </w:pPr>
          </w:p>
        </w:tc>
        <w:tc>
          <w:tcPr>
            <w:tcW w:w="1452" w:type="dxa"/>
            <w:vMerge/>
            <w:tcBorders>
              <w:top w:val="single" w:sz="4" w:space="0" w:color="auto"/>
              <w:left w:val="single" w:sz="4" w:space="0" w:color="auto"/>
              <w:bottom w:val="single" w:sz="4" w:space="0" w:color="auto"/>
              <w:right w:val="single" w:sz="4" w:space="0" w:color="auto"/>
            </w:tcBorders>
            <w:vAlign w:val="center"/>
            <w:hideMark/>
          </w:tcPr>
          <w:p w14:paraId="6EFFA762" w14:textId="77777777" w:rsidR="006A41D9" w:rsidRPr="001961AA" w:rsidRDefault="006A41D9" w:rsidP="00BD6DD1">
            <w:pPr>
              <w:spacing w:after="0"/>
              <w:rPr>
                <w:rFonts w:ascii="Times New Roman" w:eastAsia="Times New Roman" w:hAnsi="Times New Roman" w:cs="Times New Roman"/>
                <w:b/>
                <w:bCs/>
                <w:noProof/>
                <w:szCs w:val="24"/>
                <w:lang w:val="en-GB" w:eastAsia="en-GB"/>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0C54E5D" w14:textId="77777777" w:rsidR="006A41D9" w:rsidRPr="001961AA" w:rsidRDefault="006A41D9" w:rsidP="00BD6DD1">
            <w:pPr>
              <w:spacing w:after="0"/>
              <w:rPr>
                <w:rFonts w:ascii="Times New Roman" w:eastAsia="Times New Roman" w:hAnsi="Times New Roman" w:cs="Times New Roman"/>
                <w:b/>
                <w:bCs/>
                <w:noProof/>
                <w:szCs w:val="24"/>
                <w:lang w:val="en-GB" w:eastAsia="en-GB"/>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0C5C380E" w14:textId="77777777" w:rsidR="006A41D9" w:rsidRPr="001961AA" w:rsidRDefault="006A41D9" w:rsidP="00BD6DD1">
            <w:pPr>
              <w:spacing w:after="0"/>
              <w:rPr>
                <w:rFonts w:ascii="Times New Roman" w:eastAsia="Times New Roman" w:hAnsi="Times New Roman" w:cs="Times New Roman"/>
                <w:b/>
                <w:bCs/>
                <w:noProof/>
                <w:szCs w:val="24"/>
                <w:lang w:val="en-GB" w:eastAsia="en-GB"/>
              </w:rPr>
            </w:pPr>
          </w:p>
        </w:tc>
        <w:tc>
          <w:tcPr>
            <w:tcW w:w="1680" w:type="dxa"/>
            <w:vMerge/>
            <w:tcBorders>
              <w:top w:val="single" w:sz="4" w:space="0" w:color="auto"/>
              <w:left w:val="single" w:sz="4" w:space="0" w:color="auto"/>
              <w:bottom w:val="single" w:sz="4" w:space="0" w:color="auto"/>
              <w:right w:val="single" w:sz="4" w:space="0" w:color="auto"/>
            </w:tcBorders>
            <w:vAlign w:val="center"/>
            <w:hideMark/>
          </w:tcPr>
          <w:p w14:paraId="48DF24A3" w14:textId="77777777" w:rsidR="006A41D9" w:rsidRPr="001961AA" w:rsidRDefault="006A41D9" w:rsidP="00BD6DD1">
            <w:pPr>
              <w:spacing w:after="0"/>
              <w:rPr>
                <w:rFonts w:ascii="Times New Roman" w:eastAsia="Times New Roman" w:hAnsi="Times New Roman" w:cs="Times New Roman"/>
                <w:b/>
                <w:bCs/>
                <w:noProof/>
                <w:szCs w:val="24"/>
                <w:lang w:val="en-GB" w:eastAsia="en-GB"/>
              </w:rPr>
            </w:pPr>
          </w:p>
        </w:tc>
        <w:tc>
          <w:tcPr>
            <w:tcW w:w="1440" w:type="dxa"/>
            <w:tcBorders>
              <w:top w:val="nil"/>
              <w:left w:val="single" w:sz="4" w:space="0" w:color="auto"/>
              <w:bottom w:val="single" w:sz="4" w:space="0" w:color="auto"/>
              <w:right w:val="single" w:sz="4" w:space="0" w:color="auto"/>
            </w:tcBorders>
            <w:shd w:val="clear" w:color="auto" w:fill="BDD7EE"/>
            <w:vAlign w:val="center"/>
            <w:hideMark/>
          </w:tcPr>
          <w:p w14:paraId="338D59DB" w14:textId="77777777" w:rsidR="006A41D9" w:rsidRPr="001961AA" w:rsidRDefault="006A41D9" w:rsidP="00BD6DD1">
            <w:pPr>
              <w:spacing w:after="0"/>
              <w:jc w:val="center"/>
              <w:rPr>
                <w:rFonts w:ascii="Times New Roman" w:eastAsia="Times New Roman" w:hAnsi="Times New Roman" w:cs="Times New Roman"/>
                <w:b/>
                <w:noProof/>
                <w:lang w:val="en-GB"/>
              </w:rPr>
            </w:pPr>
            <w:r w:rsidRPr="001961AA">
              <w:rPr>
                <w:rFonts w:ascii="Times New Roman" w:hAnsi="Times New Roman"/>
                <w:b/>
                <w:noProof/>
                <w:lang w:val="en-GB"/>
              </w:rPr>
              <w:t>Unit of measure</w:t>
            </w:r>
          </w:p>
        </w:tc>
        <w:tc>
          <w:tcPr>
            <w:tcW w:w="1080" w:type="dxa"/>
            <w:tcBorders>
              <w:top w:val="nil"/>
              <w:left w:val="nil"/>
              <w:bottom w:val="single" w:sz="4" w:space="0" w:color="auto"/>
              <w:right w:val="single" w:sz="4" w:space="0" w:color="auto"/>
            </w:tcBorders>
            <w:shd w:val="clear" w:color="auto" w:fill="BDD7EE"/>
            <w:vAlign w:val="center"/>
            <w:hideMark/>
          </w:tcPr>
          <w:p w14:paraId="50BCFBD4" w14:textId="77777777" w:rsidR="006A41D9" w:rsidRPr="001961AA" w:rsidRDefault="006A41D9" w:rsidP="00BD6DD1">
            <w:pPr>
              <w:spacing w:after="0"/>
              <w:jc w:val="center"/>
              <w:rPr>
                <w:rFonts w:ascii="Times New Roman" w:eastAsia="Times New Roman" w:hAnsi="Times New Roman" w:cs="Times New Roman"/>
                <w:b/>
                <w:noProof/>
                <w:lang w:val="en-GB"/>
              </w:rPr>
            </w:pPr>
            <w:r w:rsidRPr="001961AA">
              <w:rPr>
                <w:rFonts w:ascii="Times New Roman" w:hAnsi="Times New Roman"/>
                <w:b/>
                <w:noProof/>
                <w:lang w:val="en-GB"/>
              </w:rPr>
              <w:t xml:space="preserve">Baseline </w:t>
            </w:r>
          </w:p>
        </w:tc>
        <w:tc>
          <w:tcPr>
            <w:tcW w:w="720" w:type="dxa"/>
            <w:tcBorders>
              <w:top w:val="nil"/>
              <w:left w:val="nil"/>
              <w:bottom w:val="single" w:sz="4" w:space="0" w:color="auto"/>
              <w:right w:val="single" w:sz="4" w:space="0" w:color="auto"/>
            </w:tcBorders>
            <w:shd w:val="clear" w:color="auto" w:fill="BDD7EE"/>
            <w:vAlign w:val="center"/>
            <w:hideMark/>
          </w:tcPr>
          <w:p w14:paraId="7D15C29D" w14:textId="77777777" w:rsidR="006A41D9" w:rsidRPr="001961AA" w:rsidRDefault="006A41D9" w:rsidP="00BD6DD1">
            <w:pPr>
              <w:spacing w:after="0"/>
              <w:jc w:val="center"/>
              <w:rPr>
                <w:rFonts w:ascii="Times New Roman" w:eastAsia="Times New Roman" w:hAnsi="Times New Roman" w:cs="Times New Roman"/>
                <w:b/>
                <w:noProof/>
                <w:lang w:val="en-GB"/>
              </w:rPr>
            </w:pPr>
            <w:r w:rsidRPr="001961AA">
              <w:rPr>
                <w:rFonts w:ascii="Times New Roman" w:hAnsi="Times New Roman"/>
                <w:b/>
                <w:noProof/>
                <w:lang w:val="en-GB"/>
              </w:rPr>
              <w:t xml:space="preserve">Goal </w:t>
            </w:r>
          </w:p>
        </w:tc>
        <w:tc>
          <w:tcPr>
            <w:tcW w:w="1080" w:type="dxa"/>
            <w:tcBorders>
              <w:top w:val="nil"/>
              <w:left w:val="nil"/>
              <w:bottom w:val="single" w:sz="4" w:space="0" w:color="auto"/>
              <w:right w:val="single" w:sz="4" w:space="0" w:color="auto"/>
            </w:tcBorders>
            <w:shd w:val="clear" w:color="auto" w:fill="BDD7EE"/>
            <w:vAlign w:val="center"/>
            <w:hideMark/>
          </w:tcPr>
          <w:p w14:paraId="46D7EFA1" w14:textId="77777777" w:rsidR="006A41D9" w:rsidRPr="001961AA" w:rsidRDefault="006A41D9" w:rsidP="00BD6DD1">
            <w:pPr>
              <w:spacing w:after="0"/>
              <w:jc w:val="center"/>
              <w:rPr>
                <w:rFonts w:ascii="Times New Roman" w:eastAsia="Times New Roman" w:hAnsi="Times New Roman" w:cs="Times New Roman"/>
                <w:b/>
                <w:noProof/>
                <w:lang w:val="en-GB"/>
              </w:rPr>
            </w:pPr>
            <w:r w:rsidRPr="001961AA">
              <w:rPr>
                <w:rFonts w:ascii="Times New Roman" w:hAnsi="Times New Roman"/>
                <w:b/>
                <w:noProof/>
                <w:lang w:val="en-GB"/>
              </w:rPr>
              <w:t>Quarter</w:t>
            </w:r>
          </w:p>
        </w:tc>
        <w:tc>
          <w:tcPr>
            <w:tcW w:w="720" w:type="dxa"/>
            <w:tcBorders>
              <w:top w:val="nil"/>
              <w:left w:val="nil"/>
              <w:bottom w:val="single" w:sz="4" w:space="0" w:color="auto"/>
              <w:right w:val="single" w:sz="4" w:space="0" w:color="auto"/>
            </w:tcBorders>
            <w:shd w:val="clear" w:color="auto" w:fill="BDD7EE"/>
            <w:vAlign w:val="center"/>
            <w:hideMark/>
          </w:tcPr>
          <w:p w14:paraId="6510D139" w14:textId="77777777" w:rsidR="006A41D9" w:rsidRPr="001961AA" w:rsidRDefault="006A41D9" w:rsidP="00BD6DD1">
            <w:pPr>
              <w:spacing w:after="0"/>
              <w:jc w:val="center"/>
              <w:rPr>
                <w:rFonts w:ascii="Times New Roman" w:eastAsia="Times New Roman" w:hAnsi="Times New Roman" w:cs="Times New Roman"/>
                <w:b/>
                <w:noProof/>
                <w:lang w:val="en-GB"/>
              </w:rPr>
            </w:pPr>
            <w:r w:rsidRPr="001961AA">
              <w:rPr>
                <w:rFonts w:ascii="Times New Roman" w:hAnsi="Times New Roman"/>
                <w:b/>
                <w:noProof/>
                <w:lang w:val="en-GB"/>
              </w:rPr>
              <w:t>Year</w:t>
            </w:r>
          </w:p>
        </w:tc>
        <w:tc>
          <w:tcPr>
            <w:tcW w:w="3507" w:type="dxa"/>
            <w:vMerge/>
            <w:tcBorders>
              <w:top w:val="single" w:sz="4" w:space="0" w:color="auto"/>
              <w:bottom w:val="single" w:sz="4" w:space="0" w:color="auto"/>
              <w:right w:val="single" w:sz="4" w:space="0" w:color="auto"/>
            </w:tcBorders>
            <w:vAlign w:val="center"/>
            <w:hideMark/>
          </w:tcPr>
          <w:p w14:paraId="51375A76" w14:textId="77777777" w:rsidR="006A41D9" w:rsidRPr="001961AA" w:rsidRDefault="006A41D9" w:rsidP="00BD6DD1">
            <w:pPr>
              <w:spacing w:after="0"/>
              <w:rPr>
                <w:rFonts w:ascii="Times New Roman" w:eastAsia="Times New Roman" w:hAnsi="Times New Roman" w:cs="Times New Roman"/>
                <w:b/>
                <w:bCs/>
                <w:noProof/>
                <w:szCs w:val="24"/>
                <w:lang w:val="en-GB" w:eastAsia="en-GB"/>
              </w:rPr>
            </w:pPr>
          </w:p>
        </w:tc>
      </w:tr>
      <w:tr w:rsidR="00300C11" w:rsidRPr="001961AA" w14:paraId="6E5C0B04" w14:textId="77777777" w:rsidTr="00300C11">
        <w:trPr>
          <w:trHeight w:val="309"/>
          <w:jc w:val="center"/>
        </w:trPr>
        <w:tc>
          <w:tcPr>
            <w:tcW w:w="846"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47A728C9"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139</w:t>
            </w:r>
          </w:p>
        </w:tc>
        <w:tc>
          <w:tcPr>
            <w:tcW w:w="1452" w:type="dxa"/>
            <w:tcBorders>
              <w:top w:val="single" w:sz="4" w:space="0" w:color="auto"/>
              <w:left w:val="nil"/>
              <w:bottom w:val="single" w:sz="4" w:space="0" w:color="auto"/>
              <w:right w:val="single" w:sz="4" w:space="0" w:color="auto"/>
            </w:tcBorders>
            <w:shd w:val="clear" w:color="auto" w:fill="C6EFCE"/>
            <w:noWrap/>
            <w:vAlign w:val="center"/>
            <w:hideMark/>
          </w:tcPr>
          <w:p w14:paraId="72D47B76"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Re-qualification strategy (R-4.05)</w:t>
            </w:r>
          </w:p>
        </w:tc>
        <w:tc>
          <w:tcPr>
            <w:tcW w:w="1275" w:type="dxa"/>
            <w:tcBorders>
              <w:top w:val="single" w:sz="4" w:space="0" w:color="auto"/>
              <w:left w:val="nil"/>
              <w:bottom w:val="single" w:sz="4" w:space="0" w:color="auto"/>
              <w:right w:val="single" w:sz="4" w:space="0" w:color="auto"/>
            </w:tcBorders>
            <w:shd w:val="clear" w:color="auto" w:fill="C6EFCE"/>
            <w:noWrap/>
            <w:vAlign w:val="center"/>
            <w:hideMark/>
          </w:tcPr>
          <w:p w14:paraId="5C9152E7" w14:textId="25E5E1D8" w:rsidR="006A41D9" w:rsidRPr="001961AA" w:rsidRDefault="006A41D9" w:rsidP="007C5576">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M</w:t>
            </w:r>
          </w:p>
        </w:tc>
        <w:tc>
          <w:tcPr>
            <w:tcW w:w="1702" w:type="dxa"/>
            <w:tcBorders>
              <w:top w:val="single" w:sz="4" w:space="0" w:color="auto"/>
              <w:left w:val="nil"/>
              <w:bottom w:val="single" w:sz="4" w:space="0" w:color="auto"/>
              <w:right w:val="single" w:sz="4" w:space="0" w:color="auto"/>
            </w:tcBorders>
            <w:shd w:val="clear" w:color="auto" w:fill="C6EFCE"/>
            <w:noWrap/>
            <w:vAlign w:val="center"/>
            <w:hideMark/>
          </w:tcPr>
          <w:p w14:paraId="4E265DA1"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Adoption of regulatory texts by the Brussels Government to promote integration of vulnerable groups into the labour market</w:t>
            </w:r>
          </w:p>
        </w:tc>
        <w:tc>
          <w:tcPr>
            <w:tcW w:w="1680" w:type="dxa"/>
            <w:tcBorders>
              <w:top w:val="single" w:sz="4" w:space="0" w:color="auto"/>
              <w:left w:val="nil"/>
              <w:bottom w:val="single" w:sz="4" w:space="0" w:color="auto"/>
              <w:right w:val="single" w:sz="4" w:space="0" w:color="auto"/>
            </w:tcBorders>
            <w:shd w:val="clear" w:color="auto" w:fill="C6EFCE"/>
            <w:noWrap/>
            <w:vAlign w:val="center"/>
            <w:hideMark/>
          </w:tcPr>
          <w:p w14:paraId="30E2D10A"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Publication of regulatory texts in the Official Journal</w:t>
            </w:r>
          </w:p>
        </w:tc>
        <w:tc>
          <w:tcPr>
            <w:tcW w:w="1440" w:type="dxa"/>
            <w:tcBorders>
              <w:top w:val="nil"/>
              <w:left w:val="nil"/>
              <w:bottom w:val="single" w:sz="4" w:space="0" w:color="auto"/>
              <w:right w:val="single" w:sz="4" w:space="0" w:color="auto"/>
            </w:tcBorders>
            <w:shd w:val="clear" w:color="auto" w:fill="C6EFCE"/>
            <w:noWrap/>
            <w:vAlign w:val="center"/>
          </w:tcPr>
          <w:p w14:paraId="087A4786" w14:textId="77777777"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1080" w:type="dxa"/>
            <w:tcBorders>
              <w:top w:val="nil"/>
              <w:left w:val="nil"/>
              <w:bottom w:val="single" w:sz="4" w:space="0" w:color="auto"/>
              <w:right w:val="single" w:sz="4" w:space="0" w:color="auto"/>
            </w:tcBorders>
            <w:shd w:val="clear" w:color="auto" w:fill="C6EFCE"/>
            <w:noWrap/>
            <w:vAlign w:val="center"/>
          </w:tcPr>
          <w:p w14:paraId="56169FD1" w14:textId="77777777" w:rsidR="006A41D9" w:rsidRPr="001961AA" w:rsidRDefault="006A41D9" w:rsidP="00BD6DD1">
            <w:pPr>
              <w:spacing w:after="0"/>
              <w:jc w:val="right"/>
              <w:rPr>
                <w:rFonts w:ascii="Times New Roman" w:eastAsia="Times New Roman" w:hAnsi="Times New Roman" w:cs="Times New Roman"/>
                <w:noProof/>
                <w:color w:val="006100"/>
                <w:lang w:val="en-GB" w:eastAsia="en-GB"/>
              </w:rPr>
            </w:pPr>
          </w:p>
        </w:tc>
        <w:tc>
          <w:tcPr>
            <w:tcW w:w="720" w:type="dxa"/>
            <w:tcBorders>
              <w:top w:val="nil"/>
              <w:left w:val="nil"/>
              <w:bottom w:val="single" w:sz="4" w:space="0" w:color="auto"/>
              <w:right w:val="single" w:sz="4" w:space="0" w:color="auto"/>
            </w:tcBorders>
            <w:shd w:val="clear" w:color="auto" w:fill="C6EFCE"/>
            <w:noWrap/>
            <w:vAlign w:val="center"/>
          </w:tcPr>
          <w:p w14:paraId="3CFE0159" w14:textId="77777777" w:rsidR="006A41D9" w:rsidRPr="001961AA" w:rsidRDefault="006A41D9" w:rsidP="00BD6DD1">
            <w:pPr>
              <w:spacing w:after="0"/>
              <w:jc w:val="right"/>
              <w:rPr>
                <w:rFonts w:ascii="Times New Roman" w:eastAsia="Times New Roman" w:hAnsi="Times New Roman" w:cs="Times New Roman"/>
                <w:noProof/>
                <w:color w:val="006100"/>
                <w:lang w:val="en-GB" w:eastAsia="en-GB"/>
              </w:rPr>
            </w:pPr>
          </w:p>
        </w:tc>
        <w:tc>
          <w:tcPr>
            <w:tcW w:w="1080" w:type="dxa"/>
            <w:tcBorders>
              <w:top w:val="nil"/>
              <w:left w:val="nil"/>
              <w:bottom w:val="single" w:sz="4" w:space="0" w:color="auto"/>
              <w:right w:val="single" w:sz="4" w:space="0" w:color="auto"/>
            </w:tcBorders>
            <w:shd w:val="clear" w:color="auto" w:fill="C6EFCE"/>
            <w:noWrap/>
            <w:vAlign w:val="center"/>
            <w:hideMark/>
          </w:tcPr>
          <w:p w14:paraId="778686CD" w14:textId="39C15495"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Q4</w:t>
            </w:r>
          </w:p>
        </w:tc>
        <w:tc>
          <w:tcPr>
            <w:tcW w:w="720" w:type="dxa"/>
            <w:tcBorders>
              <w:top w:val="nil"/>
              <w:left w:val="nil"/>
              <w:bottom w:val="single" w:sz="4" w:space="0" w:color="auto"/>
              <w:right w:val="single" w:sz="4" w:space="0" w:color="auto"/>
            </w:tcBorders>
            <w:shd w:val="clear" w:color="auto" w:fill="C6EFCE"/>
            <w:noWrap/>
            <w:vAlign w:val="center"/>
            <w:hideMark/>
          </w:tcPr>
          <w:p w14:paraId="7EEE4DA5" w14:textId="48D6AB00"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2024</w:t>
            </w:r>
          </w:p>
        </w:tc>
        <w:tc>
          <w:tcPr>
            <w:tcW w:w="3507" w:type="dxa"/>
            <w:tcBorders>
              <w:top w:val="single" w:sz="4" w:space="0" w:color="auto"/>
              <w:left w:val="nil"/>
              <w:bottom w:val="single" w:sz="4" w:space="0" w:color="auto"/>
              <w:right w:val="single" w:sz="4" w:space="0" w:color="auto"/>
            </w:tcBorders>
            <w:shd w:val="clear" w:color="auto" w:fill="C6EFCE"/>
            <w:noWrap/>
            <w:vAlign w:val="center"/>
            <w:hideMark/>
          </w:tcPr>
          <w:p w14:paraId="1725B7CB" w14:textId="183A894D"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Adoption by the Brussels Government of two regulatory texts aimed at promoting the sustainable integration of vulnerable groups into the labour market, in particular (1) the introduction of a systematic digital and language skills assessment and/or of a development pathway for Brussels jobseekers and (2) the introduction of a specific bonus scheme to support employers in the recruitment of job seekers with disabilities.</w:t>
            </w:r>
          </w:p>
          <w:p w14:paraId="1D089C2C"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Transposition of the commonly agreed exit rate (</w:t>
            </w:r>
            <w:r w:rsidRPr="001961AA">
              <w:rPr>
                <w:rFonts w:ascii="Times New Roman" w:hAnsi="Times New Roman"/>
                <w:i/>
                <w:noProof/>
                <w:color w:val="006100"/>
                <w:lang w:val="en-GB"/>
              </w:rPr>
              <w:t>taux de sortie vers l'emploi</w:t>
            </w:r>
            <w:r w:rsidRPr="001961AA">
              <w:rPr>
                <w:rFonts w:ascii="Times New Roman" w:hAnsi="Times New Roman"/>
                <w:noProof/>
                <w:color w:val="006100"/>
                <w:lang w:val="en-GB"/>
              </w:rPr>
              <w:t xml:space="preserve">) in the 2023-2027 management contracts of Actiris, Bruxelles Formation and VDAB Brussel, setting the framework for its implementation, monitoring and impact assessment. </w:t>
            </w:r>
          </w:p>
        </w:tc>
      </w:tr>
      <w:tr w:rsidR="00300C11" w:rsidRPr="001961AA" w14:paraId="764355EC" w14:textId="77777777" w:rsidTr="00300C11">
        <w:trPr>
          <w:trHeight w:val="309"/>
          <w:jc w:val="center"/>
        </w:trPr>
        <w:tc>
          <w:tcPr>
            <w:tcW w:w="846" w:type="dxa"/>
            <w:tcBorders>
              <w:top w:val="nil"/>
              <w:left w:val="single" w:sz="4" w:space="0" w:color="auto"/>
              <w:bottom w:val="single" w:sz="4" w:space="0" w:color="auto"/>
              <w:right w:val="single" w:sz="4" w:space="0" w:color="auto"/>
            </w:tcBorders>
            <w:shd w:val="clear" w:color="auto" w:fill="C6EFCE"/>
            <w:noWrap/>
            <w:vAlign w:val="center"/>
            <w:hideMark/>
          </w:tcPr>
          <w:p w14:paraId="5C1F79C9"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140</w:t>
            </w:r>
          </w:p>
        </w:tc>
        <w:tc>
          <w:tcPr>
            <w:tcW w:w="1452" w:type="dxa"/>
            <w:tcBorders>
              <w:top w:val="nil"/>
              <w:left w:val="nil"/>
              <w:bottom w:val="single" w:sz="4" w:space="0" w:color="auto"/>
              <w:right w:val="single" w:sz="4" w:space="0" w:color="auto"/>
            </w:tcBorders>
            <w:shd w:val="clear" w:color="auto" w:fill="C6EFCE"/>
            <w:noWrap/>
            <w:vAlign w:val="center"/>
            <w:hideMark/>
          </w:tcPr>
          <w:p w14:paraId="3E8FEC10"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Tackling discrimination at the labour market (R-4.04)</w:t>
            </w:r>
          </w:p>
        </w:tc>
        <w:tc>
          <w:tcPr>
            <w:tcW w:w="1275" w:type="dxa"/>
            <w:tcBorders>
              <w:top w:val="nil"/>
              <w:left w:val="nil"/>
              <w:bottom w:val="single" w:sz="4" w:space="0" w:color="auto"/>
              <w:right w:val="single" w:sz="4" w:space="0" w:color="auto"/>
            </w:tcBorders>
            <w:shd w:val="clear" w:color="auto" w:fill="C6EFCE"/>
            <w:noWrap/>
            <w:vAlign w:val="center"/>
            <w:hideMark/>
          </w:tcPr>
          <w:p w14:paraId="325FE5B3" w14:textId="7F15D7A2" w:rsidR="006A41D9" w:rsidRPr="001961AA" w:rsidRDefault="006A41D9" w:rsidP="007C5576">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M</w:t>
            </w:r>
          </w:p>
        </w:tc>
        <w:tc>
          <w:tcPr>
            <w:tcW w:w="1702" w:type="dxa"/>
            <w:tcBorders>
              <w:top w:val="nil"/>
              <w:left w:val="nil"/>
              <w:bottom w:val="single" w:sz="4" w:space="0" w:color="auto"/>
              <w:right w:val="single" w:sz="4" w:space="0" w:color="auto"/>
            </w:tcBorders>
            <w:shd w:val="clear" w:color="auto" w:fill="C6EFCE"/>
            <w:noWrap/>
            <w:vAlign w:val="center"/>
            <w:hideMark/>
          </w:tcPr>
          <w:p w14:paraId="23FBCD3C"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Adapted regulatory framework and improved application of discriminatory tests</w:t>
            </w:r>
          </w:p>
        </w:tc>
        <w:tc>
          <w:tcPr>
            <w:tcW w:w="1680" w:type="dxa"/>
            <w:tcBorders>
              <w:top w:val="nil"/>
              <w:left w:val="nil"/>
              <w:bottom w:val="single" w:sz="4" w:space="0" w:color="auto"/>
              <w:right w:val="single" w:sz="4" w:space="0" w:color="auto"/>
            </w:tcBorders>
            <w:shd w:val="clear" w:color="auto" w:fill="C6EFCE"/>
            <w:noWrap/>
            <w:vAlign w:val="center"/>
            <w:hideMark/>
          </w:tcPr>
          <w:p w14:paraId="0DFD3C09"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Publication of the adapted regulatory framework in the Official Journal</w:t>
            </w:r>
          </w:p>
        </w:tc>
        <w:tc>
          <w:tcPr>
            <w:tcW w:w="1440" w:type="dxa"/>
            <w:tcBorders>
              <w:top w:val="nil"/>
              <w:left w:val="nil"/>
              <w:bottom w:val="single" w:sz="4" w:space="0" w:color="auto"/>
              <w:right w:val="single" w:sz="4" w:space="0" w:color="auto"/>
            </w:tcBorders>
            <w:shd w:val="clear" w:color="auto" w:fill="C6EFCE"/>
            <w:noWrap/>
            <w:vAlign w:val="center"/>
          </w:tcPr>
          <w:p w14:paraId="46F4D274" w14:textId="77777777"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1080" w:type="dxa"/>
            <w:tcBorders>
              <w:top w:val="nil"/>
              <w:left w:val="nil"/>
              <w:bottom w:val="single" w:sz="4" w:space="0" w:color="auto"/>
              <w:right w:val="single" w:sz="4" w:space="0" w:color="auto"/>
            </w:tcBorders>
            <w:shd w:val="clear" w:color="auto" w:fill="C6EFCE"/>
            <w:noWrap/>
            <w:vAlign w:val="center"/>
          </w:tcPr>
          <w:p w14:paraId="393A73EC" w14:textId="77777777" w:rsidR="006A41D9" w:rsidRPr="001961AA" w:rsidRDefault="006A41D9" w:rsidP="00BD6DD1">
            <w:pPr>
              <w:spacing w:after="0"/>
              <w:jc w:val="right"/>
              <w:rPr>
                <w:rFonts w:ascii="Times New Roman" w:eastAsia="Times New Roman" w:hAnsi="Times New Roman" w:cs="Times New Roman"/>
                <w:noProof/>
                <w:color w:val="006100"/>
                <w:lang w:val="en-GB" w:eastAsia="en-GB"/>
              </w:rPr>
            </w:pPr>
          </w:p>
        </w:tc>
        <w:tc>
          <w:tcPr>
            <w:tcW w:w="720" w:type="dxa"/>
            <w:tcBorders>
              <w:top w:val="nil"/>
              <w:left w:val="nil"/>
              <w:bottom w:val="single" w:sz="4" w:space="0" w:color="auto"/>
              <w:right w:val="single" w:sz="4" w:space="0" w:color="auto"/>
            </w:tcBorders>
            <w:shd w:val="clear" w:color="auto" w:fill="C6EFCE"/>
            <w:noWrap/>
            <w:vAlign w:val="center"/>
          </w:tcPr>
          <w:p w14:paraId="127DFF07" w14:textId="77777777" w:rsidR="006A41D9" w:rsidRPr="001961AA" w:rsidRDefault="006A41D9" w:rsidP="00BD6DD1">
            <w:pPr>
              <w:spacing w:after="0"/>
              <w:jc w:val="right"/>
              <w:rPr>
                <w:rFonts w:ascii="Times New Roman" w:eastAsia="Times New Roman" w:hAnsi="Times New Roman" w:cs="Times New Roman"/>
                <w:noProof/>
                <w:color w:val="006100"/>
                <w:lang w:val="en-GB" w:eastAsia="en-GB"/>
              </w:rPr>
            </w:pPr>
          </w:p>
        </w:tc>
        <w:tc>
          <w:tcPr>
            <w:tcW w:w="1080" w:type="dxa"/>
            <w:tcBorders>
              <w:top w:val="nil"/>
              <w:left w:val="nil"/>
              <w:bottom w:val="single" w:sz="4" w:space="0" w:color="auto"/>
              <w:right w:val="single" w:sz="4" w:space="0" w:color="auto"/>
            </w:tcBorders>
            <w:shd w:val="clear" w:color="auto" w:fill="C6EFCE"/>
            <w:noWrap/>
            <w:vAlign w:val="center"/>
            <w:hideMark/>
          </w:tcPr>
          <w:p w14:paraId="06AD5E4D"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Q4</w:t>
            </w:r>
          </w:p>
        </w:tc>
        <w:tc>
          <w:tcPr>
            <w:tcW w:w="720" w:type="dxa"/>
            <w:tcBorders>
              <w:top w:val="nil"/>
              <w:left w:val="nil"/>
              <w:bottom w:val="single" w:sz="4" w:space="0" w:color="auto"/>
              <w:right w:val="single" w:sz="4" w:space="0" w:color="auto"/>
            </w:tcBorders>
            <w:shd w:val="clear" w:color="auto" w:fill="C6EFCE"/>
            <w:noWrap/>
            <w:vAlign w:val="center"/>
            <w:hideMark/>
          </w:tcPr>
          <w:p w14:paraId="440770A3"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2023</w:t>
            </w:r>
          </w:p>
        </w:tc>
        <w:tc>
          <w:tcPr>
            <w:tcW w:w="3507" w:type="dxa"/>
            <w:tcBorders>
              <w:top w:val="nil"/>
              <w:left w:val="nil"/>
              <w:bottom w:val="single" w:sz="4" w:space="0" w:color="auto"/>
              <w:right w:val="single" w:sz="4" w:space="0" w:color="auto"/>
            </w:tcBorders>
            <w:shd w:val="clear" w:color="auto" w:fill="C6EFCE"/>
            <w:noWrap/>
            <w:vAlign w:val="center"/>
          </w:tcPr>
          <w:p w14:paraId="6C78EDAF"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(1) Publication in the Official Journal of the adapted regulatory framework on discriminatory tests (art.42/1 Social Criminal Code), (2) improved tools and data for targeted checks and (3) training and strengthened social law monitoring services of the Federal Public Service for Employment, Labour and Social Dialogue in order to improve the effectiveness of discriminatory tests.</w:t>
            </w:r>
          </w:p>
        </w:tc>
      </w:tr>
      <w:tr w:rsidR="00300C11" w:rsidRPr="001961AA" w14:paraId="50087B79" w14:textId="77777777" w:rsidTr="00300C11">
        <w:trPr>
          <w:trHeight w:val="309"/>
          <w:jc w:val="center"/>
        </w:trPr>
        <w:tc>
          <w:tcPr>
            <w:tcW w:w="846" w:type="dxa"/>
            <w:tcBorders>
              <w:top w:val="nil"/>
              <w:left w:val="single" w:sz="4" w:space="0" w:color="auto"/>
              <w:bottom w:val="single" w:sz="4" w:space="0" w:color="auto"/>
              <w:right w:val="single" w:sz="4" w:space="0" w:color="auto"/>
            </w:tcBorders>
            <w:shd w:val="clear" w:color="auto" w:fill="C6EFCE"/>
            <w:noWrap/>
            <w:vAlign w:val="center"/>
            <w:hideMark/>
          </w:tcPr>
          <w:p w14:paraId="1044289C"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141</w:t>
            </w:r>
          </w:p>
        </w:tc>
        <w:tc>
          <w:tcPr>
            <w:tcW w:w="1452" w:type="dxa"/>
            <w:tcBorders>
              <w:top w:val="nil"/>
              <w:left w:val="nil"/>
              <w:bottom w:val="single" w:sz="4" w:space="0" w:color="auto"/>
              <w:right w:val="single" w:sz="4" w:space="0" w:color="auto"/>
            </w:tcBorders>
            <w:shd w:val="clear" w:color="auto" w:fill="C6EFCE"/>
            <w:noWrap/>
            <w:vAlign w:val="center"/>
            <w:hideMark/>
          </w:tcPr>
          <w:p w14:paraId="21D6B57A"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An inclusive labour market (R-4.06)</w:t>
            </w:r>
          </w:p>
        </w:tc>
        <w:tc>
          <w:tcPr>
            <w:tcW w:w="1275" w:type="dxa"/>
            <w:tcBorders>
              <w:top w:val="nil"/>
              <w:left w:val="nil"/>
              <w:bottom w:val="single" w:sz="4" w:space="0" w:color="auto"/>
              <w:right w:val="single" w:sz="4" w:space="0" w:color="auto"/>
            </w:tcBorders>
            <w:shd w:val="clear" w:color="auto" w:fill="C6EFCE"/>
            <w:noWrap/>
            <w:vAlign w:val="center"/>
            <w:hideMark/>
          </w:tcPr>
          <w:p w14:paraId="44FCC3C4" w14:textId="03FE5C97" w:rsidR="006A41D9" w:rsidRPr="001961AA" w:rsidRDefault="006A41D9" w:rsidP="007C5576">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T</w:t>
            </w:r>
          </w:p>
        </w:tc>
        <w:tc>
          <w:tcPr>
            <w:tcW w:w="1702" w:type="dxa"/>
            <w:tcBorders>
              <w:top w:val="nil"/>
              <w:left w:val="nil"/>
              <w:bottom w:val="single" w:sz="4" w:space="0" w:color="auto"/>
              <w:right w:val="single" w:sz="4" w:space="0" w:color="auto"/>
            </w:tcBorders>
            <w:shd w:val="clear" w:color="auto" w:fill="C6EFCE"/>
            <w:noWrap/>
            <w:vAlign w:val="center"/>
            <w:hideMark/>
          </w:tcPr>
          <w:p w14:paraId="2FEF03C1"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Completion of sectoral non-discrimination actions</w:t>
            </w:r>
          </w:p>
        </w:tc>
        <w:tc>
          <w:tcPr>
            <w:tcW w:w="1680" w:type="dxa"/>
            <w:tcBorders>
              <w:top w:val="nil"/>
              <w:left w:val="nil"/>
              <w:bottom w:val="single" w:sz="4" w:space="0" w:color="auto"/>
              <w:right w:val="single" w:sz="4" w:space="0" w:color="auto"/>
            </w:tcBorders>
            <w:shd w:val="clear" w:color="auto" w:fill="C6EFCE"/>
            <w:noWrap/>
            <w:vAlign w:val="center"/>
            <w:hideMark/>
          </w:tcPr>
          <w:p w14:paraId="7F6FDCE0" w14:textId="77777777"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1440" w:type="dxa"/>
            <w:tcBorders>
              <w:top w:val="nil"/>
              <w:left w:val="nil"/>
              <w:bottom w:val="single" w:sz="4" w:space="0" w:color="auto"/>
              <w:right w:val="single" w:sz="4" w:space="0" w:color="auto"/>
            </w:tcBorders>
            <w:shd w:val="clear" w:color="auto" w:fill="C6EFCE"/>
            <w:noWrap/>
            <w:vAlign w:val="center"/>
            <w:hideMark/>
          </w:tcPr>
          <w:p w14:paraId="01796E72"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Sectors</w:t>
            </w:r>
          </w:p>
        </w:tc>
        <w:tc>
          <w:tcPr>
            <w:tcW w:w="1080" w:type="dxa"/>
            <w:tcBorders>
              <w:top w:val="nil"/>
              <w:left w:val="nil"/>
              <w:bottom w:val="single" w:sz="4" w:space="0" w:color="auto"/>
              <w:right w:val="single" w:sz="4" w:space="0" w:color="auto"/>
            </w:tcBorders>
            <w:shd w:val="clear" w:color="auto" w:fill="C6EFCE"/>
            <w:noWrap/>
            <w:vAlign w:val="center"/>
          </w:tcPr>
          <w:p w14:paraId="2A8EC2A3"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0</w:t>
            </w:r>
          </w:p>
        </w:tc>
        <w:tc>
          <w:tcPr>
            <w:tcW w:w="720" w:type="dxa"/>
            <w:tcBorders>
              <w:top w:val="nil"/>
              <w:left w:val="nil"/>
              <w:bottom w:val="single" w:sz="4" w:space="0" w:color="auto"/>
              <w:right w:val="single" w:sz="4" w:space="0" w:color="auto"/>
            </w:tcBorders>
            <w:shd w:val="clear" w:color="auto" w:fill="C6EFCE"/>
            <w:noWrap/>
            <w:vAlign w:val="center"/>
          </w:tcPr>
          <w:p w14:paraId="41CDBC09"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37</w:t>
            </w:r>
          </w:p>
        </w:tc>
        <w:tc>
          <w:tcPr>
            <w:tcW w:w="1080" w:type="dxa"/>
            <w:tcBorders>
              <w:top w:val="nil"/>
              <w:left w:val="nil"/>
              <w:bottom w:val="single" w:sz="4" w:space="0" w:color="auto"/>
              <w:right w:val="single" w:sz="4" w:space="0" w:color="auto"/>
            </w:tcBorders>
            <w:shd w:val="clear" w:color="auto" w:fill="C6EFCE"/>
            <w:noWrap/>
            <w:vAlign w:val="center"/>
            <w:hideMark/>
          </w:tcPr>
          <w:p w14:paraId="0CB37BED"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Q1</w:t>
            </w:r>
          </w:p>
        </w:tc>
        <w:tc>
          <w:tcPr>
            <w:tcW w:w="720" w:type="dxa"/>
            <w:tcBorders>
              <w:top w:val="nil"/>
              <w:left w:val="nil"/>
              <w:bottom w:val="single" w:sz="4" w:space="0" w:color="auto"/>
              <w:right w:val="single" w:sz="4" w:space="0" w:color="auto"/>
            </w:tcBorders>
            <w:shd w:val="clear" w:color="auto" w:fill="C6EFCE"/>
            <w:noWrap/>
            <w:vAlign w:val="center"/>
            <w:hideMark/>
          </w:tcPr>
          <w:p w14:paraId="5CA5FC60"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2023</w:t>
            </w:r>
          </w:p>
        </w:tc>
        <w:tc>
          <w:tcPr>
            <w:tcW w:w="3507" w:type="dxa"/>
            <w:tcBorders>
              <w:top w:val="nil"/>
              <w:left w:val="nil"/>
              <w:bottom w:val="single" w:sz="4" w:space="0" w:color="auto"/>
              <w:right w:val="single" w:sz="4" w:space="0" w:color="auto"/>
            </w:tcBorders>
            <w:shd w:val="clear" w:color="auto" w:fill="C6EFCE"/>
            <w:noWrap/>
            <w:vAlign w:val="center"/>
            <w:hideMark/>
          </w:tcPr>
          <w:p w14:paraId="66CFE170"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37 professional sectors implement actions on non-discrimination (see Addenda non-discrimination and inclusion 2021-2022).</w:t>
            </w:r>
            <w:r w:rsidRPr="001961AA">
              <w:rPr>
                <w:rFonts w:ascii="Times New Roman" w:hAnsi="Times New Roman"/>
                <w:noProof/>
                <w:lang w:val="en-GB"/>
              </w:rPr>
              <w:t xml:space="preserve"> </w:t>
            </w:r>
            <w:r w:rsidRPr="001961AA">
              <w:rPr>
                <w:rFonts w:ascii="Times New Roman" w:hAnsi="Times New Roman"/>
                <w:noProof/>
                <w:color w:val="006100"/>
                <w:lang w:val="en-GB"/>
              </w:rPr>
              <w:t>The Flemish government assesses the implementation of each action on the basis of the individual predetermined commitments of each sector.</w:t>
            </w:r>
          </w:p>
        </w:tc>
      </w:tr>
      <w:tr w:rsidR="00300C11" w:rsidRPr="001961AA" w14:paraId="06D6E4EF" w14:textId="77777777" w:rsidTr="00300C11">
        <w:trPr>
          <w:trHeight w:val="309"/>
          <w:jc w:val="center"/>
        </w:trPr>
        <w:tc>
          <w:tcPr>
            <w:tcW w:w="846" w:type="dxa"/>
            <w:tcBorders>
              <w:top w:val="nil"/>
              <w:left w:val="single" w:sz="4" w:space="0" w:color="auto"/>
              <w:bottom w:val="single" w:sz="4" w:space="0" w:color="auto"/>
              <w:right w:val="single" w:sz="4" w:space="0" w:color="auto"/>
            </w:tcBorders>
            <w:shd w:val="clear" w:color="auto" w:fill="C6EFCE"/>
            <w:noWrap/>
            <w:vAlign w:val="center"/>
          </w:tcPr>
          <w:p w14:paraId="7075BF79"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142</w:t>
            </w:r>
          </w:p>
        </w:tc>
        <w:tc>
          <w:tcPr>
            <w:tcW w:w="1452" w:type="dxa"/>
            <w:tcBorders>
              <w:top w:val="nil"/>
              <w:left w:val="nil"/>
              <w:bottom w:val="single" w:sz="4" w:space="0" w:color="auto"/>
              <w:right w:val="single" w:sz="4" w:space="0" w:color="auto"/>
            </w:tcBorders>
            <w:shd w:val="clear" w:color="auto" w:fill="C6EFCE"/>
            <w:noWrap/>
            <w:vAlign w:val="center"/>
          </w:tcPr>
          <w:p w14:paraId="703F8216"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An inclusive labour market (R-4.06)</w:t>
            </w:r>
          </w:p>
        </w:tc>
        <w:tc>
          <w:tcPr>
            <w:tcW w:w="1275" w:type="dxa"/>
            <w:tcBorders>
              <w:top w:val="nil"/>
              <w:left w:val="nil"/>
              <w:bottom w:val="single" w:sz="4" w:space="0" w:color="auto"/>
              <w:right w:val="single" w:sz="4" w:space="0" w:color="auto"/>
            </w:tcBorders>
            <w:shd w:val="clear" w:color="auto" w:fill="C6EFCE"/>
            <w:noWrap/>
            <w:vAlign w:val="center"/>
          </w:tcPr>
          <w:p w14:paraId="4F6E6D05" w14:textId="250AE873" w:rsidR="006A41D9" w:rsidRPr="001961AA" w:rsidRDefault="006A41D9" w:rsidP="007C5576">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T</w:t>
            </w:r>
          </w:p>
        </w:tc>
        <w:tc>
          <w:tcPr>
            <w:tcW w:w="1702" w:type="dxa"/>
            <w:tcBorders>
              <w:top w:val="nil"/>
              <w:left w:val="nil"/>
              <w:bottom w:val="single" w:sz="4" w:space="0" w:color="auto"/>
              <w:right w:val="single" w:sz="4" w:space="0" w:color="auto"/>
            </w:tcBorders>
            <w:shd w:val="clear" w:color="auto" w:fill="C6EFCE"/>
            <w:noWrap/>
            <w:vAlign w:val="center"/>
          </w:tcPr>
          <w:p w14:paraId="5A59295D"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New integrated path for newcomers</w:t>
            </w:r>
          </w:p>
        </w:tc>
        <w:tc>
          <w:tcPr>
            <w:tcW w:w="1680" w:type="dxa"/>
            <w:tcBorders>
              <w:top w:val="nil"/>
              <w:left w:val="nil"/>
              <w:bottom w:val="single" w:sz="4" w:space="0" w:color="auto"/>
              <w:right w:val="single" w:sz="4" w:space="0" w:color="auto"/>
            </w:tcBorders>
            <w:shd w:val="clear" w:color="auto" w:fill="C6EFCE"/>
            <w:noWrap/>
            <w:vAlign w:val="center"/>
          </w:tcPr>
          <w:p w14:paraId="2994B8BE" w14:textId="77777777"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1440" w:type="dxa"/>
            <w:tcBorders>
              <w:top w:val="nil"/>
              <w:left w:val="nil"/>
              <w:bottom w:val="single" w:sz="4" w:space="0" w:color="auto"/>
              <w:right w:val="single" w:sz="4" w:space="0" w:color="auto"/>
            </w:tcBorders>
            <w:shd w:val="clear" w:color="auto" w:fill="C6EFCE"/>
            <w:noWrap/>
            <w:vAlign w:val="center"/>
          </w:tcPr>
          <w:p w14:paraId="49801056"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Participants</w:t>
            </w:r>
          </w:p>
        </w:tc>
        <w:tc>
          <w:tcPr>
            <w:tcW w:w="1080" w:type="dxa"/>
            <w:tcBorders>
              <w:top w:val="nil"/>
              <w:left w:val="nil"/>
              <w:bottom w:val="single" w:sz="4" w:space="0" w:color="auto"/>
              <w:right w:val="single" w:sz="4" w:space="0" w:color="auto"/>
            </w:tcBorders>
            <w:shd w:val="clear" w:color="auto" w:fill="C6EFCE"/>
            <w:noWrap/>
            <w:vAlign w:val="center"/>
          </w:tcPr>
          <w:p w14:paraId="50FF9FBD"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0</w:t>
            </w:r>
          </w:p>
        </w:tc>
        <w:tc>
          <w:tcPr>
            <w:tcW w:w="720" w:type="dxa"/>
            <w:tcBorders>
              <w:top w:val="nil"/>
              <w:left w:val="nil"/>
              <w:bottom w:val="single" w:sz="4" w:space="0" w:color="auto"/>
              <w:right w:val="single" w:sz="4" w:space="0" w:color="auto"/>
            </w:tcBorders>
            <w:shd w:val="clear" w:color="auto" w:fill="C6EFCE"/>
            <w:noWrap/>
            <w:vAlign w:val="center"/>
          </w:tcPr>
          <w:p w14:paraId="799FF018" w14:textId="5032AE59"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2 000</w:t>
            </w:r>
          </w:p>
        </w:tc>
        <w:tc>
          <w:tcPr>
            <w:tcW w:w="1080" w:type="dxa"/>
            <w:tcBorders>
              <w:top w:val="nil"/>
              <w:left w:val="nil"/>
              <w:bottom w:val="single" w:sz="4" w:space="0" w:color="auto"/>
              <w:right w:val="single" w:sz="4" w:space="0" w:color="auto"/>
            </w:tcBorders>
            <w:shd w:val="clear" w:color="auto" w:fill="C6EFCE"/>
            <w:noWrap/>
            <w:vAlign w:val="center"/>
          </w:tcPr>
          <w:p w14:paraId="07CAD224"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Q4</w:t>
            </w:r>
          </w:p>
        </w:tc>
        <w:tc>
          <w:tcPr>
            <w:tcW w:w="720" w:type="dxa"/>
            <w:tcBorders>
              <w:top w:val="nil"/>
              <w:left w:val="nil"/>
              <w:bottom w:val="single" w:sz="4" w:space="0" w:color="auto"/>
              <w:right w:val="single" w:sz="4" w:space="0" w:color="auto"/>
            </w:tcBorders>
            <w:shd w:val="clear" w:color="auto" w:fill="C6EFCE"/>
            <w:noWrap/>
            <w:vAlign w:val="center"/>
          </w:tcPr>
          <w:p w14:paraId="0AEC67A7"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2023</w:t>
            </w:r>
          </w:p>
        </w:tc>
        <w:tc>
          <w:tcPr>
            <w:tcW w:w="3507" w:type="dxa"/>
            <w:tcBorders>
              <w:top w:val="nil"/>
              <w:left w:val="nil"/>
              <w:bottom w:val="single" w:sz="4" w:space="0" w:color="auto"/>
              <w:right w:val="single" w:sz="4" w:space="0" w:color="auto"/>
            </w:tcBorders>
            <w:shd w:val="clear" w:color="auto" w:fill="C6EFCE"/>
            <w:noWrap/>
            <w:vAlign w:val="center"/>
          </w:tcPr>
          <w:p w14:paraId="2A512A77"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2000 newcomers, participating to the new integrated path.</w:t>
            </w:r>
          </w:p>
        </w:tc>
      </w:tr>
      <w:tr w:rsidR="00300C11" w:rsidRPr="001961AA" w14:paraId="21F7B78B" w14:textId="77777777" w:rsidTr="00300C11">
        <w:trPr>
          <w:trHeight w:val="309"/>
          <w:jc w:val="center"/>
        </w:trPr>
        <w:tc>
          <w:tcPr>
            <w:tcW w:w="846" w:type="dxa"/>
            <w:tcBorders>
              <w:top w:val="nil"/>
              <w:left w:val="single" w:sz="4" w:space="0" w:color="auto"/>
              <w:bottom w:val="single" w:sz="4" w:space="0" w:color="auto"/>
              <w:right w:val="single" w:sz="4" w:space="0" w:color="auto"/>
            </w:tcBorders>
            <w:shd w:val="clear" w:color="auto" w:fill="C6EFCE"/>
            <w:noWrap/>
            <w:vAlign w:val="center"/>
          </w:tcPr>
          <w:p w14:paraId="7D196629"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143</w:t>
            </w:r>
          </w:p>
        </w:tc>
        <w:tc>
          <w:tcPr>
            <w:tcW w:w="1452" w:type="dxa"/>
            <w:tcBorders>
              <w:top w:val="nil"/>
              <w:left w:val="nil"/>
              <w:bottom w:val="single" w:sz="4" w:space="0" w:color="auto"/>
              <w:right w:val="single" w:sz="4" w:space="0" w:color="auto"/>
            </w:tcBorders>
            <w:shd w:val="clear" w:color="auto" w:fill="C6EFCE"/>
            <w:noWrap/>
            <w:vAlign w:val="center"/>
          </w:tcPr>
          <w:p w14:paraId="52711BB8"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Re-qualification strategy (I-4.07)</w:t>
            </w:r>
          </w:p>
        </w:tc>
        <w:tc>
          <w:tcPr>
            <w:tcW w:w="1275" w:type="dxa"/>
            <w:tcBorders>
              <w:top w:val="nil"/>
              <w:left w:val="nil"/>
              <w:bottom w:val="single" w:sz="4" w:space="0" w:color="auto"/>
              <w:right w:val="single" w:sz="4" w:space="0" w:color="auto"/>
            </w:tcBorders>
            <w:shd w:val="clear" w:color="auto" w:fill="C6EFCE"/>
            <w:noWrap/>
            <w:vAlign w:val="center"/>
          </w:tcPr>
          <w:p w14:paraId="5841402D" w14:textId="12C6BEE5" w:rsidR="006A41D9" w:rsidRPr="001961AA" w:rsidRDefault="006A41D9" w:rsidP="007C5576">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M</w:t>
            </w:r>
          </w:p>
        </w:tc>
        <w:tc>
          <w:tcPr>
            <w:tcW w:w="1702" w:type="dxa"/>
            <w:tcBorders>
              <w:top w:val="nil"/>
              <w:left w:val="nil"/>
              <w:bottom w:val="single" w:sz="4" w:space="0" w:color="auto"/>
              <w:right w:val="single" w:sz="4" w:space="0" w:color="auto"/>
            </w:tcBorders>
            <w:shd w:val="clear" w:color="auto" w:fill="C6EFCE"/>
            <w:noWrap/>
            <w:vAlign w:val="center"/>
          </w:tcPr>
          <w:p w14:paraId="5A47F27C"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Award of grants related to social innovation initiatives</w:t>
            </w:r>
          </w:p>
        </w:tc>
        <w:tc>
          <w:tcPr>
            <w:tcW w:w="1680" w:type="dxa"/>
            <w:tcBorders>
              <w:top w:val="nil"/>
              <w:left w:val="nil"/>
              <w:bottom w:val="single" w:sz="4" w:space="0" w:color="auto"/>
              <w:right w:val="single" w:sz="4" w:space="0" w:color="auto"/>
            </w:tcBorders>
            <w:shd w:val="clear" w:color="auto" w:fill="C6EFCE"/>
            <w:noWrap/>
            <w:vAlign w:val="center"/>
          </w:tcPr>
          <w:p w14:paraId="152E6DB8"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Written notification of contract awards to successful candidates</w:t>
            </w:r>
          </w:p>
        </w:tc>
        <w:tc>
          <w:tcPr>
            <w:tcW w:w="1440" w:type="dxa"/>
            <w:tcBorders>
              <w:top w:val="nil"/>
              <w:left w:val="nil"/>
              <w:bottom w:val="single" w:sz="4" w:space="0" w:color="auto"/>
              <w:right w:val="single" w:sz="4" w:space="0" w:color="auto"/>
            </w:tcBorders>
            <w:shd w:val="clear" w:color="auto" w:fill="C6EFCE"/>
            <w:noWrap/>
            <w:vAlign w:val="center"/>
          </w:tcPr>
          <w:p w14:paraId="3133EA2F" w14:textId="77777777"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1080" w:type="dxa"/>
            <w:tcBorders>
              <w:top w:val="nil"/>
              <w:left w:val="nil"/>
              <w:bottom w:val="single" w:sz="4" w:space="0" w:color="auto"/>
              <w:right w:val="single" w:sz="4" w:space="0" w:color="auto"/>
            </w:tcBorders>
            <w:shd w:val="clear" w:color="auto" w:fill="C6EFCE"/>
            <w:noWrap/>
            <w:vAlign w:val="center"/>
          </w:tcPr>
          <w:p w14:paraId="2FABEBB6" w14:textId="77777777"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720" w:type="dxa"/>
            <w:tcBorders>
              <w:top w:val="nil"/>
              <w:left w:val="nil"/>
              <w:bottom w:val="single" w:sz="4" w:space="0" w:color="auto"/>
              <w:right w:val="single" w:sz="4" w:space="0" w:color="auto"/>
            </w:tcBorders>
            <w:shd w:val="clear" w:color="auto" w:fill="C6EFCE"/>
            <w:noWrap/>
            <w:vAlign w:val="center"/>
          </w:tcPr>
          <w:p w14:paraId="717E6866" w14:textId="77777777"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1080" w:type="dxa"/>
            <w:tcBorders>
              <w:top w:val="nil"/>
              <w:left w:val="nil"/>
              <w:bottom w:val="single" w:sz="4" w:space="0" w:color="auto"/>
              <w:right w:val="single" w:sz="4" w:space="0" w:color="auto"/>
            </w:tcBorders>
            <w:shd w:val="clear" w:color="auto" w:fill="C6EFCE"/>
            <w:noWrap/>
            <w:vAlign w:val="center"/>
          </w:tcPr>
          <w:p w14:paraId="1978159B"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Q2</w:t>
            </w:r>
          </w:p>
        </w:tc>
        <w:tc>
          <w:tcPr>
            <w:tcW w:w="720" w:type="dxa"/>
            <w:tcBorders>
              <w:top w:val="nil"/>
              <w:left w:val="nil"/>
              <w:bottom w:val="single" w:sz="4" w:space="0" w:color="auto"/>
              <w:right w:val="single" w:sz="4" w:space="0" w:color="auto"/>
            </w:tcBorders>
            <w:shd w:val="clear" w:color="auto" w:fill="C6EFCE"/>
            <w:noWrap/>
            <w:vAlign w:val="center"/>
          </w:tcPr>
          <w:p w14:paraId="2EE19B39"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2023</w:t>
            </w:r>
          </w:p>
        </w:tc>
        <w:tc>
          <w:tcPr>
            <w:tcW w:w="3507" w:type="dxa"/>
            <w:tcBorders>
              <w:top w:val="nil"/>
              <w:left w:val="nil"/>
              <w:bottom w:val="single" w:sz="4" w:space="0" w:color="auto"/>
              <w:right w:val="single" w:sz="4" w:space="0" w:color="auto"/>
            </w:tcBorders>
            <w:shd w:val="clear" w:color="auto" w:fill="C6EFCE"/>
            <w:noWrap/>
            <w:vAlign w:val="center"/>
          </w:tcPr>
          <w:p w14:paraId="200CB13A"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Award of grants by the Public Employment Services to social innovation initiatives in accordance with the criteria laid down in the public procurement specifications.</w:t>
            </w:r>
          </w:p>
        </w:tc>
      </w:tr>
      <w:tr w:rsidR="00300C11" w:rsidRPr="001961AA" w14:paraId="05224902" w14:textId="77777777" w:rsidTr="00300C11">
        <w:trPr>
          <w:trHeight w:val="309"/>
          <w:jc w:val="center"/>
        </w:trPr>
        <w:tc>
          <w:tcPr>
            <w:tcW w:w="846" w:type="dxa"/>
            <w:tcBorders>
              <w:top w:val="nil"/>
              <w:left w:val="single" w:sz="4" w:space="0" w:color="auto"/>
              <w:bottom w:val="single" w:sz="4" w:space="0" w:color="auto"/>
              <w:right w:val="single" w:sz="4" w:space="0" w:color="auto"/>
            </w:tcBorders>
            <w:shd w:val="clear" w:color="auto" w:fill="C6EFCE"/>
            <w:noWrap/>
            <w:vAlign w:val="center"/>
          </w:tcPr>
          <w:p w14:paraId="37490F30"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144</w:t>
            </w:r>
          </w:p>
        </w:tc>
        <w:tc>
          <w:tcPr>
            <w:tcW w:w="1452" w:type="dxa"/>
            <w:tcBorders>
              <w:top w:val="nil"/>
              <w:left w:val="nil"/>
              <w:bottom w:val="single" w:sz="4" w:space="0" w:color="auto"/>
              <w:right w:val="single" w:sz="4" w:space="0" w:color="auto"/>
            </w:tcBorders>
            <w:shd w:val="clear" w:color="auto" w:fill="C6EFCE"/>
            <w:noWrap/>
            <w:vAlign w:val="center"/>
          </w:tcPr>
          <w:p w14:paraId="08D8670D"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Re-qualification strategy (I-4.07)</w:t>
            </w:r>
          </w:p>
        </w:tc>
        <w:tc>
          <w:tcPr>
            <w:tcW w:w="1275" w:type="dxa"/>
            <w:tcBorders>
              <w:top w:val="nil"/>
              <w:left w:val="nil"/>
              <w:bottom w:val="single" w:sz="4" w:space="0" w:color="auto"/>
              <w:right w:val="single" w:sz="4" w:space="0" w:color="auto"/>
            </w:tcBorders>
            <w:shd w:val="clear" w:color="auto" w:fill="C6EFCE"/>
            <w:noWrap/>
            <w:vAlign w:val="center"/>
          </w:tcPr>
          <w:p w14:paraId="70F6238E" w14:textId="69428E40" w:rsidR="006A41D9" w:rsidRPr="001961AA" w:rsidRDefault="006A41D9" w:rsidP="007C5576">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T</w:t>
            </w:r>
          </w:p>
        </w:tc>
        <w:tc>
          <w:tcPr>
            <w:tcW w:w="1702" w:type="dxa"/>
            <w:tcBorders>
              <w:top w:val="nil"/>
              <w:left w:val="nil"/>
              <w:bottom w:val="single" w:sz="4" w:space="0" w:color="auto"/>
              <w:right w:val="single" w:sz="4" w:space="0" w:color="auto"/>
            </w:tcBorders>
            <w:shd w:val="clear" w:color="auto" w:fill="C6EFCE"/>
            <w:noWrap/>
            <w:vAlign w:val="center"/>
          </w:tcPr>
          <w:p w14:paraId="2DBEE384"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Competence profile and job counselling</w:t>
            </w:r>
          </w:p>
        </w:tc>
        <w:tc>
          <w:tcPr>
            <w:tcW w:w="1680" w:type="dxa"/>
            <w:tcBorders>
              <w:top w:val="nil"/>
              <w:left w:val="nil"/>
              <w:bottom w:val="single" w:sz="4" w:space="0" w:color="auto"/>
              <w:right w:val="single" w:sz="4" w:space="0" w:color="auto"/>
            </w:tcBorders>
            <w:shd w:val="clear" w:color="auto" w:fill="C6EFCE"/>
            <w:noWrap/>
            <w:vAlign w:val="center"/>
          </w:tcPr>
          <w:p w14:paraId="0F2B0C35" w14:textId="77777777"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1440" w:type="dxa"/>
            <w:tcBorders>
              <w:top w:val="nil"/>
              <w:left w:val="nil"/>
              <w:bottom w:val="single" w:sz="4" w:space="0" w:color="auto"/>
              <w:right w:val="single" w:sz="4" w:space="0" w:color="auto"/>
            </w:tcBorders>
            <w:shd w:val="clear" w:color="auto" w:fill="C6EFCE"/>
            <w:noWrap/>
            <w:vAlign w:val="center"/>
          </w:tcPr>
          <w:p w14:paraId="01800B26"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Jobseekers</w:t>
            </w:r>
          </w:p>
        </w:tc>
        <w:tc>
          <w:tcPr>
            <w:tcW w:w="1080" w:type="dxa"/>
            <w:tcBorders>
              <w:top w:val="nil"/>
              <w:left w:val="nil"/>
              <w:bottom w:val="single" w:sz="4" w:space="0" w:color="auto"/>
              <w:right w:val="single" w:sz="4" w:space="0" w:color="auto"/>
            </w:tcBorders>
            <w:shd w:val="clear" w:color="auto" w:fill="C6EFCE"/>
            <w:noWrap/>
            <w:vAlign w:val="center"/>
          </w:tcPr>
          <w:p w14:paraId="283865A2"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0</w:t>
            </w:r>
          </w:p>
        </w:tc>
        <w:tc>
          <w:tcPr>
            <w:tcW w:w="720" w:type="dxa"/>
            <w:tcBorders>
              <w:top w:val="nil"/>
              <w:left w:val="nil"/>
              <w:bottom w:val="single" w:sz="4" w:space="0" w:color="auto"/>
              <w:right w:val="single" w:sz="4" w:space="0" w:color="auto"/>
            </w:tcBorders>
            <w:shd w:val="clear" w:color="auto" w:fill="C6EFCE"/>
            <w:noWrap/>
            <w:vAlign w:val="center"/>
          </w:tcPr>
          <w:p w14:paraId="169FAD81" w14:textId="43576D9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6 000</w:t>
            </w:r>
          </w:p>
        </w:tc>
        <w:tc>
          <w:tcPr>
            <w:tcW w:w="1080" w:type="dxa"/>
            <w:tcBorders>
              <w:top w:val="nil"/>
              <w:left w:val="nil"/>
              <w:bottom w:val="single" w:sz="4" w:space="0" w:color="auto"/>
              <w:right w:val="single" w:sz="4" w:space="0" w:color="auto"/>
            </w:tcBorders>
            <w:shd w:val="clear" w:color="auto" w:fill="C6EFCE"/>
            <w:noWrap/>
            <w:vAlign w:val="center"/>
          </w:tcPr>
          <w:p w14:paraId="720E50CD" w14:textId="096D328F"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Q4</w:t>
            </w:r>
          </w:p>
        </w:tc>
        <w:tc>
          <w:tcPr>
            <w:tcW w:w="720" w:type="dxa"/>
            <w:tcBorders>
              <w:top w:val="nil"/>
              <w:left w:val="nil"/>
              <w:bottom w:val="single" w:sz="4" w:space="0" w:color="auto"/>
              <w:right w:val="single" w:sz="4" w:space="0" w:color="auto"/>
            </w:tcBorders>
            <w:shd w:val="clear" w:color="auto" w:fill="C6EFCE"/>
            <w:noWrap/>
            <w:vAlign w:val="center"/>
          </w:tcPr>
          <w:p w14:paraId="2A3EC857" w14:textId="3D395C0F"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2024</w:t>
            </w:r>
          </w:p>
        </w:tc>
        <w:tc>
          <w:tcPr>
            <w:tcW w:w="3507" w:type="dxa"/>
            <w:tcBorders>
              <w:top w:val="nil"/>
              <w:left w:val="nil"/>
              <w:bottom w:val="single" w:sz="4" w:space="0" w:color="auto"/>
              <w:right w:val="single" w:sz="4" w:space="0" w:color="auto"/>
            </w:tcBorders>
            <w:shd w:val="clear" w:color="auto" w:fill="C6EFCE"/>
            <w:noWrap/>
            <w:vAlign w:val="center"/>
          </w:tcPr>
          <w:p w14:paraId="45987737"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6000 jobseekers in Brussels have benefited from a competence profile and systematic job counselling, focusing on the language and digital skills introduced by the Public Employment Service.</w:t>
            </w:r>
          </w:p>
        </w:tc>
      </w:tr>
      <w:tr w:rsidR="00300C11" w:rsidRPr="001961AA" w14:paraId="2A4F922C" w14:textId="77777777" w:rsidTr="00300C11">
        <w:trPr>
          <w:trHeight w:val="309"/>
          <w:jc w:val="center"/>
        </w:trPr>
        <w:tc>
          <w:tcPr>
            <w:tcW w:w="846" w:type="dxa"/>
            <w:tcBorders>
              <w:top w:val="nil"/>
              <w:left w:val="single" w:sz="4" w:space="0" w:color="auto"/>
              <w:bottom w:val="single" w:sz="4" w:space="0" w:color="auto"/>
              <w:right w:val="single" w:sz="4" w:space="0" w:color="auto"/>
            </w:tcBorders>
            <w:shd w:val="clear" w:color="auto" w:fill="C6EFCE"/>
            <w:noWrap/>
            <w:vAlign w:val="center"/>
          </w:tcPr>
          <w:p w14:paraId="0F5784E8"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145</w:t>
            </w:r>
          </w:p>
        </w:tc>
        <w:tc>
          <w:tcPr>
            <w:tcW w:w="1452" w:type="dxa"/>
            <w:tcBorders>
              <w:top w:val="nil"/>
              <w:left w:val="nil"/>
              <w:bottom w:val="single" w:sz="4" w:space="0" w:color="auto"/>
              <w:right w:val="single" w:sz="4" w:space="0" w:color="auto"/>
            </w:tcBorders>
            <w:shd w:val="clear" w:color="auto" w:fill="C6EFCE"/>
            <w:noWrap/>
            <w:vAlign w:val="center"/>
          </w:tcPr>
          <w:p w14:paraId="2B926E15"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Re-qualification strategy (I-4.07)</w:t>
            </w:r>
          </w:p>
        </w:tc>
        <w:tc>
          <w:tcPr>
            <w:tcW w:w="1275" w:type="dxa"/>
            <w:tcBorders>
              <w:top w:val="nil"/>
              <w:left w:val="nil"/>
              <w:bottom w:val="single" w:sz="4" w:space="0" w:color="auto"/>
              <w:right w:val="single" w:sz="4" w:space="0" w:color="auto"/>
            </w:tcBorders>
            <w:shd w:val="clear" w:color="auto" w:fill="C6EFCE"/>
            <w:noWrap/>
            <w:vAlign w:val="center"/>
          </w:tcPr>
          <w:p w14:paraId="2B95DF24" w14:textId="440CAFF3" w:rsidR="006A41D9" w:rsidRPr="001961AA" w:rsidRDefault="006A41D9" w:rsidP="007C5576">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T</w:t>
            </w:r>
          </w:p>
        </w:tc>
        <w:tc>
          <w:tcPr>
            <w:tcW w:w="1702" w:type="dxa"/>
            <w:tcBorders>
              <w:top w:val="nil"/>
              <w:left w:val="nil"/>
              <w:bottom w:val="single" w:sz="4" w:space="0" w:color="auto"/>
              <w:right w:val="single" w:sz="4" w:space="0" w:color="auto"/>
            </w:tcBorders>
            <w:shd w:val="clear" w:color="auto" w:fill="C6EFCE"/>
            <w:noWrap/>
            <w:vAlign w:val="center"/>
          </w:tcPr>
          <w:p w14:paraId="2F9E34CE"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Sustainable integration pathway for people with disabilities</w:t>
            </w:r>
          </w:p>
        </w:tc>
        <w:tc>
          <w:tcPr>
            <w:tcW w:w="1680" w:type="dxa"/>
            <w:tcBorders>
              <w:top w:val="nil"/>
              <w:left w:val="nil"/>
              <w:bottom w:val="single" w:sz="4" w:space="0" w:color="auto"/>
              <w:right w:val="single" w:sz="4" w:space="0" w:color="auto"/>
            </w:tcBorders>
            <w:shd w:val="clear" w:color="auto" w:fill="C6EFCE"/>
            <w:noWrap/>
            <w:vAlign w:val="center"/>
          </w:tcPr>
          <w:p w14:paraId="635C9CAC" w14:textId="77777777"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1440" w:type="dxa"/>
            <w:tcBorders>
              <w:top w:val="nil"/>
              <w:left w:val="nil"/>
              <w:bottom w:val="single" w:sz="4" w:space="0" w:color="auto"/>
              <w:right w:val="single" w:sz="4" w:space="0" w:color="auto"/>
            </w:tcBorders>
            <w:shd w:val="clear" w:color="auto" w:fill="C6EFCE"/>
            <w:noWrap/>
            <w:vAlign w:val="center"/>
          </w:tcPr>
          <w:p w14:paraId="72F36A84"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Persons with disabilities</w:t>
            </w:r>
          </w:p>
        </w:tc>
        <w:tc>
          <w:tcPr>
            <w:tcW w:w="1080" w:type="dxa"/>
            <w:tcBorders>
              <w:top w:val="nil"/>
              <w:left w:val="nil"/>
              <w:bottom w:val="single" w:sz="4" w:space="0" w:color="auto"/>
              <w:right w:val="single" w:sz="4" w:space="0" w:color="auto"/>
            </w:tcBorders>
            <w:shd w:val="clear" w:color="auto" w:fill="C6EFCE"/>
            <w:noWrap/>
            <w:vAlign w:val="center"/>
          </w:tcPr>
          <w:p w14:paraId="7F4A49B4"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0</w:t>
            </w:r>
          </w:p>
        </w:tc>
        <w:tc>
          <w:tcPr>
            <w:tcW w:w="720" w:type="dxa"/>
            <w:tcBorders>
              <w:top w:val="nil"/>
              <w:left w:val="nil"/>
              <w:bottom w:val="single" w:sz="4" w:space="0" w:color="auto"/>
              <w:right w:val="single" w:sz="4" w:space="0" w:color="auto"/>
            </w:tcBorders>
            <w:shd w:val="clear" w:color="auto" w:fill="C6EFCE"/>
            <w:noWrap/>
            <w:vAlign w:val="center"/>
          </w:tcPr>
          <w:p w14:paraId="5FFA730D"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450</w:t>
            </w:r>
          </w:p>
        </w:tc>
        <w:tc>
          <w:tcPr>
            <w:tcW w:w="1080" w:type="dxa"/>
            <w:tcBorders>
              <w:top w:val="nil"/>
              <w:left w:val="nil"/>
              <w:bottom w:val="single" w:sz="4" w:space="0" w:color="auto"/>
              <w:right w:val="single" w:sz="4" w:space="0" w:color="auto"/>
            </w:tcBorders>
            <w:shd w:val="clear" w:color="auto" w:fill="C6EFCE"/>
            <w:noWrap/>
            <w:vAlign w:val="center"/>
          </w:tcPr>
          <w:p w14:paraId="261CB2E2"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Q4</w:t>
            </w:r>
          </w:p>
        </w:tc>
        <w:tc>
          <w:tcPr>
            <w:tcW w:w="720" w:type="dxa"/>
            <w:tcBorders>
              <w:top w:val="nil"/>
              <w:left w:val="nil"/>
              <w:bottom w:val="single" w:sz="4" w:space="0" w:color="auto"/>
              <w:right w:val="single" w:sz="4" w:space="0" w:color="auto"/>
            </w:tcBorders>
            <w:shd w:val="clear" w:color="auto" w:fill="C6EFCE"/>
            <w:noWrap/>
            <w:vAlign w:val="center"/>
          </w:tcPr>
          <w:p w14:paraId="360756ED"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2025</w:t>
            </w:r>
          </w:p>
        </w:tc>
        <w:tc>
          <w:tcPr>
            <w:tcW w:w="3507" w:type="dxa"/>
            <w:tcBorders>
              <w:top w:val="nil"/>
              <w:left w:val="nil"/>
              <w:bottom w:val="single" w:sz="4" w:space="0" w:color="auto"/>
              <w:right w:val="single" w:sz="4" w:space="0" w:color="auto"/>
            </w:tcBorders>
            <w:shd w:val="clear" w:color="auto" w:fill="C6EFCE"/>
            <w:noWrap/>
            <w:vAlign w:val="center"/>
          </w:tcPr>
          <w:p w14:paraId="529E9F3C"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450 people with disabilities (jobseekers or workers) have followed a training module of the sustainable integration pathway.</w:t>
            </w:r>
          </w:p>
        </w:tc>
      </w:tr>
      <w:tr w:rsidR="00300C11" w:rsidRPr="001961AA" w14:paraId="2B1663A8" w14:textId="77777777" w:rsidTr="00300C11">
        <w:trPr>
          <w:trHeight w:val="309"/>
          <w:jc w:val="center"/>
        </w:trPr>
        <w:tc>
          <w:tcPr>
            <w:tcW w:w="846" w:type="dxa"/>
            <w:tcBorders>
              <w:top w:val="nil"/>
              <w:left w:val="single" w:sz="4" w:space="0" w:color="auto"/>
              <w:bottom w:val="single" w:sz="4" w:space="0" w:color="auto"/>
              <w:right w:val="single" w:sz="4" w:space="0" w:color="auto"/>
            </w:tcBorders>
            <w:shd w:val="clear" w:color="auto" w:fill="C6EFCE"/>
            <w:noWrap/>
            <w:vAlign w:val="center"/>
          </w:tcPr>
          <w:p w14:paraId="49A75F80"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146</w:t>
            </w:r>
          </w:p>
        </w:tc>
        <w:tc>
          <w:tcPr>
            <w:tcW w:w="1452" w:type="dxa"/>
            <w:tcBorders>
              <w:top w:val="nil"/>
              <w:left w:val="nil"/>
              <w:bottom w:val="single" w:sz="4" w:space="0" w:color="auto"/>
              <w:right w:val="single" w:sz="4" w:space="0" w:color="auto"/>
            </w:tcBorders>
            <w:shd w:val="clear" w:color="auto" w:fill="C6EFCE"/>
            <w:noWrap/>
            <w:vAlign w:val="center"/>
          </w:tcPr>
          <w:p w14:paraId="35079036"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E-inclusion for Belgium (I-4.08)</w:t>
            </w:r>
          </w:p>
        </w:tc>
        <w:tc>
          <w:tcPr>
            <w:tcW w:w="1275" w:type="dxa"/>
            <w:tcBorders>
              <w:top w:val="nil"/>
              <w:left w:val="nil"/>
              <w:bottom w:val="single" w:sz="4" w:space="0" w:color="auto"/>
              <w:right w:val="single" w:sz="4" w:space="0" w:color="auto"/>
            </w:tcBorders>
            <w:shd w:val="clear" w:color="auto" w:fill="C6EFCE"/>
            <w:noWrap/>
            <w:vAlign w:val="center"/>
          </w:tcPr>
          <w:p w14:paraId="7E3431DE" w14:textId="5378F122" w:rsidR="006A41D9" w:rsidRPr="001961AA" w:rsidRDefault="006A41D9" w:rsidP="007C5576">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T</w:t>
            </w:r>
          </w:p>
        </w:tc>
        <w:tc>
          <w:tcPr>
            <w:tcW w:w="1702" w:type="dxa"/>
            <w:tcBorders>
              <w:top w:val="nil"/>
              <w:left w:val="nil"/>
              <w:bottom w:val="single" w:sz="4" w:space="0" w:color="auto"/>
              <w:right w:val="single" w:sz="4" w:space="0" w:color="auto"/>
            </w:tcBorders>
            <w:shd w:val="clear" w:color="auto" w:fill="C6EFCE"/>
            <w:noWrap/>
            <w:vAlign w:val="center"/>
          </w:tcPr>
          <w:p w14:paraId="336A1214" w14:textId="77777777" w:rsidR="006A41D9" w:rsidRPr="001961AA" w:rsidRDefault="006A41D9" w:rsidP="00BD6DD1">
            <w:pPr>
              <w:spacing w:after="0"/>
              <w:rPr>
                <w:rFonts w:ascii="Times New Roman" w:eastAsia="Times New Roman" w:hAnsi="Times New Roman" w:cs="Times New Roman"/>
                <w:strike/>
                <w:noProof/>
                <w:color w:val="006100"/>
                <w:lang w:val="en-GB"/>
              </w:rPr>
            </w:pPr>
            <w:r w:rsidRPr="001961AA">
              <w:rPr>
                <w:rFonts w:ascii="Times New Roman" w:hAnsi="Times New Roman"/>
                <w:noProof/>
                <w:color w:val="006100"/>
                <w:lang w:val="en-GB"/>
              </w:rPr>
              <w:t>Award of grants</w:t>
            </w:r>
          </w:p>
        </w:tc>
        <w:tc>
          <w:tcPr>
            <w:tcW w:w="1680" w:type="dxa"/>
            <w:tcBorders>
              <w:top w:val="nil"/>
              <w:left w:val="nil"/>
              <w:bottom w:val="single" w:sz="4" w:space="0" w:color="auto"/>
              <w:right w:val="single" w:sz="4" w:space="0" w:color="auto"/>
            </w:tcBorders>
            <w:shd w:val="clear" w:color="auto" w:fill="C6EFCE"/>
            <w:noWrap/>
            <w:vAlign w:val="center"/>
          </w:tcPr>
          <w:p w14:paraId="074449A2" w14:textId="77777777"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1440" w:type="dxa"/>
            <w:tcBorders>
              <w:top w:val="nil"/>
              <w:left w:val="nil"/>
              <w:bottom w:val="single" w:sz="4" w:space="0" w:color="auto"/>
              <w:right w:val="single" w:sz="4" w:space="0" w:color="auto"/>
            </w:tcBorders>
            <w:shd w:val="clear" w:color="auto" w:fill="C6EFCE"/>
            <w:noWrap/>
            <w:vAlign w:val="center"/>
          </w:tcPr>
          <w:p w14:paraId="61C98073"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Grants awarded</w:t>
            </w:r>
          </w:p>
        </w:tc>
        <w:tc>
          <w:tcPr>
            <w:tcW w:w="1080" w:type="dxa"/>
            <w:tcBorders>
              <w:top w:val="nil"/>
              <w:left w:val="nil"/>
              <w:bottom w:val="single" w:sz="4" w:space="0" w:color="auto"/>
              <w:right w:val="single" w:sz="4" w:space="0" w:color="auto"/>
            </w:tcBorders>
            <w:shd w:val="clear" w:color="auto" w:fill="C6EFCE"/>
            <w:noWrap/>
            <w:vAlign w:val="center"/>
          </w:tcPr>
          <w:p w14:paraId="0A51A940"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0</w:t>
            </w:r>
          </w:p>
        </w:tc>
        <w:tc>
          <w:tcPr>
            <w:tcW w:w="720" w:type="dxa"/>
            <w:tcBorders>
              <w:top w:val="nil"/>
              <w:left w:val="nil"/>
              <w:bottom w:val="single" w:sz="4" w:space="0" w:color="auto"/>
              <w:right w:val="single" w:sz="4" w:space="0" w:color="auto"/>
            </w:tcBorders>
            <w:shd w:val="clear" w:color="auto" w:fill="C6EFCE"/>
            <w:noWrap/>
            <w:vAlign w:val="center"/>
          </w:tcPr>
          <w:p w14:paraId="79D6BE2F"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15</w:t>
            </w:r>
          </w:p>
        </w:tc>
        <w:tc>
          <w:tcPr>
            <w:tcW w:w="1080" w:type="dxa"/>
            <w:tcBorders>
              <w:top w:val="nil"/>
              <w:left w:val="nil"/>
              <w:bottom w:val="single" w:sz="4" w:space="0" w:color="auto"/>
              <w:right w:val="single" w:sz="4" w:space="0" w:color="auto"/>
            </w:tcBorders>
            <w:shd w:val="clear" w:color="auto" w:fill="C6EFCE"/>
            <w:noWrap/>
            <w:vAlign w:val="center"/>
          </w:tcPr>
          <w:p w14:paraId="3E4B0B48"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Q2</w:t>
            </w:r>
          </w:p>
        </w:tc>
        <w:tc>
          <w:tcPr>
            <w:tcW w:w="720" w:type="dxa"/>
            <w:tcBorders>
              <w:top w:val="nil"/>
              <w:left w:val="nil"/>
              <w:bottom w:val="single" w:sz="4" w:space="0" w:color="auto"/>
              <w:right w:val="single" w:sz="4" w:space="0" w:color="auto"/>
            </w:tcBorders>
            <w:shd w:val="clear" w:color="auto" w:fill="C6EFCE"/>
            <w:noWrap/>
            <w:vAlign w:val="center"/>
          </w:tcPr>
          <w:p w14:paraId="5FFCACE2"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2024</w:t>
            </w:r>
          </w:p>
        </w:tc>
        <w:tc>
          <w:tcPr>
            <w:tcW w:w="3507" w:type="dxa"/>
            <w:tcBorders>
              <w:top w:val="nil"/>
              <w:left w:val="nil"/>
              <w:bottom w:val="single" w:sz="4" w:space="0" w:color="auto"/>
              <w:right w:val="single" w:sz="4" w:space="0" w:color="auto"/>
            </w:tcBorders>
            <w:shd w:val="clear" w:color="auto" w:fill="C6EFCE"/>
            <w:noWrap/>
            <w:vAlign w:val="center"/>
          </w:tcPr>
          <w:p w14:paraId="7B81513C" w14:textId="5C8D898F"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Award of 15 grants by the competent body and the PPS Social Integration to the projects matching the criteria of document “Project e-inclusion for Belgium - grants criteria.pdf”, published on 15 December 2021. Projects shall aim at (1) raising awareness for vulnerable target groups to get acquainted with relevant ICT in order to improve their personal situation and strengthen social integration, (2) improving the digital skills of vulnerable target groups in order to improve their personal situation and strengthen social integration, and (3) improving the digital skills of the caregivers of vulnerable target groups.</w:t>
            </w:r>
          </w:p>
        </w:tc>
      </w:tr>
      <w:tr w:rsidR="00300C11" w:rsidRPr="001961AA" w14:paraId="2772B9C1" w14:textId="77777777" w:rsidTr="00300C11">
        <w:trPr>
          <w:trHeight w:val="309"/>
          <w:jc w:val="center"/>
        </w:trPr>
        <w:tc>
          <w:tcPr>
            <w:tcW w:w="846" w:type="dxa"/>
            <w:tcBorders>
              <w:top w:val="nil"/>
              <w:left w:val="single" w:sz="4" w:space="0" w:color="auto"/>
              <w:bottom w:val="single" w:sz="4" w:space="0" w:color="auto"/>
              <w:right w:val="single" w:sz="4" w:space="0" w:color="auto"/>
            </w:tcBorders>
            <w:shd w:val="clear" w:color="auto" w:fill="C6EFCE"/>
            <w:noWrap/>
            <w:vAlign w:val="center"/>
          </w:tcPr>
          <w:p w14:paraId="14F9FD6C"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147</w:t>
            </w:r>
          </w:p>
        </w:tc>
        <w:tc>
          <w:tcPr>
            <w:tcW w:w="1452" w:type="dxa"/>
            <w:tcBorders>
              <w:top w:val="nil"/>
              <w:left w:val="nil"/>
              <w:bottom w:val="single" w:sz="4" w:space="0" w:color="auto"/>
              <w:right w:val="single" w:sz="4" w:space="0" w:color="auto"/>
            </w:tcBorders>
            <w:shd w:val="clear" w:color="auto" w:fill="C6EFCE"/>
            <w:noWrap/>
            <w:vAlign w:val="center"/>
          </w:tcPr>
          <w:p w14:paraId="557BE675"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Digital platforms for prisoners (I-4.09)</w:t>
            </w:r>
          </w:p>
        </w:tc>
        <w:tc>
          <w:tcPr>
            <w:tcW w:w="1275" w:type="dxa"/>
            <w:tcBorders>
              <w:top w:val="nil"/>
              <w:left w:val="nil"/>
              <w:bottom w:val="single" w:sz="4" w:space="0" w:color="auto"/>
              <w:right w:val="single" w:sz="4" w:space="0" w:color="auto"/>
            </w:tcBorders>
            <w:shd w:val="clear" w:color="auto" w:fill="C6EFCE"/>
            <w:noWrap/>
            <w:vAlign w:val="center"/>
          </w:tcPr>
          <w:p w14:paraId="0D4508A0" w14:textId="5D846FE9" w:rsidR="006A41D9" w:rsidRPr="001961AA" w:rsidRDefault="006A41D9" w:rsidP="007C5576">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T</w:t>
            </w:r>
          </w:p>
        </w:tc>
        <w:tc>
          <w:tcPr>
            <w:tcW w:w="1702" w:type="dxa"/>
            <w:tcBorders>
              <w:top w:val="nil"/>
              <w:left w:val="nil"/>
              <w:bottom w:val="single" w:sz="4" w:space="0" w:color="auto"/>
              <w:right w:val="single" w:sz="4" w:space="0" w:color="auto"/>
            </w:tcBorders>
            <w:shd w:val="clear" w:color="auto" w:fill="C6EFCE"/>
            <w:noWrap/>
            <w:vAlign w:val="center"/>
          </w:tcPr>
          <w:p w14:paraId="2C6887BE"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Completion of roll-out</w:t>
            </w:r>
          </w:p>
        </w:tc>
        <w:tc>
          <w:tcPr>
            <w:tcW w:w="1680" w:type="dxa"/>
            <w:tcBorders>
              <w:top w:val="nil"/>
              <w:left w:val="nil"/>
              <w:bottom w:val="single" w:sz="4" w:space="0" w:color="auto"/>
              <w:right w:val="single" w:sz="4" w:space="0" w:color="auto"/>
            </w:tcBorders>
            <w:shd w:val="clear" w:color="auto" w:fill="C6EFCE"/>
            <w:noWrap/>
            <w:vAlign w:val="center"/>
          </w:tcPr>
          <w:p w14:paraId="412C3E8B" w14:textId="77777777"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1440" w:type="dxa"/>
            <w:tcBorders>
              <w:top w:val="nil"/>
              <w:left w:val="nil"/>
              <w:bottom w:val="single" w:sz="4" w:space="0" w:color="auto"/>
              <w:right w:val="single" w:sz="4" w:space="0" w:color="auto"/>
            </w:tcBorders>
            <w:shd w:val="clear" w:color="auto" w:fill="C6EFCE"/>
            <w:noWrap/>
            <w:vAlign w:val="center"/>
          </w:tcPr>
          <w:p w14:paraId="59682F04"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Prisons</w:t>
            </w:r>
          </w:p>
        </w:tc>
        <w:tc>
          <w:tcPr>
            <w:tcW w:w="1080" w:type="dxa"/>
            <w:tcBorders>
              <w:top w:val="nil"/>
              <w:left w:val="nil"/>
              <w:bottom w:val="single" w:sz="4" w:space="0" w:color="auto"/>
              <w:right w:val="single" w:sz="4" w:space="0" w:color="auto"/>
            </w:tcBorders>
            <w:shd w:val="clear" w:color="auto" w:fill="C6EFCE"/>
            <w:noWrap/>
            <w:vAlign w:val="center"/>
          </w:tcPr>
          <w:p w14:paraId="0CE08219"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0</w:t>
            </w:r>
          </w:p>
        </w:tc>
        <w:tc>
          <w:tcPr>
            <w:tcW w:w="720" w:type="dxa"/>
            <w:tcBorders>
              <w:top w:val="nil"/>
              <w:left w:val="nil"/>
              <w:bottom w:val="single" w:sz="4" w:space="0" w:color="auto"/>
              <w:right w:val="single" w:sz="4" w:space="0" w:color="auto"/>
            </w:tcBorders>
            <w:shd w:val="clear" w:color="auto" w:fill="C6EFCE"/>
            <w:noWrap/>
            <w:vAlign w:val="center"/>
          </w:tcPr>
          <w:p w14:paraId="1BEBC42A"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32</w:t>
            </w:r>
          </w:p>
        </w:tc>
        <w:tc>
          <w:tcPr>
            <w:tcW w:w="1080" w:type="dxa"/>
            <w:tcBorders>
              <w:top w:val="nil"/>
              <w:left w:val="nil"/>
              <w:bottom w:val="single" w:sz="4" w:space="0" w:color="auto"/>
              <w:right w:val="single" w:sz="4" w:space="0" w:color="auto"/>
            </w:tcBorders>
            <w:shd w:val="clear" w:color="auto" w:fill="C6EFCE"/>
            <w:noWrap/>
            <w:vAlign w:val="center"/>
          </w:tcPr>
          <w:p w14:paraId="3ED132E2"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Q4</w:t>
            </w:r>
          </w:p>
        </w:tc>
        <w:tc>
          <w:tcPr>
            <w:tcW w:w="720" w:type="dxa"/>
            <w:tcBorders>
              <w:top w:val="nil"/>
              <w:left w:val="nil"/>
              <w:bottom w:val="single" w:sz="4" w:space="0" w:color="auto"/>
              <w:right w:val="single" w:sz="4" w:space="0" w:color="auto"/>
            </w:tcBorders>
            <w:shd w:val="clear" w:color="auto" w:fill="C6EFCE"/>
            <w:noWrap/>
            <w:vAlign w:val="center"/>
          </w:tcPr>
          <w:p w14:paraId="7A99E7B5"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2024</w:t>
            </w:r>
          </w:p>
        </w:tc>
        <w:tc>
          <w:tcPr>
            <w:tcW w:w="3507" w:type="dxa"/>
            <w:tcBorders>
              <w:top w:val="nil"/>
              <w:left w:val="nil"/>
              <w:bottom w:val="single" w:sz="4" w:space="0" w:color="auto"/>
              <w:right w:val="single" w:sz="4" w:space="0" w:color="auto"/>
            </w:tcBorders>
            <w:shd w:val="clear" w:color="auto" w:fill="C6EFCE"/>
            <w:noWrap/>
            <w:vAlign w:val="center"/>
          </w:tcPr>
          <w:p w14:paraId="7D5B0243"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Completion of roll out of a digital platform in 32 prisons, allowing prisoners to: (1) follow training from his/her cell or carry out the exercises requested in an online or face-to-face training course; (2) access prison services and rehabilitation services; (3) have restricted and secure access to internet to seek or apply for a job, access digital works or exchange information with relatives and support services.</w:t>
            </w:r>
          </w:p>
        </w:tc>
      </w:tr>
      <w:tr w:rsidR="00300C11" w:rsidRPr="001961AA" w14:paraId="6F34D5EB" w14:textId="77777777" w:rsidTr="00300C11">
        <w:trPr>
          <w:trHeight w:val="309"/>
          <w:jc w:val="center"/>
        </w:trPr>
        <w:tc>
          <w:tcPr>
            <w:tcW w:w="846" w:type="dxa"/>
            <w:tcBorders>
              <w:top w:val="nil"/>
              <w:left w:val="single" w:sz="4" w:space="0" w:color="auto"/>
              <w:bottom w:val="single" w:sz="4" w:space="0" w:color="auto"/>
              <w:right w:val="single" w:sz="4" w:space="0" w:color="auto"/>
            </w:tcBorders>
            <w:shd w:val="clear" w:color="auto" w:fill="C6EFCE"/>
            <w:noWrap/>
            <w:vAlign w:val="center"/>
          </w:tcPr>
          <w:p w14:paraId="774CECDD"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148</w:t>
            </w:r>
          </w:p>
        </w:tc>
        <w:tc>
          <w:tcPr>
            <w:tcW w:w="1452" w:type="dxa"/>
            <w:tcBorders>
              <w:top w:val="nil"/>
              <w:left w:val="nil"/>
              <w:bottom w:val="single" w:sz="4" w:space="0" w:color="auto"/>
              <w:right w:val="single" w:sz="4" w:space="0" w:color="auto"/>
            </w:tcBorders>
            <w:shd w:val="clear" w:color="auto" w:fill="C6EFCE"/>
            <w:noWrap/>
            <w:vAlign w:val="center"/>
          </w:tcPr>
          <w:p w14:paraId="5D27CCA0"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Gender and work (I-4.10)</w:t>
            </w:r>
          </w:p>
        </w:tc>
        <w:tc>
          <w:tcPr>
            <w:tcW w:w="1275" w:type="dxa"/>
            <w:tcBorders>
              <w:top w:val="nil"/>
              <w:left w:val="nil"/>
              <w:bottom w:val="single" w:sz="4" w:space="0" w:color="auto"/>
              <w:right w:val="single" w:sz="4" w:space="0" w:color="auto"/>
            </w:tcBorders>
            <w:shd w:val="clear" w:color="auto" w:fill="C6EFCE"/>
            <w:noWrap/>
            <w:vAlign w:val="center"/>
          </w:tcPr>
          <w:p w14:paraId="5AE1F728" w14:textId="3C0EB118" w:rsidR="006A41D9" w:rsidRPr="001961AA" w:rsidRDefault="006A41D9" w:rsidP="007C5576">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T</w:t>
            </w:r>
          </w:p>
        </w:tc>
        <w:tc>
          <w:tcPr>
            <w:tcW w:w="1702" w:type="dxa"/>
            <w:tcBorders>
              <w:top w:val="nil"/>
              <w:left w:val="nil"/>
              <w:bottom w:val="single" w:sz="4" w:space="0" w:color="auto"/>
              <w:right w:val="single" w:sz="4" w:space="0" w:color="auto"/>
            </w:tcBorders>
            <w:shd w:val="clear" w:color="auto" w:fill="C6EFCE"/>
            <w:noWrap/>
            <w:vAlign w:val="center"/>
          </w:tcPr>
          <w:p w14:paraId="29D39BFD"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Participation of women to field-projects</w:t>
            </w:r>
          </w:p>
        </w:tc>
        <w:tc>
          <w:tcPr>
            <w:tcW w:w="1680" w:type="dxa"/>
            <w:tcBorders>
              <w:top w:val="nil"/>
              <w:left w:val="nil"/>
              <w:bottom w:val="single" w:sz="4" w:space="0" w:color="auto"/>
              <w:right w:val="single" w:sz="4" w:space="0" w:color="auto"/>
            </w:tcBorders>
            <w:shd w:val="clear" w:color="auto" w:fill="C6EFCE"/>
            <w:noWrap/>
            <w:vAlign w:val="center"/>
          </w:tcPr>
          <w:p w14:paraId="36140650" w14:textId="77777777"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1440" w:type="dxa"/>
            <w:tcBorders>
              <w:top w:val="nil"/>
              <w:left w:val="nil"/>
              <w:bottom w:val="single" w:sz="4" w:space="0" w:color="auto"/>
              <w:right w:val="single" w:sz="4" w:space="0" w:color="auto"/>
            </w:tcBorders>
            <w:shd w:val="clear" w:color="auto" w:fill="C6EFCE"/>
            <w:noWrap/>
            <w:vAlign w:val="center"/>
          </w:tcPr>
          <w:p w14:paraId="3942F6E4"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Women</w:t>
            </w:r>
          </w:p>
        </w:tc>
        <w:tc>
          <w:tcPr>
            <w:tcW w:w="1080" w:type="dxa"/>
            <w:tcBorders>
              <w:top w:val="nil"/>
              <w:left w:val="nil"/>
              <w:bottom w:val="single" w:sz="4" w:space="0" w:color="auto"/>
              <w:right w:val="single" w:sz="4" w:space="0" w:color="auto"/>
            </w:tcBorders>
            <w:shd w:val="clear" w:color="auto" w:fill="C6EFCE"/>
            <w:noWrap/>
            <w:vAlign w:val="center"/>
          </w:tcPr>
          <w:p w14:paraId="59065BC6"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0</w:t>
            </w:r>
          </w:p>
        </w:tc>
        <w:tc>
          <w:tcPr>
            <w:tcW w:w="720" w:type="dxa"/>
            <w:tcBorders>
              <w:top w:val="nil"/>
              <w:left w:val="nil"/>
              <w:bottom w:val="single" w:sz="4" w:space="0" w:color="auto"/>
              <w:right w:val="single" w:sz="4" w:space="0" w:color="auto"/>
            </w:tcBorders>
            <w:shd w:val="clear" w:color="auto" w:fill="C6EFCE"/>
            <w:noWrap/>
            <w:vAlign w:val="center"/>
          </w:tcPr>
          <w:p w14:paraId="63FB97B0"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250</w:t>
            </w:r>
          </w:p>
        </w:tc>
        <w:tc>
          <w:tcPr>
            <w:tcW w:w="1080" w:type="dxa"/>
            <w:tcBorders>
              <w:top w:val="nil"/>
              <w:left w:val="nil"/>
              <w:bottom w:val="single" w:sz="4" w:space="0" w:color="auto"/>
              <w:right w:val="single" w:sz="4" w:space="0" w:color="auto"/>
            </w:tcBorders>
            <w:shd w:val="clear" w:color="auto" w:fill="C6EFCE"/>
            <w:noWrap/>
            <w:vAlign w:val="center"/>
          </w:tcPr>
          <w:p w14:paraId="45F73632"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Q4</w:t>
            </w:r>
          </w:p>
        </w:tc>
        <w:tc>
          <w:tcPr>
            <w:tcW w:w="720" w:type="dxa"/>
            <w:tcBorders>
              <w:top w:val="nil"/>
              <w:left w:val="nil"/>
              <w:bottom w:val="single" w:sz="4" w:space="0" w:color="auto"/>
              <w:right w:val="single" w:sz="4" w:space="0" w:color="auto"/>
            </w:tcBorders>
            <w:shd w:val="clear" w:color="auto" w:fill="C6EFCE"/>
            <w:noWrap/>
            <w:vAlign w:val="center"/>
          </w:tcPr>
          <w:p w14:paraId="37E6EE49"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2024</w:t>
            </w:r>
          </w:p>
        </w:tc>
        <w:tc>
          <w:tcPr>
            <w:tcW w:w="3507" w:type="dxa"/>
            <w:tcBorders>
              <w:top w:val="nil"/>
              <w:left w:val="nil"/>
              <w:bottom w:val="single" w:sz="4" w:space="0" w:color="auto"/>
              <w:right w:val="single" w:sz="4" w:space="0" w:color="auto"/>
            </w:tcBorders>
            <w:shd w:val="clear" w:color="auto" w:fill="C6EFCE"/>
            <w:noWrap/>
            <w:vAlign w:val="center"/>
          </w:tcPr>
          <w:p w14:paraId="3150435B"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250 women participating in on-field projects matching the criteria set out in the call for proposals document, published in September 2022.</w:t>
            </w:r>
          </w:p>
        </w:tc>
      </w:tr>
      <w:tr w:rsidR="00300C11" w:rsidRPr="001961AA" w14:paraId="5D51BAC5" w14:textId="77777777" w:rsidTr="00300C11">
        <w:trPr>
          <w:trHeight w:val="309"/>
          <w:jc w:val="center"/>
        </w:trPr>
        <w:tc>
          <w:tcPr>
            <w:tcW w:w="846" w:type="dxa"/>
            <w:tcBorders>
              <w:top w:val="nil"/>
              <w:left w:val="single" w:sz="4" w:space="0" w:color="auto"/>
              <w:bottom w:val="single" w:sz="4" w:space="0" w:color="auto"/>
              <w:right w:val="single" w:sz="4" w:space="0" w:color="auto"/>
            </w:tcBorders>
            <w:shd w:val="clear" w:color="auto" w:fill="C6EFCE"/>
            <w:noWrap/>
            <w:vAlign w:val="center"/>
          </w:tcPr>
          <w:p w14:paraId="58FF8CBC"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149</w:t>
            </w:r>
          </w:p>
        </w:tc>
        <w:tc>
          <w:tcPr>
            <w:tcW w:w="1452" w:type="dxa"/>
            <w:tcBorders>
              <w:top w:val="nil"/>
              <w:left w:val="nil"/>
              <w:bottom w:val="single" w:sz="4" w:space="0" w:color="auto"/>
              <w:right w:val="single" w:sz="4" w:space="0" w:color="auto"/>
            </w:tcBorders>
            <w:shd w:val="clear" w:color="auto" w:fill="C6EFCE"/>
            <w:noWrap/>
            <w:vAlign w:val="center"/>
          </w:tcPr>
          <w:p w14:paraId="5EC6E595"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Digibanks (I-4.11)</w:t>
            </w:r>
          </w:p>
        </w:tc>
        <w:tc>
          <w:tcPr>
            <w:tcW w:w="1275" w:type="dxa"/>
            <w:tcBorders>
              <w:top w:val="nil"/>
              <w:left w:val="nil"/>
              <w:bottom w:val="single" w:sz="4" w:space="0" w:color="auto"/>
              <w:right w:val="single" w:sz="4" w:space="0" w:color="auto"/>
            </w:tcBorders>
            <w:shd w:val="clear" w:color="auto" w:fill="C6EFCE"/>
            <w:noWrap/>
            <w:vAlign w:val="center"/>
          </w:tcPr>
          <w:p w14:paraId="0F626471" w14:textId="2F10B1EA" w:rsidR="006A41D9" w:rsidRPr="001961AA" w:rsidRDefault="006A41D9" w:rsidP="007C5576">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T</w:t>
            </w:r>
          </w:p>
        </w:tc>
        <w:tc>
          <w:tcPr>
            <w:tcW w:w="1702" w:type="dxa"/>
            <w:tcBorders>
              <w:top w:val="nil"/>
              <w:left w:val="nil"/>
              <w:bottom w:val="single" w:sz="4" w:space="0" w:color="auto"/>
              <w:right w:val="single" w:sz="4" w:space="0" w:color="auto"/>
            </w:tcBorders>
            <w:shd w:val="clear" w:color="auto" w:fill="C6EFCE"/>
            <w:noWrap/>
            <w:vAlign w:val="center"/>
          </w:tcPr>
          <w:p w14:paraId="4CB3F853"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Signature of partnerships to promote digital inclusion</w:t>
            </w:r>
          </w:p>
        </w:tc>
        <w:tc>
          <w:tcPr>
            <w:tcW w:w="1680" w:type="dxa"/>
            <w:tcBorders>
              <w:top w:val="nil"/>
              <w:left w:val="nil"/>
              <w:bottom w:val="single" w:sz="4" w:space="0" w:color="auto"/>
              <w:right w:val="single" w:sz="4" w:space="0" w:color="auto"/>
            </w:tcBorders>
            <w:shd w:val="clear" w:color="auto" w:fill="C6EFCE"/>
            <w:noWrap/>
            <w:vAlign w:val="center"/>
          </w:tcPr>
          <w:p w14:paraId="2F4A679D" w14:textId="77777777"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1440" w:type="dxa"/>
            <w:tcBorders>
              <w:top w:val="nil"/>
              <w:left w:val="nil"/>
              <w:bottom w:val="single" w:sz="4" w:space="0" w:color="auto"/>
              <w:right w:val="single" w:sz="4" w:space="0" w:color="auto"/>
            </w:tcBorders>
            <w:shd w:val="clear" w:color="auto" w:fill="C6EFCE"/>
            <w:noWrap/>
            <w:vAlign w:val="center"/>
          </w:tcPr>
          <w:p w14:paraId="5475B53F" w14:textId="77777777" w:rsidR="006A41D9" w:rsidRPr="001961AA" w:rsidRDefault="006A41D9" w:rsidP="00BD6DD1">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Municipalities</w:t>
            </w:r>
          </w:p>
        </w:tc>
        <w:tc>
          <w:tcPr>
            <w:tcW w:w="1080" w:type="dxa"/>
            <w:tcBorders>
              <w:top w:val="nil"/>
              <w:left w:val="nil"/>
              <w:bottom w:val="single" w:sz="4" w:space="0" w:color="auto"/>
              <w:right w:val="single" w:sz="4" w:space="0" w:color="auto"/>
            </w:tcBorders>
            <w:shd w:val="clear" w:color="auto" w:fill="C6EFCE"/>
            <w:noWrap/>
            <w:vAlign w:val="center"/>
          </w:tcPr>
          <w:p w14:paraId="42B7091A"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0</w:t>
            </w:r>
          </w:p>
        </w:tc>
        <w:tc>
          <w:tcPr>
            <w:tcW w:w="720" w:type="dxa"/>
            <w:tcBorders>
              <w:top w:val="nil"/>
              <w:left w:val="nil"/>
              <w:bottom w:val="single" w:sz="4" w:space="0" w:color="auto"/>
              <w:right w:val="single" w:sz="4" w:space="0" w:color="auto"/>
            </w:tcBorders>
            <w:shd w:val="clear" w:color="auto" w:fill="C6EFCE"/>
            <w:noWrap/>
            <w:vAlign w:val="center"/>
          </w:tcPr>
          <w:p w14:paraId="02E514C6"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100</w:t>
            </w:r>
          </w:p>
        </w:tc>
        <w:tc>
          <w:tcPr>
            <w:tcW w:w="1080" w:type="dxa"/>
            <w:tcBorders>
              <w:top w:val="nil"/>
              <w:left w:val="nil"/>
              <w:bottom w:val="single" w:sz="4" w:space="0" w:color="auto"/>
              <w:right w:val="single" w:sz="4" w:space="0" w:color="auto"/>
            </w:tcBorders>
            <w:shd w:val="clear" w:color="auto" w:fill="C6EFCE"/>
            <w:noWrap/>
            <w:vAlign w:val="center"/>
          </w:tcPr>
          <w:p w14:paraId="295A99BE"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Q4</w:t>
            </w:r>
          </w:p>
        </w:tc>
        <w:tc>
          <w:tcPr>
            <w:tcW w:w="720" w:type="dxa"/>
            <w:tcBorders>
              <w:top w:val="nil"/>
              <w:left w:val="nil"/>
              <w:bottom w:val="single" w:sz="4" w:space="0" w:color="auto"/>
              <w:right w:val="single" w:sz="4" w:space="0" w:color="auto"/>
            </w:tcBorders>
            <w:shd w:val="clear" w:color="auto" w:fill="C6EFCE"/>
            <w:noWrap/>
            <w:vAlign w:val="center"/>
          </w:tcPr>
          <w:p w14:paraId="13C8CF24"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2022</w:t>
            </w:r>
          </w:p>
        </w:tc>
        <w:tc>
          <w:tcPr>
            <w:tcW w:w="3507" w:type="dxa"/>
            <w:tcBorders>
              <w:top w:val="nil"/>
              <w:left w:val="nil"/>
              <w:bottom w:val="single" w:sz="4" w:space="0" w:color="auto"/>
              <w:right w:val="single" w:sz="4" w:space="0" w:color="auto"/>
            </w:tcBorders>
            <w:shd w:val="clear" w:color="auto" w:fill="C6EFCE"/>
            <w:noWrap/>
            <w:vAlign w:val="center"/>
          </w:tcPr>
          <w:p w14:paraId="19BF5CA4" w14:textId="5FE831D2"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Signature of a Digibank partnership by 100 municipalities in Flanders with the Department of Work and Social Economy of Flanders aiming at (1) ensuring equal access to digital technology; (2) strengthening digital skills through training and knowledge sharing; (3) procuring digital access to essential services.</w:t>
            </w:r>
          </w:p>
        </w:tc>
      </w:tr>
    </w:tbl>
    <w:p w14:paraId="23770470" w14:textId="77777777" w:rsidR="006A41D9" w:rsidRPr="001961AA" w:rsidRDefault="006A41D9" w:rsidP="00BD6DD1">
      <w:pPr>
        <w:pStyle w:val="Text1"/>
        <w:ind w:left="709"/>
        <w:rPr>
          <w:noProof/>
          <w:szCs w:val="24"/>
          <w:lang w:val="en-GB"/>
        </w:rPr>
      </w:pPr>
    </w:p>
    <w:p w14:paraId="27F2139B" w14:textId="77777777" w:rsidR="006A41D9" w:rsidRPr="001961AA" w:rsidRDefault="006A41D9" w:rsidP="00BD6DD1">
      <w:pPr>
        <w:ind w:left="709"/>
        <w:rPr>
          <w:rFonts w:ascii="Times New Roman" w:hAnsi="Times New Roman" w:cs="Times New Roman"/>
          <w:noProof/>
          <w:lang w:val="en-GB"/>
        </w:rPr>
        <w:sectPr w:rsidR="006A41D9" w:rsidRPr="001961AA" w:rsidSect="007F56C3">
          <w:headerReference w:type="even" r:id="rId168"/>
          <w:headerReference w:type="default" r:id="rId169"/>
          <w:footerReference w:type="even" r:id="rId170"/>
          <w:footerReference w:type="default" r:id="rId171"/>
          <w:headerReference w:type="first" r:id="rId172"/>
          <w:footerReference w:type="first" r:id="rId173"/>
          <w:pgSz w:w="16839" w:h="11907" w:orient="landscape"/>
          <w:pgMar w:top="1134" w:right="1134" w:bottom="1134" w:left="1134" w:header="567" w:footer="567" w:gutter="0"/>
          <w:cols w:space="720"/>
          <w:docGrid w:linePitch="360"/>
        </w:sectPr>
      </w:pPr>
    </w:p>
    <w:p w14:paraId="0CE6EFC3" w14:textId="296101DC" w:rsidR="006A41D9" w:rsidRPr="001961AA" w:rsidRDefault="006A41D9" w:rsidP="00143925">
      <w:pPr>
        <w:pStyle w:val="ManualHeading1"/>
        <w:spacing w:before="120"/>
        <w:ind w:left="0" w:firstLine="0"/>
        <w:rPr>
          <w:noProof/>
          <w:szCs w:val="24"/>
          <w:lang w:val="en-GB"/>
        </w:rPr>
      </w:pPr>
      <w:r w:rsidRPr="001961AA">
        <w:rPr>
          <w:noProof/>
          <w:lang w:val="en-GB"/>
        </w:rPr>
        <w:t>L. COMPONENT 4.3: Social infrastructure</w:t>
      </w:r>
    </w:p>
    <w:p w14:paraId="1288C623" w14:textId="77777777" w:rsidR="006A41D9" w:rsidRPr="001961AA" w:rsidRDefault="006A41D9" w:rsidP="00BD6DD1">
      <w:pPr>
        <w:spacing w:before="120" w:after="120" w:line="240" w:lineRule="auto"/>
        <w:jc w:val="both"/>
        <w:rPr>
          <w:rFonts w:ascii="Times New Roman" w:hAnsi="Times New Roman" w:cs="Times New Roman"/>
          <w:noProof/>
          <w:sz w:val="24"/>
          <w:szCs w:val="24"/>
          <w:lang w:val="en-GB"/>
        </w:rPr>
      </w:pPr>
      <w:r w:rsidRPr="001961AA">
        <w:rPr>
          <w:rFonts w:ascii="Times New Roman" w:hAnsi="Times New Roman"/>
          <w:noProof/>
          <w:sz w:val="24"/>
          <w:lang w:val="en-GB"/>
        </w:rPr>
        <w:t>The measures under this component of the Belgian recovery and resilience plan pursue two objectives:</w:t>
      </w:r>
    </w:p>
    <w:p w14:paraId="2425EC55" w14:textId="77777777" w:rsidR="006A41D9" w:rsidRPr="001961AA" w:rsidRDefault="006A41D9" w:rsidP="00DF5893">
      <w:pPr>
        <w:pStyle w:val="ListParagraph"/>
        <w:numPr>
          <w:ilvl w:val="0"/>
          <w:numId w:val="23"/>
        </w:numPr>
        <w:tabs>
          <w:tab w:val="left" w:pos="426"/>
        </w:tabs>
        <w:spacing w:before="120" w:after="120" w:line="240" w:lineRule="auto"/>
        <w:ind w:left="0" w:firstLine="0"/>
        <w:jc w:val="both"/>
        <w:rPr>
          <w:rFonts w:ascii="Times New Roman" w:hAnsi="Times New Roman" w:cs="Times New Roman"/>
          <w:noProof/>
          <w:sz w:val="24"/>
          <w:szCs w:val="24"/>
          <w:lang w:val="en-GB"/>
        </w:rPr>
      </w:pPr>
      <w:r w:rsidRPr="001961AA">
        <w:rPr>
          <w:rFonts w:ascii="Times New Roman" w:hAnsi="Times New Roman"/>
          <w:noProof/>
          <w:sz w:val="24"/>
          <w:lang w:val="en-GB"/>
        </w:rPr>
        <w:t>increasing the supply of social housing to provide vulnerable groups (homeless, persons with disabilities or loss of autonomy) decent housing conditions, as part of a deinstitutionalisation strategy;</w:t>
      </w:r>
    </w:p>
    <w:p w14:paraId="5DE83485" w14:textId="77777777" w:rsidR="006A41D9" w:rsidRPr="001961AA" w:rsidRDefault="006A41D9" w:rsidP="00DF5893">
      <w:pPr>
        <w:pStyle w:val="ListParagraph"/>
        <w:numPr>
          <w:ilvl w:val="0"/>
          <w:numId w:val="23"/>
        </w:numPr>
        <w:tabs>
          <w:tab w:val="left" w:pos="426"/>
        </w:tabs>
        <w:spacing w:before="120" w:after="120" w:line="240" w:lineRule="auto"/>
        <w:ind w:left="0" w:firstLine="0"/>
        <w:jc w:val="both"/>
        <w:rPr>
          <w:rFonts w:ascii="Times New Roman" w:hAnsi="Times New Roman" w:cs="Times New Roman"/>
          <w:noProof/>
          <w:sz w:val="24"/>
          <w:szCs w:val="24"/>
          <w:lang w:val="en-GB"/>
        </w:rPr>
      </w:pPr>
      <w:r w:rsidRPr="001961AA">
        <w:rPr>
          <w:rFonts w:ascii="Times New Roman" w:hAnsi="Times New Roman"/>
          <w:noProof/>
          <w:sz w:val="24"/>
          <w:lang w:val="en-GB"/>
        </w:rPr>
        <w:t>improving the coverage in early childcare, in particular for vulnerable households in Wallonia, including women and single parents with low-income.</w:t>
      </w:r>
    </w:p>
    <w:p w14:paraId="3033C2A3" w14:textId="77777777" w:rsidR="006A41D9" w:rsidRPr="001961AA" w:rsidRDefault="006A41D9" w:rsidP="00BD6DD1">
      <w:pPr>
        <w:spacing w:before="120" w:after="120" w:line="240" w:lineRule="auto"/>
        <w:jc w:val="both"/>
        <w:rPr>
          <w:rFonts w:ascii="Times New Roman" w:hAnsi="Times New Roman" w:cs="Times New Roman"/>
          <w:noProof/>
          <w:sz w:val="24"/>
          <w:szCs w:val="24"/>
          <w:lang w:val="en-GB"/>
        </w:rPr>
      </w:pPr>
      <w:r w:rsidRPr="001961AA">
        <w:rPr>
          <w:rFonts w:ascii="Times New Roman" w:hAnsi="Times New Roman"/>
          <w:noProof/>
          <w:sz w:val="24"/>
          <w:lang w:val="en-GB"/>
        </w:rPr>
        <w:t>As such, this component aims at providing vulnerable groups with infrastructure to facilitate their integration in the labour market and more broadly in society.</w:t>
      </w:r>
    </w:p>
    <w:p w14:paraId="4CBEA568" w14:textId="77777777" w:rsidR="006A41D9" w:rsidRPr="001961AA" w:rsidRDefault="006A41D9" w:rsidP="00BD6DD1">
      <w:pPr>
        <w:spacing w:before="120" w:after="120" w:line="240" w:lineRule="auto"/>
        <w:jc w:val="both"/>
        <w:rPr>
          <w:rFonts w:ascii="Times New Roman" w:hAnsi="Times New Roman" w:cs="Times New Roman"/>
          <w:noProof/>
          <w:sz w:val="24"/>
          <w:szCs w:val="24"/>
          <w:lang w:val="en-GB"/>
        </w:rPr>
      </w:pPr>
      <w:r w:rsidRPr="001961AA">
        <w:rPr>
          <w:rFonts w:ascii="Times New Roman" w:hAnsi="Times New Roman"/>
          <w:noProof/>
          <w:sz w:val="24"/>
          <w:lang w:val="en-GB"/>
        </w:rPr>
        <w:t>The component contributes to addressing Country Specific Recommendation 2019.2 on disincentives to work and strengthening the labour market integration of vulnerable groups and to Country Specific Recommendation 2020.2 on mitigating the employment and social impact of the crisis.</w:t>
      </w:r>
    </w:p>
    <w:p w14:paraId="48DC577B" w14:textId="77777777" w:rsidR="006A41D9" w:rsidRPr="001961AA" w:rsidRDefault="006A41D9" w:rsidP="00BD6DD1">
      <w:pPr>
        <w:pStyle w:val="Text1"/>
        <w:ind w:left="0"/>
        <w:rPr>
          <w:b/>
          <w:i/>
          <w:noProof/>
          <w:szCs w:val="24"/>
          <w:lang w:val="en-GB"/>
        </w:rPr>
      </w:pPr>
      <w:r w:rsidRPr="001961AA">
        <w:rPr>
          <w:b/>
          <w:noProof/>
          <w:u w:val="single"/>
          <w:lang w:val="en-GB"/>
        </w:rPr>
        <w:t xml:space="preserve">L.1. </w:t>
      </w:r>
      <w:r w:rsidRPr="001961AA">
        <w:rPr>
          <w:noProof/>
          <w:lang w:val="en-GB"/>
        </w:rPr>
        <w:tab/>
      </w:r>
      <w:r w:rsidRPr="001961AA">
        <w:rPr>
          <w:b/>
          <w:noProof/>
          <w:u w:val="single"/>
          <w:lang w:val="en-GB"/>
        </w:rPr>
        <w:t>Description of the reforms and investments for non-repayable financial support</w:t>
      </w:r>
    </w:p>
    <w:p w14:paraId="4814D536" w14:textId="77777777" w:rsidR="006A41D9" w:rsidRPr="001961AA" w:rsidRDefault="006A41D9" w:rsidP="00BD6DD1">
      <w:pPr>
        <w:pStyle w:val="Text1"/>
        <w:ind w:left="0"/>
        <w:rPr>
          <w:noProof/>
          <w:szCs w:val="24"/>
          <w:u w:val="single"/>
          <w:lang w:val="en-GB"/>
        </w:rPr>
      </w:pPr>
      <w:r w:rsidRPr="001961AA">
        <w:rPr>
          <w:noProof/>
          <w:u w:val="single"/>
          <w:lang w:val="en-GB"/>
        </w:rPr>
        <w:t xml:space="preserve">Investment I-4.12: ‘Development of public utility housing and housing for vulnerable persons’ of the Walloon Region </w:t>
      </w:r>
    </w:p>
    <w:p w14:paraId="6244560D" w14:textId="6AF415E5" w:rsidR="006A41D9" w:rsidRPr="001961AA" w:rsidRDefault="006A41D9" w:rsidP="00BD6DD1">
      <w:pPr>
        <w:pStyle w:val="Text1"/>
        <w:ind w:left="0"/>
        <w:rPr>
          <w:noProof/>
          <w:lang w:val="en-GB"/>
        </w:rPr>
      </w:pPr>
      <w:r w:rsidRPr="001961AA">
        <w:rPr>
          <w:noProof/>
          <w:lang w:val="en-GB"/>
        </w:rPr>
        <w:t>The investment includes the construction and energy-efficient renovation of (i) low-rent housing, of (ii) inclusive and solidarity-based housing, as well as of (iii) accommodation places for poorly-housed groups. Moreover, the investment consists of (iv) equipping homes of vulnerable people, that is people aged over 65 and/or people with disability, with remote assistance boxes, in order to delay or avoid institutionalisation of these people with reduced autonomy or to reduce the length of their hospitalisation. Prior to this investment, the Walloon government shall adopt a deinstitutionalisation strategy for long-term care. The implementation of the investment shall be completed by 30 June 2026.</w:t>
      </w:r>
    </w:p>
    <w:p w14:paraId="72A61DF7" w14:textId="77777777" w:rsidR="006A41D9" w:rsidRPr="001961AA" w:rsidRDefault="006A41D9" w:rsidP="00BD6DD1">
      <w:pPr>
        <w:pStyle w:val="Text1"/>
        <w:ind w:left="0"/>
        <w:rPr>
          <w:noProof/>
          <w:szCs w:val="24"/>
          <w:u w:val="single"/>
          <w:lang w:val="en-GB"/>
        </w:rPr>
      </w:pPr>
      <w:r w:rsidRPr="001961AA">
        <w:rPr>
          <w:noProof/>
          <w:u w:val="single"/>
          <w:lang w:val="en-GB"/>
        </w:rPr>
        <w:t>Investment I-4.13: ‘Creation and renovation of early childcare infrastructure’ of the Walloon Region</w:t>
      </w:r>
    </w:p>
    <w:p w14:paraId="125BB255" w14:textId="7D0F6F9B" w:rsidR="008A4840" w:rsidRPr="001961AA" w:rsidRDefault="2DF8951B" w:rsidP="00BD6DD1">
      <w:pPr>
        <w:spacing w:before="120" w:after="120" w:line="240" w:lineRule="auto"/>
        <w:jc w:val="both"/>
        <w:rPr>
          <w:rFonts w:ascii="Times New Roman" w:hAnsi="Times New Roman" w:cs="Times New Roman"/>
          <w:noProof/>
          <w:sz w:val="24"/>
          <w:szCs w:val="24"/>
          <w:lang w:val="en-GB"/>
        </w:rPr>
        <w:sectPr w:rsidR="008A4840" w:rsidRPr="001961AA" w:rsidSect="007F56C3">
          <w:headerReference w:type="even" r:id="rId174"/>
          <w:headerReference w:type="default" r:id="rId175"/>
          <w:footerReference w:type="even" r:id="rId176"/>
          <w:footerReference w:type="default" r:id="rId177"/>
          <w:headerReference w:type="first" r:id="rId178"/>
          <w:footerReference w:type="first" r:id="rId179"/>
          <w:pgSz w:w="16839" w:h="11907" w:orient="landscape"/>
          <w:pgMar w:top="1134" w:right="1134" w:bottom="1134" w:left="1134" w:header="567" w:footer="567" w:gutter="0"/>
          <w:cols w:space="720"/>
          <w:docGrid w:linePitch="360"/>
        </w:sectPr>
      </w:pPr>
      <w:r w:rsidRPr="001961AA">
        <w:rPr>
          <w:rFonts w:ascii="Times New Roman" w:hAnsi="Times New Roman"/>
          <w:noProof/>
          <w:sz w:val="24"/>
          <w:lang w:val="en-GB"/>
        </w:rPr>
        <w:t xml:space="preserve">The investment aims at improving the coverage in early childcare. The investment includes the construction and energy-efficient renovation of childcare places. New places shall be created in those municipalities, which combine a low childcare coverage with a low female employment rate, a high share of single parents and a low per capita </w:t>
      </w:r>
      <w:r w:rsidRPr="001961AA">
        <w:rPr>
          <w:rFonts w:ascii="Times New Roman" w:hAnsi="Times New Roman"/>
          <w:noProof/>
          <w:lang w:val="en-GB"/>
        </w:rPr>
        <w:t xml:space="preserve">income. </w:t>
      </w:r>
      <w:r w:rsidRPr="001961AA">
        <w:rPr>
          <w:rFonts w:ascii="Times New Roman" w:hAnsi="Times New Roman"/>
          <w:noProof/>
          <w:sz w:val="24"/>
          <w:lang w:val="en-GB"/>
        </w:rPr>
        <w:t>The implementation of the investment shall be completed by 30 June 2026</w:t>
      </w:r>
    </w:p>
    <w:p w14:paraId="32AC49B2" w14:textId="62D5267E" w:rsidR="006A41D9" w:rsidRPr="001961AA" w:rsidRDefault="008A4840" w:rsidP="00BD6DD1">
      <w:pPr>
        <w:pStyle w:val="Text1"/>
        <w:ind w:left="0"/>
        <w:rPr>
          <w:b/>
          <w:bCs/>
          <w:noProof/>
          <w:szCs w:val="24"/>
          <w:u w:val="single"/>
          <w:lang w:val="en-GB"/>
        </w:rPr>
      </w:pPr>
      <w:r w:rsidRPr="001961AA">
        <w:rPr>
          <w:b/>
          <w:noProof/>
          <w:u w:val="single"/>
          <w:lang w:val="en-GB"/>
        </w:rPr>
        <w:t xml:space="preserve">L.2. </w:t>
      </w:r>
      <w:r w:rsidRPr="001961AA">
        <w:rPr>
          <w:noProof/>
          <w:lang w:val="en-GB"/>
        </w:rPr>
        <w:tab/>
      </w:r>
      <w:r w:rsidRPr="001961AA">
        <w:rPr>
          <w:b/>
          <w:noProof/>
          <w:u w:val="single"/>
          <w:lang w:val="en-GB"/>
        </w:rPr>
        <w:t>Milestones, targets, indicators, and timetable for monitoring and implementation for non-repayable financial support</w:t>
      </w:r>
    </w:p>
    <w:tbl>
      <w:tblPr>
        <w:tblW w:w="15502" w:type="dxa"/>
        <w:jc w:val="center"/>
        <w:tblLayout w:type="fixed"/>
        <w:tblLook w:val="04A0" w:firstRow="1" w:lastRow="0" w:firstColumn="1" w:lastColumn="0" w:noHBand="0" w:noVBand="1"/>
      </w:tblPr>
      <w:tblGrid>
        <w:gridCol w:w="595"/>
        <w:gridCol w:w="1560"/>
        <w:gridCol w:w="1200"/>
        <w:gridCol w:w="2040"/>
        <w:gridCol w:w="1440"/>
        <w:gridCol w:w="1320"/>
        <w:gridCol w:w="1080"/>
        <w:gridCol w:w="720"/>
        <w:gridCol w:w="1080"/>
        <w:gridCol w:w="720"/>
        <w:gridCol w:w="3747"/>
      </w:tblGrid>
      <w:tr w:rsidR="00324CC6" w:rsidRPr="001961AA" w14:paraId="33CC17AE" w14:textId="77777777" w:rsidTr="00300C11">
        <w:trPr>
          <w:trHeight w:val="927"/>
          <w:tblHeader/>
          <w:jc w:val="center"/>
        </w:trPr>
        <w:tc>
          <w:tcPr>
            <w:tcW w:w="59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00E4FAF" w14:textId="4A2891E8" w:rsidR="006A41D9" w:rsidRPr="001961AA" w:rsidRDefault="006A41D9" w:rsidP="00BD6DD1">
            <w:pPr>
              <w:spacing w:after="0"/>
              <w:jc w:val="center"/>
              <w:rPr>
                <w:rFonts w:ascii="Times New Roman" w:eastAsia="Times New Roman" w:hAnsi="Times New Roman" w:cs="Times New Roman"/>
                <w:b/>
                <w:bCs/>
                <w:noProof/>
                <w:lang w:val="en-GB"/>
              </w:rPr>
            </w:pPr>
            <w:r w:rsidRPr="001961AA">
              <w:rPr>
                <w:rFonts w:ascii="Times New Roman" w:hAnsi="Times New Roman"/>
                <w:b/>
                <w:noProof/>
                <w:lang w:val="en-GB"/>
              </w:rPr>
              <w:t>Seq Nb.</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013B149" w14:textId="77777777" w:rsidR="006A41D9" w:rsidRPr="001961AA" w:rsidRDefault="006A41D9" w:rsidP="00BD6DD1">
            <w:pPr>
              <w:spacing w:after="0"/>
              <w:jc w:val="center"/>
              <w:rPr>
                <w:rFonts w:ascii="Times New Roman" w:eastAsia="Times New Roman" w:hAnsi="Times New Roman" w:cs="Times New Roman"/>
                <w:b/>
                <w:bCs/>
                <w:noProof/>
                <w:lang w:val="en-GB"/>
              </w:rPr>
            </w:pPr>
            <w:r w:rsidRPr="001961AA">
              <w:rPr>
                <w:rFonts w:ascii="Times New Roman" w:hAnsi="Times New Roman"/>
                <w:b/>
                <w:noProof/>
                <w:lang w:val="en-GB"/>
              </w:rPr>
              <w:t>Related Measure (Reform or Investment)</w:t>
            </w:r>
          </w:p>
        </w:tc>
        <w:tc>
          <w:tcPr>
            <w:tcW w:w="120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5E8506A6" w14:textId="77777777" w:rsidR="006A41D9" w:rsidRPr="001961AA" w:rsidRDefault="006A41D9" w:rsidP="00BD6DD1">
            <w:pPr>
              <w:spacing w:after="0"/>
              <w:jc w:val="center"/>
              <w:rPr>
                <w:rFonts w:ascii="Times New Roman" w:eastAsia="Times New Roman" w:hAnsi="Times New Roman" w:cs="Times New Roman"/>
                <w:b/>
                <w:bCs/>
                <w:noProof/>
                <w:lang w:val="en-GB"/>
              </w:rPr>
            </w:pPr>
            <w:r w:rsidRPr="001961AA">
              <w:rPr>
                <w:rFonts w:ascii="Times New Roman" w:hAnsi="Times New Roman"/>
                <w:b/>
                <w:noProof/>
                <w:lang w:val="en-GB"/>
              </w:rPr>
              <w:t>Milestone / Target</w:t>
            </w:r>
          </w:p>
        </w:tc>
        <w:tc>
          <w:tcPr>
            <w:tcW w:w="2040" w:type="dxa"/>
            <w:vMerge w:val="restart"/>
            <w:tcBorders>
              <w:top w:val="single" w:sz="4" w:space="0" w:color="auto"/>
              <w:left w:val="nil"/>
              <w:bottom w:val="single" w:sz="4" w:space="0" w:color="auto"/>
              <w:right w:val="single" w:sz="4" w:space="0" w:color="auto"/>
            </w:tcBorders>
            <w:shd w:val="clear" w:color="auto" w:fill="BDD7EE"/>
            <w:vAlign w:val="center"/>
            <w:hideMark/>
          </w:tcPr>
          <w:p w14:paraId="305CF2EF" w14:textId="77777777" w:rsidR="006A41D9" w:rsidRPr="001961AA" w:rsidRDefault="006A41D9" w:rsidP="00BD6DD1">
            <w:pPr>
              <w:spacing w:after="0"/>
              <w:jc w:val="center"/>
              <w:rPr>
                <w:rFonts w:ascii="Times New Roman" w:eastAsia="Times New Roman" w:hAnsi="Times New Roman" w:cs="Times New Roman"/>
                <w:b/>
                <w:bCs/>
                <w:noProof/>
                <w:lang w:val="en-GB"/>
              </w:rPr>
            </w:pPr>
            <w:r w:rsidRPr="001961AA">
              <w:rPr>
                <w:rFonts w:ascii="Times New Roman" w:hAnsi="Times New Roman"/>
                <w:b/>
                <w:noProof/>
                <w:lang w:val="en-GB"/>
              </w:rPr>
              <w:t>Name</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78E0927D" w14:textId="77777777" w:rsidR="006A41D9" w:rsidRPr="001961AA" w:rsidRDefault="006A41D9" w:rsidP="00BD6DD1">
            <w:pPr>
              <w:spacing w:after="0"/>
              <w:jc w:val="center"/>
              <w:rPr>
                <w:rFonts w:ascii="Times New Roman" w:eastAsia="Times New Roman" w:hAnsi="Times New Roman" w:cs="Times New Roman"/>
                <w:b/>
                <w:bCs/>
                <w:noProof/>
                <w:lang w:val="en-GB"/>
              </w:rPr>
            </w:pPr>
            <w:r w:rsidRPr="001961AA">
              <w:rPr>
                <w:rFonts w:ascii="Times New Roman" w:hAnsi="Times New Roman"/>
                <w:b/>
                <w:noProof/>
                <w:lang w:val="en-GB"/>
              </w:rPr>
              <w:t xml:space="preserve">Qualitative indicators </w:t>
            </w:r>
            <w:r w:rsidRPr="001961AA">
              <w:rPr>
                <w:noProof/>
                <w:lang w:val="en-GB"/>
              </w:rPr>
              <w:t xml:space="preserve"> </w:t>
            </w:r>
            <w:r w:rsidRPr="001961AA">
              <w:rPr>
                <w:noProof/>
                <w:lang w:val="en-GB"/>
              </w:rPr>
              <w:br/>
            </w:r>
            <w:r w:rsidRPr="001961AA">
              <w:rPr>
                <w:rFonts w:ascii="Times New Roman" w:hAnsi="Times New Roman"/>
                <w:b/>
                <w:noProof/>
                <w:lang w:val="en-GB"/>
              </w:rPr>
              <w:t>(for milestones)</w:t>
            </w:r>
          </w:p>
        </w:tc>
        <w:tc>
          <w:tcPr>
            <w:tcW w:w="3120" w:type="dxa"/>
            <w:gridSpan w:val="3"/>
            <w:tcBorders>
              <w:top w:val="single" w:sz="4" w:space="0" w:color="auto"/>
              <w:left w:val="nil"/>
              <w:bottom w:val="single" w:sz="4" w:space="0" w:color="auto"/>
              <w:right w:val="single" w:sz="4" w:space="0" w:color="auto"/>
            </w:tcBorders>
            <w:shd w:val="clear" w:color="auto" w:fill="BDD7EE"/>
            <w:vAlign w:val="center"/>
            <w:hideMark/>
          </w:tcPr>
          <w:p w14:paraId="5A60B32E" w14:textId="77777777" w:rsidR="006A41D9" w:rsidRPr="001961AA" w:rsidRDefault="006A41D9" w:rsidP="00BD6DD1">
            <w:pPr>
              <w:spacing w:after="0"/>
              <w:jc w:val="center"/>
              <w:rPr>
                <w:rFonts w:ascii="Times New Roman" w:eastAsia="Times New Roman" w:hAnsi="Times New Roman" w:cs="Times New Roman"/>
                <w:b/>
                <w:bCs/>
                <w:noProof/>
                <w:lang w:val="en-GB"/>
              </w:rPr>
            </w:pPr>
            <w:r w:rsidRPr="001961AA">
              <w:rPr>
                <w:rFonts w:ascii="Times New Roman" w:hAnsi="Times New Roman"/>
                <w:b/>
                <w:noProof/>
                <w:lang w:val="en-GB"/>
              </w:rPr>
              <w:t xml:space="preserve">Quantitative indicators </w:t>
            </w:r>
            <w:r w:rsidRPr="001961AA">
              <w:rPr>
                <w:noProof/>
                <w:lang w:val="en-GB"/>
              </w:rPr>
              <w:t xml:space="preserve"> </w:t>
            </w:r>
            <w:r w:rsidRPr="001961AA">
              <w:rPr>
                <w:noProof/>
                <w:lang w:val="en-GB"/>
              </w:rPr>
              <w:br/>
            </w:r>
            <w:r w:rsidRPr="001961AA">
              <w:rPr>
                <w:rFonts w:ascii="Times New Roman" w:hAnsi="Times New Roman"/>
                <w:b/>
                <w:noProof/>
                <w:lang w:val="en-GB"/>
              </w:rPr>
              <w:t>(for targets)</w:t>
            </w:r>
          </w:p>
        </w:tc>
        <w:tc>
          <w:tcPr>
            <w:tcW w:w="1800" w:type="dxa"/>
            <w:gridSpan w:val="2"/>
            <w:tcBorders>
              <w:top w:val="single" w:sz="4" w:space="0" w:color="auto"/>
              <w:left w:val="nil"/>
              <w:bottom w:val="single" w:sz="4" w:space="0" w:color="auto"/>
              <w:right w:val="single" w:sz="4" w:space="0" w:color="auto"/>
            </w:tcBorders>
            <w:shd w:val="clear" w:color="auto" w:fill="BDD7EE"/>
            <w:vAlign w:val="center"/>
            <w:hideMark/>
          </w:tcPr>
          <w:p w14:paraId="4AC6C999" w14:textId="77777777" w:rsidR="006A41D9" w:rsidRPr="001961AA" w:rsidRDefault="006A41D9" w:rsidP="00BD6DD1">
            <w:pPr>
              <w:spacing w:after="0"/>
              <w:jc w:val="center"/>
              <w:rPr>
                <w:rFonts w:ascii="Times New Roman" w:eastAsia="Times New Roman" w:hAnsi="Times New Roman" w:cs="Times New Roman"/>
                <w:b/>
                <w:bCs/>
                <w:noProof/>
                <w:lang w:val="en-GB"/>
              </w:rPr>
            </w:pPr>
            <w:r w:rsidRPr="001961AA">
              <w:rPr>
                <w:rFonts w:ascii="Times New Roman" w:hAnsi="Times New Roman"/>
                <w:b/>
                <w:noProof/>
                <w:lang w:val="en-GB"/>
              </w:rPr>
              <w:t xml:space="preserve">Indicative timeline for completion </w:t>
            </w:r>
          </w:p>
        </w:tc>
        <w:tc>
          <w:tcPr>
            <w:tcW w:w="3747"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4730BCE9" w14:textId="77777777" w:rsidR="006A41D9" w:rsidRPr="001961AA" w:rsidRDefault="006A41D9" w:rsidP="00BD6DD1">
            <w:pPr>
              <w:spacing w:after="0"/>
              <w:jc w:val="center"/>
              <w:rPr>
                <w:rFonts w:ascii="Times New Roman" w:eastAsia="Times New Roman" w:hAnsi="Times New Roman" w:cs="Times New Roman"/>
                <w:b/>
                <w:bCs/>
                <w:noProof/>
                <w:lang w:val="en-GB"/>
              </w:rPr>
            </w:pPr>
            <w:r w:rsidRPr="001961AA">
              <w:rPr>
                <w:rFonts w:ascii="Times New Roman" w:hAnsi="Times New Roman"/>
                <w:b/>
                <w:noProof/>
                <w:lang w:val="en-GB"/>
              </w:rPr>
              <w:t>Description of each milestone and target</w:t>
            </w:r>
          </w:p>
        </w:tc>
      </w:tr>
      <w:tr w:rsidR="00077FB0" w:rsidRPr="001961AA" w14:paraId="661F89BB" w14:textId="77777777" w:rsidTr="00300C11">
        <w:trPr>
          <w:trHeight w:val="1013"/>
          <w:jc w:val="center"/>
        </w:trPr>
        <w:tc>
          <w:tcPr>
            <w:tcW w:w="595" w:type="dxa"/>
            <w:vMerge/>
            <w:tcBorders>
              <w:top w:val="single" w:sz="4" w:space="0" w:color="auto"/>
              <w:left w:val="single" w:sz="4" w:space="0" w:color="auto"/>
              <w:bottom w:val="single" w:sz="4" w:space="0" w:color="auto"/>
              <w:right w:val="single" w:sz="4" w:space="0" w:color="auto"/>
            </w:tcBorders>
            <w:vAlign w:val="center"/>
            <w:hideMark/>
          </w:tcPr>
          <w:p w14:paraId="37B52A4E" w14:textId="77777777" w:rsidR="006A41D9" w:rsidRPr="001961AA" w:rsidRDefault="006A41D9" w:rsidP="00BD6DD1">
            <w:pPr>
              <w:spacing w:after="0"/>
              <w:rPr>
                <w:rFonts w:ascii="Times New Roman" w:eastAsia="Times New Roman" w:hAnsi="Times New Roman" w:cs="Times New Roman"/>
                <w:b/>
                <w:bCs/>
                <w:noProof/>
                <w:szCs w:val="24"/>
                <w:lang w:val="en-GB" w:eastAsia="en-GB"/>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C24BFBD" w14:textId="77777777" w:rsidR="006A41D9" w:rsidRPr="001961AA" w:rsidRDefault="006A41D9" w:rsidP="00BD6DD1">
            <w:pPr>
              <w:spacing w:after="0"/>
              <w:rPr>
                <w:rFonts w:ascii="Times New Roman" w:eastAsia="Times New Roman" w:hAnsi="Times New Roman" w:cs="Times New Roman"/>
                <w:b/>
                <w:bCs/>
                <w:noProof/>
                <w:szCs w:val="24"/>
                <w:lang w:val="en-GB" w:eastAsia="en-GB"/>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14:paraId="68DC817C" w14:textId="77777777" w:rsidR="006A41D9" w:rsidRPr="001961AA" w:rsidRDefault="006A41D9" w:rsidP="00BD6DD1">
            <w:pPr>
              <w:spacing w:after="0"/>
              <w:rPr>
                <w:rFonts w:ascii="Times New Roman" w:eastAsia="Times New Roman" w:hAnsi="Times New Roman" w:cs="Times New Roman"/>
                <w:b/>
                <w:bCs/>
                <w:noProof/>
                <w:szCs w:val="24"/>
                <w:lang w:val="en-GB" w:eastAsia="en-GB"/>
              </w:rPr>
            </w:pPr>
          </w:p>
        </w:tc>
        <w:tc>
          <w:tcPr>
            <w:tcW w:w="2040" w:type="dxa"/>
            <w:vMerge/>
            <w:tcBorders>
              <w:top w:val="single" w:sz="4" w:space="0" w:color="auto"/>
              <w:left w:val="single" w:sz="4" w:space="0" w:color="auto"/>
              <w:bottom w:val="single" w:sz="4" w:space="0" w:color="auto"/>
              <w:right w:val="single" w:sz="4" w:space="0" w:color="auto"/>
            </w:tcBorders>
            <w:vAlign w:val="center"/>
            <w:hideMark/>
          </w:tcPr>
          <w:p w14:paraId="6E606B5A" w14:textId="77777777" w:rsidR="006A41D9" w:rsidRPr="001961AA" w:rsidRDefault="006A41D9" w:rsidP="00BD6DD1">
            <w:pPr>
              <w:spacing w:after="0"/>
              <w:rPr>
                <w:rFonts w:ascii="Times New Roman" w:eastAsia="Times New Roman" w:hAnsi="Times New Roman" w:cs="Times New Roman"/>
                <w:b/>
                <w:bCs/>
                <w:noProof/>
                <w:szCs w:val="24"/>
                <w:lang w:val="en-GB" w:eastAsia="en-GB"/>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04035ED3" w14:textId="77777777" w:rsidR="006A41D9" w:rsidRPr="001961AA" w:rsidRDefault="006A41D9" w:rsidP="00BD6DD1">
            <w:pPr>
              <w:spacing w:after="0"/>
              <w:rPr>
                <w:rFonts w:ascii="Times New Roman" w:eastAsia="Times New Roman" w:hAnsi="Times New Roman" w:cs="Times New Roman"/>
                <w:b/>
                <w:bCs/>
                <w:noProof/>
                <w:szCs w:val="24"/>
                <w:lang w:val="en-GB" w:eastAsia="en-GB"/>
              </w:rPr>
            </w:pPr>
          </w:p>
        </w:tc>
        <w:tc>
          <w:tcPr>
            <w:tcW w:w="1320" w:type="dxa"/>
            <w:tcBorders>
              <w:top w:val="nil"/>
              <w:left w:val="single" w:sz="4" w:space="0" w:color="auto"/>
              <w:bottom w:val="single" w:sz="4" w:space="0" w:color="auto"/>
              <w:right w:val="single" w:sz="4" w:space="0" w:color="auto"/>
            </w:tcBorders>
            <w:shd w:val="clear" w:color="auto" w:fill="BDD7EE"/>
            <w:vAlign w:val="center"/>
            <w:hideMark/>
          </w:tcPr>
          <w:p w14:paraId="10597356" w14:textId="77777777" w:rsidR="006A41D9" w:rsidRPr="001961AA" w:rsidRDefault="006A41D9" w:rsidP="00BD6DD1">
            <w:pPr>
              <w:spacing w:after="0"/>
              <w:jc w:val="center"/>
              <w:rPr>
                <w:rFonts w:ascii="Times New Roman" w:eastAsia="Times New Roman" w:hAnsi="Times New Roman" w:cs="Times New Roman"/>
                <w:b/>
                <w:noProof/>
                <w:lang w:val="en-GB"/>
              </w:rPr>
            </w:pPr>
            <w:r w:rsidRPr="001961AA">
              <w:rPr>
                <w:rFonts w:ascii="Times New Roman" w:hAnsi="Times New Roman"/>
                <w:b/>
                <w:noProof/>
                <w:lang w:val="en-GB"/>
              </w:rPr>
              <w:t>Unit of measure</w:t>
            </w:r>
          </w:p>
        </w:tc>
        <w:tc>
          <w:tcPr>
            <w:tcW w:w="1080" w:type="dxa"/>
            <w:tcBorders>
              <w:top w:val="nil"/>
              <w:left w:val="nil"/>
              <w:bottom w:val="single" w:sz="4" w:space="0" w:color="auto"/>
              <w:right w:val="single" w:sz="4" w:space="0" w:color="auto"/>
            </w:tcBorders>
            <w:shd w:val="clear" w:color="auto" w:fill="BDD7EE"/>
            <w:vAlign w:val="center"/>
            <w:hideMark/>
          </w:tcPr>
          <w:p w14:paraId="52AA63F0" w14:textId="3B113DC9" w:rsidR="006A41D9" w:rsidRPr="001961AA" w:rsidRDefault="006A41D9" w:rsidP="00BD6DD1">
            <w:pPr>
              <w:spacing w:after="0"/>
              <w:jc w:val="center"/>
              <w:rPr>
                <w:rFonts w:ascii="Times New Roman" w:eastAsia="Times New Roman" w:hAnsi="Times New Roman" w:cs="Times New Roman"/>
                <w:b/>
                <w:noProof/>
                <w:lang w:val="en-GB"/>
              </w:rPr>
            </w:pPr>
            <w:r w:rsidRPr="001961AA">
              <w:rPr>
                <w:rFonts w:ascii="Times New Roman" w:hAnsi="Times New Roman"/>
                <w:b/>
                <w:noProof/>
                <w:lang w:val="en-GB"/>
              </w:rPr>
              <w:t>Baseline</w:t>
            </w:r>
          </w:p>
        </w:tc>
        <w:tc>
          <w:tcPr>
            <w:tcW w:w="720" w:type="dxa"/>
            <w:tcBorders>
              <w:top w:val="nil"/>
              <w:left w:val="nil"/>
              <w:bottom w:val="single" w:sz="4" w:space="0" w:color="auto"/>
              <w:right w:val="single" w:sz="4" w:space="0" w:color="auto"/>
            </w:tcBorders>
            <w:shd w:val="clear" w:color="auto" w:fill="BDD7EE"/>
            <w:vAlign w:val="center"/>
            <w:hideMark/>
          </w:tcPr>
          <w:p w14:paraId="6DC8C2C7" w14:textId="1F7C1FEA" w:rsidR="006A41D9" w:rsidRPr="001961AA" w:rsidRDefault="006A41D9" w:rsidP="00BD6DD1">
            <w:pPr>
              <w:spacing w:after="0"/>
              <w:jc w:val="center"/>
              <w:rPr>
                <w:rFonts w:ascii="Times New Roman" w:eastAsia="Times New Roman" w:hAnsi="Times New Roman" w:cs="Times New Roman"/>
                <w:b/>
                <w:noProof/>
                <w:lang w:val="en-GB"/>
              </w:rPr>
            </w:pPr>
            <w:r w:rsidRPr="001961AA">
              <w:rPr>
                <w:rFonts w:ascii="Times New Roman" w:hAnsi="Times New Roman"/>
                <w:b/>
                <w:noProof/>
                <w:lang w:val="en-GB"/>
              </w:rPr>
              <w:t>Goal</w:t>
            </w:r>
          </w:p>
        </w:tc>
        <w:tc>
          <w:tcPr>
            <w:tcW w:w="1080" w:type="dxa"/>
            <w:tcBorders>
              <w:top w:val="nil"/>
              <w:left w:val="nil"/>
              <w:bottom w:val="single" w:sz="4" w:space="0" w:color="auto"/>
              <w:right w:val="single" w:sz="4" w:space="0" w:color="auto"/>
            </w:tcBorders>
            <w:shd w:val="clear" w:color="auto" w:fill="BDD7EE"/>
            <w:vAlign w:val="center"/>
            <w:hideMark/>
          </w:tcPr>
          <w:p w14:paraId="49E54F44" w14:textId="77777777" w:rsidR="006A41D9" w:rsidRPr="001961AA" w:rsidRDefault="006A41D9" w:rsidP="00BD6DD1">
            <w:pPr>
              <w:spacing w:after="0"/>
              <w:jc w:val="center"/>
              <w:rPr>
                <w:rFonts w:ascii="Times New Roman" w:eastAsia="Times New Roman" w:hAnsi="Times New Roman" w:cs="Times New Roman"/>
                <w:b/>
                <w:noProof/>
                <w:lang w:val="en-GB"/>
              </w:rPr>
            </w:pPr>
            <w:r w:rsidRPr="001961AA">
              <w:rPr>
                <w:rFonts w:ascii="Times New Roman" w:hAnsi="Times New Roman"/>
                <w:b/>
                <w:noProof/>
                <w:lang w:val="en-GB"/>
              </w:rPr>
              <w:t>Quarter</w:t>
            </w:r>
          </w:p>
        </w:tc>
        <w:tc>
          <w:tcPr>
            <w:tcW w:w="720" w:type="dxa"/>
            <w:tcBorders>
              <w:top w:val="nil"/>
              <w:left w:val="nil"/>
              <w:bottom w:val="single" w:sz="4" w:space="0" w:color="auto"/>
              <w:right w:val="single" w:sz="4" w:space="0" w:color="auto"/>
            </w:tcBorders>
            <w:shd w:val="clear" w:color="auto" w:fill="BDD7EE"/>
            <w:vAlign w:val="center"/>
            <w:hideMark/>
          </w:tcPr>
          <w:p w14:paraId="7D1ED105" w14:textId="77777777" w:rsidR="006A41D9" w:rsidRPr="001961AA" w:rsidRDefault="006A41D9" w:rsidP="00BD6DD1">
            <w:pPr>
              <w:spacing w:after="0"/>
              <w:jc w:val="center"/>
              <w:rPr>
                <w:rFonts w:ascii="Times New Roman" w:eastAsia="Times New Roman" w:hAnsi="Times New Roman" w:cs="Times New Roman"/>
                <w:b/>
                <w:noProof/>
                <w:lang w:val="en-GB"/>
              </w:rPr>
            </w:pPr>
            <w:r w:rsidRPr="001961AA">
              <w:rPr>
                <w:rFonts w:ascii="Times New Roman" w:hAnsi="Times New Roman"/>
                <w:b/>
                <w:noProof/>
                <w:lang w:val="en-GB"/>
              </w:rPr>
              <w:t>Year</w:t>
            </w:r>
          </w:p>
        </w:tc>
        <w:tc>
          <w:tcPr>
            <w:tcW w:w="3747" w:type="dxa"/>
            <w:vMerge/>
            <w:tcBorders>
              <w:top w:val="single" w:sz="4" w:space="0" w:color="auto"/>
              <w:bottom w:val="single" w:sz="4" w:space="0" w:color="auto"/>
              <w:right w:val="single" w:sz="4" w:space="0" w:color="auto"/>
            </w:tcBorders>
            <w:vAlign w:val="center"/>
            <w:hideMark/>
          </w:tcPr>
          <w:p w14:paraId="2245AD8C" w14:textId="77777777" w:rsidR="006A41D9" w:rsidRPr="001961AA" w:rsidRDefault="006A41D9" w:rsidP="00BD6DD1">
            <w:pPr>
              <w:spacing w:after="0"/>
              <w:rPr>
                <w:rFonts w:ascii="Times New Roman" w:eastAsia="Times New Roman" w:hAnsi="Times New Roman" w:cs="Times New Roman"/>
                <w:b/>
                <w:bCs/>
                <w:noProof/>
                <w:szCs w:val="24"/>
                <w:lang w:val="en-GB" w:eastAsia="en-GB"/>
              </w:rPr>
            </w:pPr>
          </w:p>
        </w:tc>
      </w:tr>
      <w:tr w:rsidR="00324CC6" w:rsidRPr="001961AA" w14:paraId="5D7E4479" w14:textId="77777777" w:rsidTr="00300C11">
        <w:trPr>
          <w:trHeight w:val="309"/>
          <w:jc w:val="center"/>
        </w:trPr>
        <w:tc>
          <w:tcPr>
            <w:tcW w:w="595"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62F3BBC6"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150</w:t>
            </w:r>
          </w:p>
        </w:tc>
        <w:tc>
          <w:tcPr>
            <w:tcW w:w="1560" w:type="dxa"/>
            <w:tcBorders>
              <w:top w:val="single" w:sz="4" w:space="0" w:color="auto"/>
              <w:left w:val="nil"/>
              <w:bottom w:val="single" w:sz="4" w:space="0" w:color="auto"/>
              <w:right w:val="single" w:sz="4" w:space="0" w:color="auto"/>
            </w:tcBorders>
            <w:shd w:val="clear" w:color="auto" w:fill="C6EFCE"/>
            <w:noWrap/>
            <w:vAlign w:val="center"/>
            <w:hideMark/>
          </w:tcPr>
          <w:p w14:paraId="3B7789E6"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Development of public utility housing and housing for vulnerable persons (I-4.12)</w:t>
            </w:r>
          </w:p>
        </w:tc>
        <w:tc>
          <w:tcPr>
            <w:tcW w:w="1200" w:type="dxa"/>
            <w:tcBorders>
              <w:top w:val="single" w:sz="4" w:space="0" w:color="auto"/>
              <w:left w:val="nil"/>
              <w:bottom w:val="single" w:sz="4" w:space="0" w:color="auto"/>
              <w:right w:val="single" w:sz="4" w:space="0" w:color="auto"/>
            </w:tcBorders>
            <w:shd w:val="clear" w:color="auto" w:fill="C6EFCE"/>
            <w:noWrap/>
            <w:vAlign w:val="center"/>
            <w:hideMark/>
          </w:tcPr>
          <w:p w14:paraId="73F216C4" w14:textId="4D997962"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M</w:t>
            </w:r>
          </w:p>
        </w:tc>
        <w:tc>
          <w:tcPr>
            <w:tcW w:w="2040" w:type="dxa"/>
            <w:tcBorders>
              <w:top w:val="single" w:sz="4" w:space="0" w:color="auto"/>
              <w:left w:val="nil"/>
              <w:bottom w:val="single" w:sz="4" w:space="0" w:color="auto"/>
              <w:right w:val="single" w:sz="4" w:space="0" w:color="auto"/>
            </w:tcBorders>
            <w:shd w:val="clear" w:color="auto" w:fill="C6EFCE"/>
            <w:noWrap/>
            <w:vAlign w:val="center"/>
            <w:hideMark/>
          </w:tcPr>
          <w:p w14:paraId="296051B8" w14:textId="77777777" w:rsidR="006A41D9" w:rsidRPr="001961AA" w:rsidRDefault="006A41D9" w:rsidP="00BD6DD1">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Walloon Strategy for deinstitutionalisation (Walloon health policy)</w:t>
            </w:r>
          </w:p>
        </w:tc>
        <w:tc>
          <w:tcPr>
            <w:tcW w:w="1440" w:type="dxa"/>
            <w:tcBorders>
              <w:top w:val="single" w:sz="4" w:space="0" w:color="auto"/>
              <w:left w:val="nil"/>
              <w:bottom w:val="single" w:sz="4" w:space="0" w:color="auto"/>
              <w:right w:val="single" w:sz="4" w:space="0" w:color="auto"/>
            </w:tcBorders>
            <w:shd w:val="clear" w:color="auto" w:fill="C6EFCE"/>
            <w:noWrap/>
            <w:vAlign w:val="center"/>
            <w:hideMark/>
          </w:tcPr>
          <w:p w14:paraId="6F2BC4B3" w14:textId="68652F75"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Endorsement by the Walloon Government of a Walloon strategy for deinstitutio-nalisation</w:t>
            </w:r>
          </w:p>
        </w:tc>
        <w:tc>
          <w:tcPr>
            <w:tcW w:w="1320" w:type="dxa"/>
            <w:tcBorders>
              <w:top w:val="nil"/>
              <w:left w:val="nil"/>
              <w:bottom w:val="single" w:sz="4" w:space="0" w:color="auto"/>
              <w:right w:val="single" w:sz="4" w:space="0" w:color="auto"/>
            </w:tcBorders>
            <w:shd w:val="clear" w:color="auto" w:fill="C6EFCE"/>
            <w:noWrap/>
            <w:vAlign w:val="center"/>
          </w:tcPr>
          <w:p w14:paraId="7D260474" w14:textId="77777777"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1080" w:type="dxa"/>
            <w:tcBorders>
              <w:top w:val="nil"/>
              <w:left w:val="nil"/>
              <w:bottom w:val="single" w:sz="4" w:space="0" w:color="auto"/>
              <w:right w:val="single" w:sz="4" w:space="0" w:color="auto"/>
            </w:tcBorders>
            <w:shd w:val="clear" w:color="auto" w:fill="C6EFCE"/>
            <w:noWrap/>
            <w:vAlign w:val="center"/>
          </w:tcPr>
          <w:p w14:paraId="3685D90B" w14:textId="77777777" w:rsidR="006A41D9" w:rsidRPr="001961AA" w:rsidRDefault="006A41D9" w:rsidP="00BD6DD1">
            <w:pPr>
              <w:spacing w:after="0"/>
              <w:jc w:val="right"/>
              <w:rPr>
                <w:rFonts w:ascii="Times New Roman" w:eastAsia="Times New Roman" w:hAnsi="Times New Roman" w:cs="Times New Roman"/>
                <w:noProof/>
                <w:color w:val="006100"/>
                <w:lang w:val="en-GB" w:eastAsia="en-GB"/>
              </w:rPr>
            </w:pPr>
          </w:p>
        </w:tc>
        <w:tc>
          <w:tcPr>
            <w:tcW w:w="720" w:type="dxa"/>
            <w:tcBorders>
              <w:top w:val="nil"/>
              <w:left w:val="nil"/>
              <w:bottom w:val="single" w:sz="4" w:space="0" w:color="auto"/>
              <w:right w:val="single" w:sz="4" w:space="0" w:color="auto"/>
            </w:tcBorders>
            <w:shd w:val="clear" w:color="auto" w:fill="C6EFCE"/>
            <w:noWrap/>
            <w:vAlign w:val="center"/>
          </w:tcPr>
          <w:p w14:paraId="47E43B0F" w14:textId="77777777" w:rsidR="006A41D9" w:rsidRPr="001961AA" w:rsidRDefault="006A41D9" w:rsidP="00BD6DD1">
            <w:pPr>
              <w:spacing w:after="0"/>
              <w:jc w:val="right"/>
              <w:rPr>
                <w:rFonts w:ascii="Times New Roman" w:eastAsia="Times New Roman" w:hAnsi="Times New Roman" w:cs="Times New Roman"/>
                <w:noProof/>
                <w:color w:val="006100"/>
                <w:lang w:val="en-GB" w:eastAsia="en-GB"/>
              </w:rPr>
            </w:pPr>
          </w:p>
        </w:tc>
        <w:tc>
          <w:tcPr>
            <w:tcW w:w="1080" w:type="dxa"/>
            <w:tcBorders>
              <w:top w:val="nil"/>
              <w:left w:val="nil"/>
              <w:bottom w:val="single" w:sz="4" w:space="0" w:color="auto"/>
              <w:right w:val="single" w:sz="4" w:space="0" w:color="auto"/>
            </w:tcBorders>
            <w:shd w:val="clear" w:color="auto" w:fill="C6EFCE"/>
            <w:noWrap/>
            <w:vAlign w:val="center"/>
            <w:hideMark/>
          </w:tcPr>
          <w:p w14:paraId="19BA93E8"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Q4</w:t>
            </w:r>
          </w:p>
        </w:tc>
        <w:tc>
          <w:tcPr>
            <w:tcW w:w="720" w:type="dxa"/>
            <w:tcBorders>
              <w:top w:val="nil"/>
              <w:left w:val="nil"/>
              <w:bottom w:val="single" w:sz="4" w:space="0" w:color="auto"/>
              <w:right w:val="single" w:sz="4" w:space="0" w:color="auto"/>
            </w:tcBorders>
            <w:shd w:val="clear" w:color="auto" w:fill="C6EFCE"/>
            <w:noWrap/>
            <w:vAlign w:val="center"/>
            <w:hideMark/>
          </w:tcPr>
          <w:p w14:paraId="25C8DC83"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2021</w:t>
            </w:r>
          </w:p>
        </w:tc>
        <w:tc>
          <w:tcPr>
            <w:tcW w:w="3747" w:type="dxa"/>
            <w:tcBorders>
              <w:top w:val="single" w:sz="4" w:space="0" w:color="auto"/>
              <w:left w:val="nil"/>
              <w:bottom w:val="single" w:sz="4" w:space="0" w:color="auto"/>
              <w:right w:val="single" w:sz="4" w:space="0" w:color="auto"/>
            </w:tcBorders>
            <w:shd w:val="clear" w:color="auto" w:fill="C6EFCE"/>
            <w:noWrap/>
            <w:vAlign w:val="center"/>
            <w:hideMark/>
          </w:tcPr>
          <w:p w14:paraId="25C04E08"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Endorsement of a strategy of the Walloon Region on deinstitutionalisation in the context of the Walloon Health Policy, in particular for the elderly and people with disabilities: (1) specifying the concept of deinstitutionalisation, (2) establishing criteria for institutionalisation and de-institutionalisation, (3) providing a quantitative and qualitative assessment of the de-institutionalisation initiated by the host and accommodation institutions, (4) drawing up a state of play on the provision of services (5) and making recommendations for the operationalisation of the strategy.</w:t>
            </w:r>
          </w:p>
        </w:tc>
      </w:tr>
      <w:tr w:rsidR="00324CC6" w:rsidRPr="001961AA" w14:paraId="18E46086" w14:textId="77777777" w:rsidTr="00300C11">
        <w:trPr>
          <w:trHeight w:val="309"/>
          <w:jc w:val="center"/>
        </w:trPr>
        <w:tc>
          <w:tcPr>
            <w:tcW w:w="595" w:type="dxa"/>
            <w:tcBorders>
              <w:top w:val="nil"/>
              <w:left w:val="single" w:sz="4" w:space="0" w:color="auto"/>
              <w:bottom w:val="single" w:sz="4" w:space="0" w:color="auto"/>
              <w:right w:val="single" w:sz="4" w:space="0" w:color="auto"/>
            </w:tcBorders>
            <w:shd w:val="clear" w:color="auto" w:fill="C6EFCE"/>
            <w:noWrap/>
            <w:vAlign w:val="center"/>
            <w:hideMark/>
          </w:tcPr>
          <w:p w14:paraId="5015BF4E"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151</w:t>
            </w:r>
          </w:p>
        </w:tc>
        <w:tc>
          <w:tcPr>
            <w:tcW w:w="1560" w:type="dxa"/>
            <w:tcBorders>
              <w:top w:val="nil"/>
              <w:left w:val="nil"/>
              <w:bottom w:val="single" w:sz="4" w:space="0" w:color="auto"/>
              <w:right w:val="single" w:sz="4" w:space="0" w:color="auto"/>
            </w:tcBorders>
            <w:shd w:val="clear" w:color="auto" w:fill="C6EFCE"/>
            <w:noWrap/>
            <w:vAlign w:val="center"/>
            <w:hideMark/>
          </w:tcPr>
          <w:p w14:paraId="6D58FC02"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Development of public utility housing and housing for vulnerable persons (I-4.12)</w:t>
            </w:r>
          </w:p>
        </w:tc>
        <w:tc>
          <w:tcPr>
            <w:tcW w:w="1200" w:type="dxa"/>
            <w:tcBorders>
              <w:top w:val="nil"/>
              <w:left w:val="nil"/>
              <w:bottom w:val="single" w:sz="4" w:space="0" w:color="auto"/>
              <w:right w:val="single" w:sz="4" w:space="0" w:color="auto"/>
            </w:tcBorders>
            <w:shd w:val="clear" w:color="auto" w:fill="C6EFCE"/>
            <w:noWrap/>
            <w:vAlign w:val="center"/>
            <w:hideMark/>
          </w:tcPr>
          <w:p w14:paraId="09C8CF6B" w14:textId="424A05CD"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T</w:t>
            </w:r>
          </w:p>
        </w:tc>
        <w:tc>
          <w:tcPr>
            <w:tcW w:w="2040" w:type="dxa"/>
            <w:tcBorders>
              <w:top w:val="nil"/>
              <w:left w:val="nil"/>
              <w:bottom w:val="single" w:sz="4" w:space="0" w:color="auto"/>
              <w:right w:val="single" w:sz="4" w:space="0" w:color="auto"/>
            </w:tcBorders>
            <w:shd w:val="clear" w:color="auto" w:fill="C6EFCE"/>
            <w:noWrap/>
            <w:vAlign w:val="center"/>
            <w:hideMark/>
          </w:tcPr>
          <w:p w14:paraId="77C9E48E"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Award of part of the works</w:t>
            </w:r>
          </w:p>
        </w:tc>
        <w:tc>
          <w:tcPr>
            <w:tcW w:w="1440" w:type="dxa"/>
            <w:tcBorders>
              <w:top w:val="nil"/>
              <w:left w:val="nil"/>
              <w:bottom w:val="single" w:sz="4" w:space="0" w:color="auto"/>
              <w:right w:val="single" w:sz="4" w:space="0" w:color="auto"/>
            </w:tcBorders>
            <w:shd w:val="clear" w:color="auto" w:fill="C6EFCE"/>
            <w:noWrap/>
            <w:vAlign w:val="center"/>
            <w:hideMark/>
          </w:tcPr>
          <w:p w14:paraId="17520DA1" w14:textId="77777777"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1320" w:type="dxa"/>
            <w:tcBorders>
              <w:top w:val="nil"/>
              <w:left w:val="nil"/>
              <w:bottom w:val="single" w:sz="4" w:space="0" w:color="auto"/>
              <w:right w:val="single" w:sz="4" w:space="0" w:color="auto"/>
            </w:tcBorders>
            <w:shd w:val="clear" w:color="auto" w:fill="C6EFCE"/>
            <w:noWrap/>
            <w:vAlign w:val="center"/>
          </w:tcPr>
          <w:p w14:paraId="41E19EA6"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Housing units</w:t>
            </w:r>
          </w:p>
        </w:tc>
        <w:tc>
          <w:tcPr>
            <w:tcW w:w="1080" w:type="dxa"/>
            <w:tcBorders>
              <w:top w:val="nil"/>
              <w:left w:val="nil"/>
              <w:bottom w:val="single" w:sz="4" w:space="0" w:color="auto"/>
              <w:right w:val="single" w:sz="4" w:space="0" w:color="auto"/>
            </w:tcBorders>
            <w:shd w:val="clear" w:color="auto" w:fill="C6EFCE"/>
            <w:noWrap/>
            <w:vAlign w:val="center"/>
          </w:tcPr>
          <w:p w14:paraId="079012E3"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0</w:t>
            </w:r>
          </w:p>
        </w:tc>
        <w:tc>
          <w:tcPr>
            <w:tcW w:w="720" w:type="dxa"/>
            <w:tcBorders>
              <w:top w:val="nil"/>
              <w:left w:val="nil"/>
              <w:bottom w:val="single" w:sz="4" w:space="0" w:color="auto"/>
              <w:right w:val="single" w:sz="4" w:space="0" w:color="auto"/>
            </w:tcBorders>
            <w:shd w:val="clear" w:color="auto" w:fill="C6EFCE"/>
            <w:noWrap/>
            <w:vAlign w:val="center"/>
          </w:tcPr>
          <w:p w14:paraId="23A4E447"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280</w:t>
            </w:r>
          </w:p>
        </w:tc>
        <w:tc>
          <w:tcPr>
            <w:tcW w:w="1080" w:type="dxa"/>
            <w:tcBorders>
              <w:top w:val="nil"/>
              <w:left w:val="nil"/>
              <w:bottom w:val="single" w:sz="4" w:space="0" w:color="auto"/>
              <w:right w:val="single" w:sz="4" w:space="0" w:color="auto"/>
            </w:tcBorders>
            <w:shd w:val="clear" w:color="auto" w:fill="C6EFCE"/>
            <w:noWrap/>
            <w:vAlign w:val="center"/>
            <w:hideMark/>
          </w:tcPr>
          <w:p w14:paraId="07D65070" w14:textId="30F8D46C"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Q2</w:t>
            </w:r>
          </w:p>
        </w:tc>
        <w:tc>
          <w:tcPr>
            <w:tcW w:w="720" w:type="dxa"/>
            <w:tcBorders>
              <w:top w:val="nil"/>
              <w:left w:val="nil"/>
              <w:bottom w:val="single" w:sz="4" w:space="0" w:color="auto"/>
              <w:right w:val="single" w:sz="4" w:space="0" w:color="auto"/>
            </w:tcBorders>
            <w:shd w:val="clear" w:color="auto" w:fill="C6EFCE"/>
            <w:noWrap/>
            <w:vAlign w:val="center"/>
            <w:hideMark/>
          </w:tcPr>
          <w:p w14:paraId="43D88798" w14:textId="54FA122B"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2024</w:t>
            </w:r>
          </w:p>
        </w:tc>
        <w:tc>
          <w:tcPr>
            <w:tcW w:w="3747" w:type="dxa"/>
            <w:tcBorders>
              <w:top w:val="nil"/>
              <w:left w:val="nil"/>
              <w:bottom w:val="single" w:sz="4" w:space="0" w:color="auto"/>
              <w:right w:val="single" w:sz="4" w:space="0" w:color="auto"/>
            </w:tcBorders>
            <w:shd w:val="clear" w:color="auto" w:fill="C6EFCE"/>
            <w:noWrap/>
            <w:vAlign w:val="center"/>
          </w:tcPr>
          <w:p w14:paraId="64D6A0D1" w14:textId="433FC99B"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Award of works contracts by operators for 280 of low-rent housing units.).</w:t>
            </w:r>
          </w:p>
        </w:tc>
      </w:tr>
      <w:tr w:rsidR="00324CC6" w:rsidRPr="001961AA" w14:paraId="21AD8CEC" w14:textId="77777777" w:rsidTr="00300C11">
        <w:trPr>
          <w:trHeight w:val="309"/>
          <w:jc w:val="center"/>
        </w:trPr>
        <w:tc>
          <w:tcPr>
            <w:tcW w:w="595" w:type="dxa"/>
            <w:tcBorders>
              <w:top w:val="nil"/>
              <w:left w:val="single" w:sz="4" w:space="0" w:color="auto"/>
              <w:bottom w:val="single" w:sz="4" w:space="0" w:color="auto"/>
              <w:right w:val="single" w:sz="4" w:space="0" w:color="auto"/>
            </w:tcBorders>
            <w:shd w:val="clear" w:color="auto" w:fill="C6EFCE"/>
            <w:noWrap/>
            <w:vAlign w:val="center"/>
          </w:tcPr>
          <w:p w14:paraId="0C57AC0E"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152</w:t>
            </w:r>
          </w:p>
        </w:tc>
        <w:tc>
          <w:tcPr>
            <w:tcW w:w="1560" w:type="dxa"/>
            <w:tcBorders>
              <w:top w:val="nil"/>
              <w:left w:val="nil"/>
              <w:bottom w:val="single" w:sz="4" w:space="0" w:color="auto"/>
              <w:right w:val="single" w:sz="4" w:space="0" w:color="auto"/>
            </w:tcBorders>
            <w:shd w:val="clear" w:color="auto" w:fill="C6EFCE"/>
            <w:noWrap/>
            <w:vAlign w:val="center"/>
          </w:tcPr>
          <w:p w14:paraId="1A70517B"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Development of public utility housing and housing for vulnerable persons (I-4.12)</w:t>
            </w:r>
          </w:p>
        </w:tc>
        <w:tc>
          <w:tcPr>
            <w:tcW w:w="1200" w:type="dxa"/>
            <w:tcBorders>
              <w:top w:val="nil"/>
              <w:left w:val="nil"/>
              <w:bottom w:val="single" w:sz="4" w:space="0" w:color="auto"/>
              <w:right w:val="single" w:sz="4" w:space="0" w:color="auto"/>
            </w:tcBorders>
            <w:shd w:val="clear" w:color="auto" w:fill="C6EFCE"/>
            <w:noWrap/>
            <w:vAlign w:val="center"/>
          </w:tcPr>
          <w:p w14:paraId="61F29E98" w14:textId="7F5D70E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T</w:t>
            </w:r>
          </w:p>
        </w:tc>
        <w:tc>
          <w:tcPr>
            <w:tcW w:w="2040" w:type="dxa"/>
            <w:tcBorders>
              <w:top w:val="nil"/>
              <w:left w:val="nil"/>
              <w:bottom w:val="single" w:sz="4" w:space="0" w:color="auto"/>
              <w:right w:val="single" w:sz="4" w:space="0" w:color="auto"/>
            </w:tcBorders>
            <w:shd w:val="clear" w:color="auto" w:fill="C6EFCE"/>
            <w:noWrap/>
            <w:vAlign w:val="center"/>
          </w:tcPr>
          <w:p w14:paraId="33BB0EED"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Installation of remote assistance for people in loss of autonomy</w:t>
            </w:r>
          </w:p>
        </w:tc>
        <w:tc>
          <w:tcPr>
            <w:tcW w:w="1440" w:type="dxa"/>
            <w:tcBorders>
              <w:top w:val="nil"/>
              <w:left w:val="nil"/>
              <w:bottom w:val="single" w:sz="4" w:space="0" w:color="auto"/>
              <w:right w:val="single" w:sz="4" w:space="0" w:color="auto"/>
            </w:tcBorders>
            <w:shd w:val="clear" w:color="auto" w:fill="C6EFCE"/>
            <w:noWrap/>
            <w:vAlign w:val="center"/>
          </w:tcPr>
          <w:p w14:paraId="2A386E8B" w14:textId="77777777"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1320" w:type="dxa"/>
            <w:tcBorders>
              <w:top w:val="nil"/>
              <w:left w:val="nil"/>
              <w:bottom w:val="single" w:sz="4" w:space="0" w:color="auto"/>
              <w:right w:val="single" w:sz="4" w:space="0" w:color="auto"/>
            </w:tcBorders>
            <w:shd w:val="clear" w:color="auto" w:fill="C6EFCE"/>
            <w:noWrap/>
            <w:vAlign w:val="center"/>
          </w:tcPr>
          <w:p w14:paraId="51F5992C"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Remote assistance boxes installed</w:t>
            </w:r>
          </w:p>
        </w:tc>
        <w:tc>
          <w:tcPr>
            <w:tcW w:w="1080" w:type="dxa"/>
            <w:tcBorders>
              <w:top w:val="nil"/>
              <w:left w:val="nil"/>
              <w:bottom w:val="single" w:sz="4" w:space="0" w:color="auto"/>
              <w:right w:val="single" w:sz="4" w:space="0" w:color="auto"/>
            </w:tcBorders>
            <w:shd w:val="clear" w:color="auto" w:fill="C6EFCE"/>
            <w:noWrap/>
            <w:vAlign w:val="center"/>
          </w:tcPr>
          <w:p w14:paraId="5601FC2F"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0</w:t>
            </w:r>
          </w:p>
        </w:tc>
        <w:tc>
          <w:tcPr>
            <w:tcW w:w="720" w:type="dxa"/>
            <w:tcBorders>
              <w:top w:val="nil"/>
              <w:left w:val="nil"/>
              <w:bottom w:val="single" w:sz="4" w:space="0" w:color="auto"/>
              <w:right w:val="single" w:sz="4" w:space="0" w:color="auto"/>
            </w:tcBorders>
            <w:shd w:val="clear" w:color="auto" w:fill="C6EFCE"/>
            <w:noWrap/>
            <w:vAlign w:val="center"/>
          </w:tcPr>
          <w:p w14:paraId="253470B1" w14:textId="737E2DCC"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5 000</w:t>
            </w:r>
          </w:p>
        </w:tc>
        <w:tc>
          <w:tcPr>
            <w:tcW w:w="1080" w:type="dxa"/>
            <w:tcBorders>
              <w:top w:val="nil"/>
              <w:left w:val="nil"/>
              <w:bottom w:val="single" w:sz="4" w:space="0" w:color="auto"/>
              <w:right w:val="single" w:sz="4" w:space="0" w:color="auto"/>
            </w:tcBorders>
            <w:shd w:val="clear" w:color="auto" w:fill="C6EFCE"/>
            <w:noWrap/>
            <w:vAlign w:val="center"/>
          </w:tcPr>
          <w:p w14:paraId="67D3F311"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Q3</w:t>
            </w:r>
          </w:p>
        </w:tc>
        <w:tc>
          <w:tcPr>
            <w:tcW w:w="720" w:type="dxa"/>
            <w:tcBorders>
              <w:top w:val="nil"/>
              <w:left w:val="nil"/>
              <w:bottom w:val="single" w:sz="4" w:space="0" w:color="auto"/>
              <w:right w:val="single" w:sz="4" w:space="0" w:color="auto"/>
            </w:tcBorders>
            <w:shd w:val="clear" w:color="auto" w:fill="C6EFCE"/>
            <w:noWrap/>
            <w:vAlign w:val="center"/>
          </w:tcPr>
          <w:p w14:paraId="4920B8EE"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2025</w:t>
            </w:r>
          </w:p>
        </w:tc>
        <w:tc>
          <w:tcPr>
            <w:tcW w:w="3747" w:type="dxa"/>
            <w:tcBorders>
              <w:top w:val="nil"/>
              <w:left w:val="nil"/>
              <w:bottom w:val="single" w:sz="4" w:space="0" w:color="auto"/>
              <w:right w:val="single" w:sz="4" w:space="0" w:color="auto"/>
            </w:tcBorders>
            <w:shd w:val="clear" w:color="auto" w:fill="C6EFCE"/>
            <w:noWrap/>
            <w:vAlign w:val="center"/>
          </w:tcPr>
          <w:p w14:paraId="07F01DA2" w14:textId="01260BBD"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5000 remote assistance boxes installed in the homes of vulnerable people, that is, people aged over 65 and/or people with disability.</w:t>
            </w:r>
          </w:p>
        </w:tc>
      </w:tr>
      <w:tr w:rsidR="00324CC6" w:rsidRPr="001961AA" w14:paraId="25D4670F" w14:textId="77777777" w:rsidTr="00300C11">
        <w:trPr>
          <w:trHeight w:val="309"/>
          <w:jc w:val="center"/>
        </w:trPr>
        <w:tc>
          <w:tcPr>
            <w:tcW w:w="595" w:type="dxa"/>
            <w:tcBorders>
              <w:top w:val="nil"/>
              <w:left w:val="single" w:sz="4" w:space="0" w:color="auto"/>
              <w:bottom w:val="single" w:sz="4" w:space="0" w:color="auto"/>
              <w:right w:val="single" w:sz="4" w:space="0" w:color="auto"/>
            </w:tcBorders>
            <w:shd w:val="clear" w:color="auto" w:fill="C6EFCE"/>
            <w:noWrap/>
            <w:vAlign w:val="center"/>
            <w:hideMark/>
          </w:tcPr>
          <w:p w14:paraId="1A03EEA3"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153</w:t>
            </w:r>
          </w:p>
        </w:tc>
        <w:tc>
          <w:tcPr>
            <w:tcW w:w="1560" w:type="dxa"/>
            <w:tcBorders>
              <w:top w:val="nil"/>
              <w:left w:val="nil"/>
              <w:bottom w:val="single" w:sz="4" w:space="0" w:color="auto"/>
              <w:right w:val="single" w:sz="4" w:space="0" w:color="auto"/>
            </w:tcBorders>
            <w:shd w:val="clear" w:color="auto" w:fill="C6EFCE"/>
            <w:noWrap/>
            <w:vAlign w:val="center"/>
            <w:hideMark/>
          </w:tcPr>
          <w:p w14:paraId="23E69FD5"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Development of public utility housing and housing for vulnerable persons (I-4.12)</w:t>
            </w:r>
          </w:p>
        </w:tc>
        <w:tc>
          <w:tcPr>
            <w:tcW w:w="1200" w:type="dxa"/>
            <w:tcBorders>
              <w:top w:val="nil"/>
              <w:left w:val="nil"/>
              <w:bottom w:val="single" w:sz="4" w:space="0" w:color="auto"/>
              <w:right w:val="single" w:sz="4" w:space="0" w:color="auto"/>
            </w:tcBorders>
            <w:shd w:val="clear" w:color="auto" w:fill="C6EFCE"/>
            <w:noWrap/>
            <w:vAlign w:val="center"/>
            <w:hideMark/>
          </w:tcPr>
          <w:p w14:paraId="618E8631" w14:textId="05C069DB"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T</w:t>
            </w:r>
          </w:p>
        </w:tc>
        <w:tc>
          <w:tcPr>
            <w:tcW w:w="2040" w:type="dxa"/>
            <w:tcBorders>
              <w:top w:val="nil"/>
              <w:left w:val="nil"/>
              <w:bottom w:val="single" w:sz="4" w:space="0" w:color="auto"/>
              <w:right w:val="single" w:sz="4" w:space="0" w:color="auto"/>
            </w:tcBorders>
            <w:shd w:val="clear" w:color="auto" w:fill="C6EFCE"/>
            <w:noWrap/>
            <w:vAlign w:val="center"/>
            <w:hideMark/>
          </w:tcPr>
          <w:p w14:paraId="33BF0182"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Housing units ready to be occupied</w:t>
            </w:r>
          </w:p>
        </w:tc>
        <w:tc>
          <w:tcPr>
            <w:tcW w:w="1440" w:type="dxa"/>
            <w:tcBorders>
              <w:top w:val="nil"/>
              <w:left w:val="nil"/>
              <w:bottom w:val="single" w:sz="4" w:space="0" w:color="auto"/>
              <w:right w:val="single" w:sz="4" w:space="0" w:color="auto"/>
            </w:tcBorders>
            <w:shd w:val="clear" w:color="auto" w:fill="C6EFCE"/>
            <w:noWrap/>
            <w:vAlign w:val="center"/>
            <w:hideMark/>
          </w:tcPr>
          <w:p w14:paraId="41A9ADCB" w14:textId="77777777"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1320" w:type="dxa"/>
            <w:tcBorders>
              <w:top w:val="nil"/>
              <w:left w:val="nil"/>
              <w:bottom w:val="single" w:sz="4" w:space="0" w:color="auto"/>
              <w:right w:val="single" w:sz="4" w:space="0" w:color="auto"/>
            </w:tcBorders>
            <w:shd w:val="clear" w:color="auto" w:fill="C6EFCE"/>
            <w:noWrap/>
            <w:vAlign w:val="center"/>
            <w:hideMark/>
          </w:tcPr>
          <w:p w14:paraId="257D2F39"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Number of new or renovated housing units</w:t>
            </w:r>
          </w:p>
        </w:tc>
        <w:tc>
          <w:tcPr>
            <w:tcW w:w="1080" w:type="dxa"/>
            <w:tcBorders>
              <w:top w:val="nil"/>
              <w:left w:val="nil"/>
              <w:bottom w:val="single" w:sz="4" w:space="0" w:color="auto"/>
              <w:right w:val="single" w:sz="4" w:space="0" w:color="auto"/>
            </w:tcBorders>
            <w:shd w:val="clear" w:color="auto" w:fill="C6EFCE"/>
            <w:noWrap/>
            <w:vAlign w:val="center"/>
          </w:tcPr>
          <w:p w14:paraId="4E895574" w14:textId="77777777" w:rsidR="006A41D9" w:rsidRPr="001961AA" w:rsidRDefault="006A41D9" w:rsidP="009A22C6">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0</w:t>
            </w:r>
          </w:p>
        </w:tc>
        <w:tc>
          <w:tcPr>
            <w:tcW w:w="720" w:type="dxa"/>
            <w:tcBorders>
              <w:top w:val="nil"/>
              <w:left w:val="nil"/>
              <w:bottom w:val="single" w:sz="4" w:space="0" w:color="auto"/>
              <w:right w:val="single" w:sz="4" w:space="0" w:color="auto"/>
            </w:tcBorders>
            <w:shd w:val="clear" w:color="auto" w:fill="C6EFCE"/>
            <w:noWrap/>
            <w:vAlign w:val="center"/>
          </w:tcPr>
          <w:p w14:paraId="05A02261" w14:textId="2B9D0FA1" w:rsidR="006A41D9" w:rsidRPr="001961AA" w:rsidRDefault="006A41D9" w:rsidP="009A22C6">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1 212</w:t>
            </w:r>
          </w:p>
        </w:tc>
        <w:tc>
          <w:tcPr>
            <w:tcW w:w="1080" w:type="dxa"/>
            <w:tcBorders>
              <w:top w:val="nil"/>
              <w:left w:val="nil"/>
              <w:bottom w:val="single" w:sz="4" w:space="0" w:color="auto"/>
              <w:right w:val="single" w:sz="4" w:space="0" w:color="auto"/>
            </w:tcBorders>
            <w:shd w:val="clear" w:color="auto" w:fill="C6EFCE"/>
            <w:noWrap/>
            <w:vAlign w:val="center"/>
            <w:hideMark/>
          </w:tcPr>
          <w:p w14:paraId="6B53918B"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Q3</w:t>
            </w:r>
          </w:p>
        </w:tc>
        <w:tc>
          <w:tcPr>
            <w:tcW w:w="720" w:type="dxa"/>
            <w:tcBorders>
              <w:top w:val="nil"/>
              <w:left w:val="nil"/>
              <w:bottom w:val="single" w:sz="4" w:space="0" w:color="auto"/>
              <w:right w:val="single" w:sz="4" w:space="0" w:color="auto"/>
            </w:tcBorders>
            <w:shd w:val="clear" w:color="auto" w:fill="C6EFCE"/>
            <w:noWrap/>
            <w:vAlign w:val="center"/>
            <w:hideMark/>
          </w:tcPr>
          <w:p w14:paraId="00036514"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2026</w:t>
            </w:r>
          </w:p>
        </w:tc>
        <w:tc>
          <w:tcPr>
            <w:tcW w:w="3747" w:type="dxa"/>
            <w:tcBorders>
              <w:top w:val="nil"/>
              <w:left w:val="nil"/>
              <w:bottom w:val="single" w:sz="4" w:space="0" w:color="auto"/>
              <w:right w:val="single" w:sz="4" w:space="0" w:color="auto"/>
            </w:tcBorders>
            <w:shd w:val="clear" w:color="auto" w:fill="C6EFCE"/>
            <w:noWrap/>
            <w:vAlign w:val="center"/>
            <w:hideMark/>
          </w:tcPr>
          <w:p w14:paraId="1D49732E" w14:textId="436D4F48"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1 212 public utility housing units (low-rent housing, inclusive and solidarity-based housing, as well as accommodation places for poorly-housed groups) built or renovated in the Walloon Region are ready to be occupied.</w:t>
            </w:r>
          </w:p>
        </w:tc>
      </w:tr>
      <w:tr w:rsidR="00324CC6" w:rsidRPr="001961AA" w14:paraId="7D25A189" w14:textId="77777777" w:rsidTr="00300C11">
        <w:trPr>
          <w:trHeight w:val="309"/>
          <w:jc w:val="center"/>
        </w:trPr>
        <w:tc>
          <w:tcPr>
            <w:tcW w:w="595" w:type="dxa"/>
            <w:tcBorders>
              <w:top w:val="nil"/>
              <w:left w:val="single" w:sz="4" w:space="0" w:color="auto"/>
              <w:bottom w:val="single" w:sz="4" w:space="0" w:color="auto"/>
              <w:right w:val="single" w:sz="4" w:space="0" w:color="auto"/>
            </w:tcBorders>
            <w:shd w:val="clear" w:color="auto" w:fill="C6EFCE"/>
            <w:noWrap/>
            <w:vAlign w:val="center"/>
            <w:hideMark/>
          </w:tcPr>
          <w:p w14:paraId="6082665A"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154</w:t>
            </w:r>
          </w:p>
        </w:tc>
        <w:tc>
          <w:tcPr>
            <w:tcW w:w="1560" w:type="dxa"/>
            <w:tcBorders>
              <w:top w:val="nil"/>
              <w:left w:val="nil"/>
              <w:bottom w:val="single" w:sz="4" w:space="0" w:color="auto"/>
              <w:right w:val="single" w:sz="4" w:space="0" w:color="auto"/>
            </w:tcBorders>
            <w:shd w:val="clear" w:color="auto" w:fill="C6EFCE"/>
            <w:noWrap/>
            <w:vAlign w:val="center"/>
            <w:hideMark/>
          </w:tcPr>
          <w:p w14:paraId="059D8039"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Building and renovation of early childcare infrastructure (I-4.13)</w:t>
            </w:r>
          </w:p>
        </w:tc>
        <w:tc>
          <w:tcPr>
            <w:tcW w:w="1200" w:type="dxa"/>
            <w:tcBorders>
              <w:top w:val="nil"/>
              <w:left w:val="nil"/>
              <w:bottom w:val="single" w:sz="4" w:space="0" w:color="auto"/>
              <w:right w:val="single" w:sz="4" w:space="0" w:color="auto"/>
            </w:tcBorders>
            <w:shd w:val="clear" w:color="auto" w:fill="C6EFCE"/>
            <w:noWrap/>
            <w:vAlign w:val="center"/>
            <w:hideMark/>
          </w:tcPr>
          <w:p w14:paraId="4B7BE7FA" w14:textId="5387608C"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T</w:t>
            </w:r>
          </w:p>
        </w:tc>
        <w:tc>
          <w:tcPr>
            <w:tcW w:w="2040" w:type="dxa"/>
            <w:tcBorders>
              <w:top w:val="nil"/>
              <w:left w:val="nil"/>
              <w:bottom w:val="single" w:sz="4" w:space="0" w:color="auto"/>
              <w:right w:val="single" w:sz="4" w:space="0" w:color="auto"/>
            </w:tcBorders>
            <w:shd w:val="clear" w:color="auto" w:fill="C6EFCE"/>
            <w:noWrap/>
            <w:vAlign w:val="center"/>
            <w:hideMark/>
          </w:tcPr>
          <w:p w14:paraId="6B7F3224"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Award of works contracts for project promoters</w:t>
            </w:r>
          </w:p>
        </w:tc>
        <w:tc>
          <w:tcPr>
            <w:tcW w:w="1440" w:type="dxa"/>
            <w:tcBorders>
              <w:top w:val="nil"/>
              <w:left w:val="nil"/>
              <w:bottom w:val="single" w:sz="4" w:space="0" w:color="auto"/>
              <w:right w:val="single" w:sz="4" w:space="0" w:color="auto"/>
            </w:tcBorders>
            <w:shd w:val="clear" w:color="auto" w:fill="C6EFCE"/>
            <w:noWrap/>
            <w:vAlign w:val="center"/>
          </w:tcPr>
          <w:p w14:paraId="09B3847F" w14:textId="77777777"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1320" w:type="dxa"/>
            <w:tcBorders>
              <w:top w:val="nil"/>
              <w:left w:val="nil"/>
              <w:bottom w:val="single" w:sz="4" w:space="0" w:color="auto"/>
              <w:right w:val="single" w:sz="4" w:space="0" w:color="auto"/>
            </w:tcBorders>
            <w:shd w:val="clear" w:color="auto" w:fill="C6EFCE"/>
            <w:noWrap/>
            <w:vAlign w:val="center"/>
            <w:hideMark/>
          </w:tcPr>
          <w:p w14:paraId="46EEA187"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Childcare places</w:t>
            </w:r>
          </w:p>
        </w:tc>
        <w:tc>
          <w:tcPr>
            <w:tcW w:w="1080" w:type="dxa"/>
            <w:tcBorders>
              <w:top w:val="nil"/>
              <w:left w:val="nil"/>
              <w:bottom w:val="single" w:sz="4" w:space="0" w:color="auto"/>
              <w:right w:val="single" w:sz="4" w:space="0" w:color="auto"/>
            </w:tcBorders>
            <w:shd w:val="clear" w:color="auto" w:fill="C6EFCE"/>
            <w:noWrap/>
            <w:vAlign w:val="center"/>
            <w:hideMark/>
          </w:tcPr>
          <w:p w14:paraId="4BB78405" w14:textId="77777777" w:rsidR="006A41D9" w:rsidRPr="001961AA" w:rsidRDefault="006A41D9" w:rsidP="009A22C6">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0</w:t>
            </w:r>
          </w:p>
        </w:tc>
        <w:tc>
          <w:tcPr>
            <w:tcW w:w="720" w:type="dxa"/>
            <w:tcBorders>
              <w:top w:val="nil"/>
              <w:left w:val="nil"/>
              <w:bottom w:val="single" w:sz="4" w:space="0" w:color="auto"/>
              <w:right w:val="single" w:sz="4" w:space="0" w:color="auto"/>
            </w:tcBorders>
            <w:shd w:val="clear" w:color="auto" w:fill="C6EFCE"/>
            <w:noWrap/>
            <w:vAlign w:val="center"/>
            <w:hideMark/>
          </w:tcPr>
          <w:p w14:paraId="5A5094B3" w14:textId="77777777" w:rsidR="006A41D9" w:rsidRPr="001961AA" w:rsidRDefault="006A41D9" w:rsidP="009A22C6">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255</w:t>
            </w:r>
          </w:p>
        </w:tc>
        <w:tc>
          <w:tcPr>
            <w:tcW w:w="1080" w:type="dxa"/>
            <w:tcBorders>
              <w:top w:val="nil"/>
              <w:left w:val="nil"/>
              <w:bottom w:val="single" w:sz="4" w:space="0" w:color="auto"/>
              <w:right w:val="single" w:sz="4" w:space="0" w:color="auto"/>
            </w:tcBorders>
            <w:shd w:val="clear" w:color="auto" w:fill="C6EFCE"/>
            <w:noWrap/>
            <w:vAlign w:val="center"/>
            <w:hideMark/>
          </w:tcPr>
          <w:p w14:paraId="60656B8B" w14:textId="0B8FC5DC"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Q4</w:t>
            </w:r>
          </w:p>
        </w:tc>
        <w:tc>
          <w:tcPr>
            <w:tcW w:w="720" w:type="dxa"/>
            <w:tcBorders>
              <w:top w:val="nil"/>
              <w:left w:val="nil"/>
              <w:bottom w:val="single" w:sz="4" w:space="0" w:color="auto"/>
              <w:right w:val="single" w:sz="4" w:space="0" w:color="auto"/>
            </w:tcBorders>
            <w:shd w:val="clear" w:color="auto" w:fill="C6EFCE"/>
            <w:noWrap/>
            <w:vAlign w:val="center"/>
            <w:hideMark/>
          </w:tcPr>
          <w:p w14:paraId="2DDBAF81"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2023</w:t>
            </w:r>
          </w:p>
        </w:tc>
        <w:tc>
          <w:tcPr>
            <w:tcW w:w="3747" w:type="dxa"/>
            <w:tcBorders>
              <w:top w:val="nil"/>
              <w:left w:val="nil"/>
              <w:bottom w:val="single" w:sz="4" w:space="0" w:color="auto"/>
              <w:right w:val="single" w:sz="4" w:space="0" w:color="auto"/>
            </w:tcBorders>
            <w:shd w:val="clear" w:color="auto" w:fill="C6EFCE"/>
            <w:noWrap/>
            <w:vAlign w:val="center"/>
            <w:hideMark/>
          </w:tcPr>
          <w:p w14:paraId="5FE8B2F1"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Award of works contracts by operators (crèches) for 15 % of the newly created childcare places, i.e. 255.</w:t>
            </w:r>
          </w:p>
        </w:tc>
      </w:tr>
      <w:tr w:rsidR="00324CC6" w:rsidRPr="001961AA" w14:paraId="68B3496B" w14:textId="77777777" w:rsidTr="00300C11">
        <w:trPr>
          <w:trHeight w:val="309"/>
          <w:jc w:val="center"/>
        </w:trPr>
        <w:tc>
          <w:tcPr>
            <w:tcW w:w="595" w:type="dxa"/>
            <w:tcBorders>
              <w:top w:val="nil"/>
              <w:left w:val="single" w:sz="4" w:space="0" w:color="auto"/>
              <w:bottom w:val="single" w:sz="4" w:space="0" w:color="auto"/>
              <w:right w:val="single" w:sz="4" w:space="0" w:color="auto"/>
            </w:tcBorders>
            <w:shd w:val="clear" w:color="auto" w:fill="C6EFCE"/>
            <w:noWrap/>
            <w:vAlign w:val="center"/>
            <w:hideMark/>
          </w:tcPr>
          <w:p w14:paraId="27B30ABE"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155</w:t>
            </w:r>
          </w:p>
        </w:tc>
        <w:tc>
          <w:tcPr>
            <w:tcW w:w="1560" w:type="dxa"/>
            <w:tcBorders>
              <w:top w:val="nil"/>
              <w:left w:val="nil"/>
              <w:bottom w:val="single" w:sz="4" w:space="0" w:color="auto"/>
              <w:right w:val="single" w:sz="4" w:space="0" w:color="auto"/>
            </w:tcBorders>
            <w:shd w:val="clear" w:color="auto" w:fill="C6EFCE"/>
            <w:noWrap/>
            <w:vAlign w:val="center"/>
            <w:hideMark/>
          </w:tcPr>
          <w:p w14:paraId="1AAFEC2C"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Building and renovation of early childcare infrastructure (I-4.13)</w:t>
            </w:r>
          </w:p>
        </w:tc>
        <w:tc>
          <w:tcPr>
            <w:tcW w:w="1200" w:type="dxa"/>
            <w:tcBorders>
              <w:top w:val="nil"/>
              <w:left w:val="nil"/>
              <w:bottom w:val="single" w:sz="4" w:space="0" w:color="auto"/>
              <w:right w:val="single" w:sz="4" w:space="0" w:color="auto"/>
            </w:tcBorders>
            <w:shd w:val="clear" w:color="auto" w:fill="C6EFCE"/>
            <w:noWrap/>
            <w:vAlign w:val="center"/>
            <w:hideMark/>
          </w:tcPr>
          <w:p w14:paraId="6A0422F5" w14:textId="37A630A6"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T</w:t>
            </w:r>
          </w:p>
        </w:tc>
        <w:tc>
          <w:tcPr>
            <w:tcW w:w="2040" w:type="dxa"/>
            <w:tcBorders>
              <w:top w:val="nil"/>
              <w:left w:val="nil"/>
              <w:bottom w:val="single" w:sz="4" w:space="0" w:color="auto"/>
              <w:right w:val="single" w:sz="4" w:space="0" w:color="auto"/>
            </w:tcBorders>
            <w:shd w:val="clear" w:color="auto" w:fill="C6EFCE"/>
            <w:noWrap/>
            <w:vAlign w:val="center"/>
            <w:hideMark/>
          </w:tcPr>
          <w:p w14:paraId="3BBDFC14"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Opening of childcare places</w:t>
            </w:r>
          </w:p>
        </w:tc>
        <w:tc>
          <w:tcPr>
            <w:tcW w:w="1440" w:type="dxa"/>
            <w:tcBorders>
              <w:top w:val="nil"/>
              <w:left w:val="nil"/>
              <w:bottom w:val="single" w:sz="4" w:space="0" w:color="auto"/>
              <w:right w:val="single" w:sz="4" w:space="0" w:color="auto"/>
            </w:tcBorders>
            <w:shd w:val="clear" w:color="auto" w:fill="C6EFCE"/>
            <w:noWrap/>
            <w:vAlign w:val="center"/>
            <w:hideMark/>
          </w:tcPr>
          <w:p w14:paraId="027C5466" w14:textId="77777777"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1320" w:type="dxa"/>
            <w:tcBorders>
              <w:top w:val="nil"/>
              <w:left w:val="nil"/>
              <w:bottom w:val="single" w:sz="4" w:space="0" w:color="auto"/>
              <w:right w:val="single" w:sz="4" w:space="0" w:color="auto"/>
            </w:tcBorders>
            <w:shd w:val="clear" w:color="auto" w:fill="C6EFCE"/>
            <w:noWrap/>
            <w:vAlign w:val="center"/>
            <w:hideMark/>
          </w:tcPr>
          <w:p w14:paraId="76BE8B51"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Number of created or renovated childcare places</w:t>
            </w:r>
          </w:p>
        </w:tc>
        <w:tc>
          <w:tcPr>
            <w:tcW w:w="1080" w:type="dxa"/>
            <w:tcBorders>
              <w:top w:val="nil"/>
              <w:left w:val="nil"/>
              <w:bottom w:val="single" w:sz="4" w:space="0" w:color="auto"/>
              <w:right w:val="single" w:sz="4" w:space="0" w:color="auto"/>
            </w:tcBorders>
            <w:shd w:val="clear" w:color="auto" w:fill="C6EFCE"/>
            <w:noWrap/>
            <w:vAlign w:val="center"/>
            <w:hideMark/>
          </w:tcPr>
          <w:p w14:paraId="06F3A076" w14:textId="77777777" w:rsidR="006A41D9" w:rsidRPr="001961AA" w:rsidRDefault="006A41D9" w:rsidP="009A22C6">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0</w:t>
            </w:r>
          </w:p>
        </w:tc>
        <w:tc>
          <w:tcPr>
            <w:tcW w:w="720" w:type="dxa"/>
            <w:tcBorders>
              <w:top w:val="nil"/>
              <w:left w:val="nil"/>
              <w:bottom w:val="single" w:sz="4" w:space="0" w:color="auto"/>
              <w:right w:val="single" w:sz="4" w:space="0" w:color="auto"/>
            </w:tcBorders>
            <w:shd w:val="clear" w:color="auto" w:fill="C6EFCE"/>
            <w:noWrap/>
            <w:vAlign w:val="center"/>
            <w:hideMark/>
          </w:tcPr>
          <w:p w14:paraId="4B5F86FD" w14:textId="483BDAC6" w:rsidR="006A41D9" w:rsidRPr="001961AA" w:rsidRDefault="006A41D9" w:rsidP="009A22C6">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1 700</w:t>
            </w:r>
          </w:p>
        </w:tc>
        <w:tc>
          <w:tcPr>
            <w:tcW w:w="1080" w:type="dxa"/>
            <w:tcBorders>
              <w:top w:val="nil"/>
              <w:left w:val="nil"/>
              <w:bottom w:val="single" w:sz="4" w:space="0" w:color="auto"/>
              <w:right w:val="single" w:sz="4" w:space="0" w:color="auto"/>
            </w:tcBorders>
            <w:shd w:val="clear" w:color="auto" w:fill="C6EFCE"/>
            <w:noWrap/>
            <w:vAlign w:val="center"/>
            <w:hideMark/>
          </w:tcPr>
          <w:p w14:paraId="2ACA73A0"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Q3</w:t>
            </w:r>
          </w:p>
        </w:tc>
        <w:tc>
          <w:tcPr>
            <w:tcW w:w="720" w:type="dxa"/>
            <w:tcBorders>
              <w:top w:val="nil"/>
              <w:left w:val="nil"/>
              <w:bottom w:val="single" w:sz="4" w:space="0" w:color="auto"/>
              <w:right w:val="single" w:sz="4" w:space="0" w:color="auto"/>
            </w:tcBorders>
            <w:shd w:val="clear" w:color="auto" w:fill="C6EFCE"/>
            <w:noWrap/>
            <w:vAlign w:val="center"/>
            <w:hideMark/>
          </w:tcPr>
          <w:p w14:paraId="33C28131"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2026</w:t>
            </w:r>
          </w:p>
        </w:tc>
        <w:tc>
          <w:tcPr>
            <w:tcW w:w="3747" w:type="dxa"/>
            <w:tcBorders>
              <w:top w:val="nil"/>
              <w:left w:val="nil"/>
              <w:bottom w:val="single" w:sz="4" w:space="0" w:color="auto"/>
              <w:right w:val="single" w:sz="4" w:space="0" w:color="auto"/>
            </w:tcBorders>
            <w:shd w:val="clear" w:color="auto" w:fill="C6EFCE"/>
            <w:noWrap/>
            <w:vAlign w:val="center"/>
            <w:hideMark/>
          </w:tcPr>
          <w:p w14:paraId="47E2F3E4" w14:textId="24B7F5CB"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1 700 new childcare places have been created as part of the early childcare infrastructure in Wallonia. New childcare places include both places that are created as a result of the construction of new buildings or of the renovation of existing buildings.</w:t>
            </w:r>
          </w:p>
        </w:tc>
      </w:tr>
    </w:tbl>
    <w:p w14:paraId="411474AC" w14:textId="77777777" w:rsidR="006A41D9" w:rsidRPr="001961AA" w:rsidRDefault="006A41D9" w:rsidP="00BD6DD1">
      <w:pPr>
        <w:pStyle w:val="Text1"/>
        <w:ind w:left="709"/>
        <w:rPr>
          <w:noProof/>
          <w:szCs w:val="24"/>
          <w:lang w:val="en-GB"/>
        </w:rPr>
      </w:pPr>
    </w:p>
    <w:p w14:paraId="48CCCC6A" w14:textId="77777777" w:rsidR="006A41D9" w:rsidRPr="001961AA" w:rsidRDefault="006A41D9" w:rsidP="00BD6DD1">
      <w:pPr>
        <w:ind w:left="709"/>
        <w:rPr>
          <w:rFonts w:ascii="Times New Roman" w:hAnsi="Times New Roman" w:cs="Times New Roman"/>
          <w:noProof/>
          <w:lang w:val="en-GB"/>
        </w:rPr>
        <w:sectPr w:rsidR="006A41D9" w:rsidRPr="001961AA" w:rsidSect="007F56C3">
          <w:headerReference w:type="even" r:id="rId180"/>
          <w:headerReference w:type="default" r:id="rId181"/>
          <w:footerReference w:type="even" r:id="rId182"/>
          <w:footerReference w:type="default" r:id="rId183"/>
          <w:headerReference w:type="first" r:id="rId184"/>
          <w:footerReference w:type="first" r:id="rId185"/>
          <w:pgSz w:w="16839" w:h="11907" w:orient="landscape"/>
          <w:pgMar w:top="1134" w:right="1134" w:bottom="1134" w:left="1134" w:header="567" w:footer="567" w:gutter="0"/>
          <w:cols w:space="720"/>
          <w:docGrid w:linePitch="360"/>
        </w:sectPr>
      </w:pPr>
    </w:p>
    <w:p w14:paraId="73CAE7DB" w14:textId="64707A78" w:rsidR="006A41D9" w:rsidRPr="001961AA" w:rsidRDefault="006A41D9" w:rsidP="00495927">
      <w:pPr>
        <w:pStyle w:val="ManualHeading1"/>
        <w:spacing w:before="120"/>
        <w:ind w:left="0" w:firstLine="0"/>
        <w:rPr>
          <w:noProof/>
          <w:szCs w:val="24"/>
          <w:lang w:val="en-GB"/>
        </w:rPr>
      </w:pPr>
      <w:r w:rsidRPr="001961AA">
        <w:rPr>
          <w:noProof/>
          <w:lang w:val="en-GB"/>
        </w:rPr>
        <w:t>M. COMPONENT 4.4: End of career and pensions</w:t>
      </w:r>
    </w:p>
    <w:p w14:paraId="4A2DA53C" w14:textId="44161C3F" w:rsidR="006A41D9" w:rsidRPr="001961AA" w:rsidRDefault="006A41D9" w:rsidP="00BD6DD1">
      <w:pPr>
        <w:spacing w:before="120" w:after="120" w:line="240" w:lineRule="auto"/>
        <w:jc w:val="both"/>
        <w:rPr>
          <w:rFonts w:ascii="Times New Roman" w:hAnsi="Times New Roman" w:cs="Times New Roman"/>
          <w:noProof/>
          <w:sz w:val="24"/>
          <w:szCs w:val="24"/>
          <w:lang w:val="en-GB"/>
        </w:rPr>
      </w:pPr>
      <w:r w:rsidRPr="001961AA">
        <w:rPr>
          <w:rFonts w:ascii="Times New Roman" w:hAnsi="Times New Roman"/>
          <w:noProof/>
          <w:sz w:val="24"/>
          <w:lang w:val="en-GB"/>
        </w:rPr>
        <w:t>This component of the Belgian recovery and resilience plan aims at providing a policy response to the challenges of the pension system in terms of social adequacy and fiscal sustainability.</w:t>
      </w:r>
    </w:p>
    <w:p w14:paraId="5428BF32" w14:textId="77777777" w:rsidR="006A41D9" w:rsidRPr="001961AA" w:rsidRDefault="006A41D9" w:rsidP="00BD6DD1">
      <w:pPr>
        <w:spacing w:before="120" w:after="120" w:line="240" w:lineRule="auto"/>
        <w:jc w:val="both"/>
        <w:rPr>
          <w:rFonts w:ascii="Times New Roman" w:hAnsi="Times New Roman" w:cs="Times New Roman"/>
          <w:noProof/>
          <w:sz w:val="24"/>
          <w:szCs w:val="24"/>
          <w:lang w:val="en-GB"/>
        </w:rPr>
      </w:pPr>
      <w:r w:rsidRPr="001961AA">
        <w:rPr>
          <w:rFonts w:ascii="Times New Roman" w:hAnsi="Times New Roman"/>
          <w:noProof/>
          <w:sz w:val="24"/>
          <w:lang w:val="en-GB"/>
        </w:rPr>
        <w:t>The component contributes to addressing Country Specific Recommendation 2019.1 to ensure the fiscal sustainability of the pension system.</w:t>
      </w:r>
    </w:p>
    <w:p w14:paraId="3A3BB72F" w14:textId="77777777" w:rsidR="006A41D9" w:rsidRPr="001961AA" w:rsidRDefault="006A41D9" w:rsidP="00BD6DD1">
      <w:pPr>
        <w:spacing w:before="120" w:after="120" w:line="240" w:lineRule="auto"/>
        <w:jc w:val="both"/>
        <w:rPr>
          <w:rFonts w:ascii="Times New Roman" w:hAnsi="Times New Roman" w:cs="Times New Roman"/>
          <w:b/>
          <w:bCs/>
          <w:noProof/>
          <w:sz w:val="24"/>
          <w:szCs w:val="24"/>
          <w:u w:val="single"/>
          <w:lang w:val="en-GB"/>
        </w:rPr>
      </w:pPr>
      <w:r w:rsidRPr="001961AA">
        <w:rPr>
          <w:rFonts w:ascii="Times New Roman" w:hAnsi="Times New Roman"/>
          <w:b/>
          <w:noProof/>
          <w:sz w:val="24"/>
          <w:u w:val="single"/>
          <w:lang w:val="en-GB"/>
        </w:rPr>
        <w:t xml:space="preserve">M.1. </w:t>
      </w:r>
      <w:r w:rsidRPr="001961AA">
        <w:rPr>
          <w:noProof/>
          <w:lang w:val="en-GB"/>
        </w:rPr>
        <w:tab/>
      </w:r>
      <w:r w:rsidRPr="001961AA">
        <w:rPr>
          <w:rFonts w:ascii="Times New Roman" w:hAnsi="Times New Roman"/>
          <w:b/>
          <w:noProof/>
          <w:sz w:val="24"/>
          <w:u w:val="single"/>
          <w:lang w:val="en-GB"/>
        </w:rPr>
        <w:t>Description of the reforms and investments for non-repayable financial support</w:t>
      </w:r>
    </w:p>
    <w:p w14:paraId="1FEF4DA2" w14:textId="77777777" w:rsidR="006A41D9" w:rsidRPr="001961AA" w:rsidRDefault="006A41D9" w:rsidP="00BD6DD1">
      <w:pPr>
        <w:spacing w:before="120" w:after="120" w:line="240" w:lineRule="auto"/>
        <w:jc w:val="both"/>
        <w:rPr>
          <w:rFonts w:ascii="Times New Roman" w:hAnsi="Times New Roman" w:cs="Times New Roman"/>
          <w:noProof/>
          <w:sz w:val="24"/>
          <w:szCs w:val="24"/>
          <w:u w:val="single"/>
          <w:lang w:val="en-GB"/>
        </w:rPr>
      </w:pPr>
      <w:r w:rsidRPr="001961AA">
        <w:rPr>
          <w:rFonts w:ascii="Times New Roman" w:hAnsi="Times New Roman"/>
          <w:noProof/>
          <w:sz w:val="24"/>
          <w:u w:val="single"/>
          <w:lang w:val="en-GB"/>
        </w:rPr>
        <w:t>Reform R-4.07: ‘End of career and pensions’ of the Federal State</w:t>
      </w:r>
    </w:p>
    <w:p w14:paraId="3A82053C" w14:textId="77777777" w:rsidR="006A41D9" w:rsidRPr="001961AA" w:rsidRDefault="006A41D9" w:rsidP="00BD6DD1">
      <w:pPr>
        <w:spacing w:before="120" w:after="120" w:line="240" w:lineRule="auto"/>
        <w:jc w:val="both"/>
        <w:rPr>
          <w:rFonts w:ascii="Times New Roman" w:hAnsi="Times New Roman" w:cs="Times New Roman"/>
          <w:noProof/>
          <w:sz w:val="24"/>
          <w:szCs w:val="24"/>
          <w:lang w:val="en-GB"/>
        </w:rPr>
      </w:pPr>
      <w:r w:rsidRPr="001961AA">
        <w:rPr>
          <w:rFonts w:ascii="Times New Roman" w:hAnsi="Times New Roman"/>
          <w:noProof/>
          <w:sz w:val="24"/>
          <w:lang w:val="en-GB"/>
        </w:rPr>
        <w:t>This reform aims at (1) making the pension system future-proof, (2) improving the financial sustainability of the social security system and of public finances, (3) increase the solidarity role of the pension system, (4) strengthen the ‘insurance principle’, (5) introducing a ‘gender test’, (6) ensuring the convergence between and within different pension systems, (7) improving the efficiency of the administrative services dealing with pensions. The law to reform the pension regime shall be adopted by 30 June 2024 and enter into force on 1 January 2025, it being understood that it may provide for reasonable transition periods for certain provisions.</w:t>
      </w:r>
    </w:p>
    <w:p w14:paraId="038083B4" w14:textId="77777777" w:rsidR="0071084B" w:rsidRPr="001961AA" w:rsidRDefault="006A41D9" w:rsidP="00BD6DD1">
      <w:pPr>
        <w:spacing w:before="120" w:after="120" w:line="240" w:lineRule="auto"/>
        <w:jc w:val="both"/>
        <w:rPr>
          <w:rFonts w:ascii="Times New Roman" w:hAnsi="Times New Roman" w:cs="Times New Roman"/>
          <w:noProof/>
          <w:sz w:val="24"/>
          <w:szCs w:val="24"/>
          <w:lang w:val="en-GB"/>
        </w:rPr>
        <w:sectPr w:rsidR="0071084B" w:rsidRPr="001961AA" w:rsidSect="0071084B">
          <w:headerReference w:type="even" r:id="rId186"/>
          <w:headerReference w:type="default" r:id="rId187"/>
          <w:footerReference w:type="even" r:id="rId188"/>
          <w:footerReference w:type="default" r:id="rId189"/>
          <w:headerReference w:type="first" r:id="rId190"/>
          <w:footerReference w:type="first" r:id="rId191"/>
          <w:pgSz w:w="11907" w:h="16839"/>
          <w:pgMar w:top="1134" w:right="1134" w:bottom="1134" w:left="1134" w:header="567" w:footer="567" w:gutter="0"/>
          <w:cols w:space="720"/>
          <w:docGrid w:linePitch="360"/>
        </w:sectPr>
      </w:pPr>
      <w:r w:rsidRPr="001961AA">
        <w:rPr>
          <w:rFonts w:ascii="Times New Roman" w:hAnsi="Times New Roman"/>
          <w:noProof/>
          <w:sz w:val="24"/>
          <w:lang w:val="en-GB"/>
        </w:rPr>
        <w:t>To involve stakeholders, the federal government plans to organise a conference on employment in 2021, which shall focus on “career ends” and employment of older workers. Based on the conclusions of this conference, an action plan with proposals for concrete measures shall be put forward to the federal government.</w:t>
      </w:r>
    </w:p>
    <w:p w14:paraId="59EA79B2" w14:textId="3719EBB6" w:rsidR="006A41D9" w:rsidRPr="001961AA" w:rsidRDefault="0071084B" w:rsidP="00BD6DD1">
      <w:pPr>
        <w:pStyle w:val="Text1"/>
        <w:ind w:left="0"/>
        <w:rPr>
          <w:b/>
          <w:bCs/>
          <w:noProof/>
          <w:szCs w:val="24"/>
          <w:u w:val="single"/>
          <w:lang w:val="en-GB"/>
        </w:rPr>
      </w:pPr>
      <w:r w:rsidRPr="001961AA">
        <w:rPr>
          <w:b/>
          <w:noProof/>
          <w:u w:val="single"/>
          <w:lang w:val="en-GB"/>
        </w:rPr>
        <w:t xml:space="preserve">M.2. </w:t>
      </w:r>
      <w:r w:rsidRPr="001961AA">
        <w:rPr>
          <w:noProof/>
          <w:lang w:val="en-GB"/>
        </w:rPr>
        <w:tab/>
      </w:r>
      <w:r w:rsidRPr="001961AA">
        <w:rPr>
          <w:b/>
          <w:noProof/>
          <w:u w:val="single"/>
          <w:lang w:val="en-GB"/>
        </w:rPr>
        <w:t>Milestones, targets, indicators, and timetable for monitoring and implementation for non-repayable financial support</w:t>
      </w:r>
    </w:p>
    <w:tbl>
      <w:tblPr>
        <w:tblW w:w="15502" w:type="dxa"/>
        <w:jc w:val="center"/>
        <w:tblLayout w:type="fixed"/>
        <w:tblLook w:val="04A0" w:firstRow="1" w:lastRow="0" w:firstColumn="1" w:lastColumn="0" w:noHBand="0" w:noVBand="1"/>
      </w:tblPr>
      <w:tblGrid>
        <w:gridCol w:w="704"/>
        <w:gridCol w:w="1452"/>
        <w:gridCol w:w="1276"/>
        <w:gridCol w:w="1417"/>
        <w:gridCol w:w="1559"/>
        <w:gridCol w:w="1134"/>
        <w:gridCol w:w="1134"/>
        <w:gridCol w:w="709"/>
        <w:gridCol w:w="992"/>
        <w:gridCol w:w="993"/>
        <w:gridCol w:w="4132"/>
      </w:tblGrid>
      <w:tr w:rsidR="00324CC6" w:rsidRPr="001961AA" w14:paraId="502DCAE2" w14:textId="77777777" w:rsidTr="00C92133">
        <w:trPr>
          <w:trHeight w:val="927"/>
          <w:tblHeader/>
          <w:jc w:val="center"/>
        </w:trPr>
        <w:tc>
          <w:tcPr>
            <w:tcW w:w="704"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3B3B705D" w14:textId="419DE07E" w:rsidR="006A41D9" w:rsidRPr="001961AA" w:rsidRDefault="006A41D9" w:rsidP="00BD6DD1">
            <w:pPr>
              <w:spacing w:after="0"/>
              <w:jc w:val="center"/>
              <w:rPr>
                <w:rFonts w:ascii="Times New Roman" w:eastAsia="Times New Roman" w:hAnsi="Times New Roman" w:cs="Times New Roman"/>
                <w:b/>
                <w:bCs/>
                <w:noProof/>
                <w:lang w:val="en-GB"/>
              </w:rPr>
            </w:pPr>
            <w:r w:rsidRPr="001961AA">
              <w:rPr>
                <w:rFonts w:ascii="Times New Roman" w:hAnsi="Times New Roman"/>
                <w:b/>
                <w:noProof/>
                <w:lang w:val="en-GB"/>
              </w:rPr>
              <w:t>Seq.Nb.</w:t>
            </w:r>
          </w:p>
        </w:tc>
        <w:tc>
          <w:tcPr>
            <w:tcW w:w="1452"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72527FEA" w14:textId="77777777" w:rsidR="006A41D9" w:rsidRPr="001961AA" w:rsidRDefault="006A41D9" w:rsidP="00BD6DD1">
            <w:pPr>
              <w:spacing w:after="0"/>
              <w:jc w:val="center"/>
              <w:rPr>
                <w:rFonts w:ascii="Times New Roman" w:eastAsia="Times New Roman" w:hAnsi="Times New Roman" w:cs="Times New Roman"/>
                <w:b/>
                <w:bCs/>
                <w:noProof/>
                <w:lang w:val="en-GB"/>
              </w:rPr>
            </w:pPr>
            <w:r w:rsidRPr="001961AA">
              <w:rPr>
                <w:rFonts w:ascii="Times New Roman" w:hAnsi="Times New Roman"/>
                <w:b/>
                <w:noProof/>
                <w:lang w:val="en-GB"/>
              </w:rPr>
              <w:t>Related Measure (Reform or Investment)</w:t>
            </w:r>
          </w:p>
        </w:tc>
        <w:tc>
          <w:tcPr>
            <w:tcW w:w="1276"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620235EF" w14:textId="77777777" w:rsidR="006A41D9" w:rsidRPr="001961AA" w:rsidRDefault="006A41D9" w:rsidP="00BD6DD1">
            <w:pPr>
              <w:spacing w:after="0"/>
              <w:jc w:val="center"/>
              <w:rPr>
                <w:rFonts w:ascii="Times New Roman" w:eastAsia="Times New Roman" w:hAnsi="Times New Roman" w:cs="Times New Roman"/>
                <w:b/>
                <w:bCs/>
                <w:noProof/>
                <w:lang w:val="en-GB"/>
              </w:rPr>
            </w:pPr>
            <w:r w:rsidRPr="001961AA">
              <w:rPr>
                <w:rFonts w:ascii="Times New Roman" w:hAnsi="Times New Roman"/>
                <w:b/>
                <w:noProof/>
                <w:lang w:val="en-GB"/>
              </w:rPr>
              <w:t>Milestone / Target</w:t>
            </w:r>
          </w:p>
        </w:tc>
        <w:tc>
          <w:tcPr>
            <w:tcW w:w="1417"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14:paraId="09DBEA78" w14:textId="77777777" w:rsidR="006A41D9" w:rsidRPr="001961AA" w:rsidRDefault="006A41D9" w:rsidP="00BD6DD1">
            <w:pPr>
              <w:spacing w:after="0"/>
              <w:jc w:val="center"/>
              <w:rPr>
                <w:rFonts w:ascii="Times New Roman" w:eastAsia="Times New Roman" w:hAnsi="Times New Roman" w:cs="Times New Roman"/>
                <w:b/>
                <w:bCs/>
                <w:noProof/>
                <w:lang w:val="en-GB"/>
              </w:rPr>
            </w:pPr>
            <w:r w:rsidRPr="001961AA">
              <w:rPr>
                <w:rFonts w:ascii="Times New Roman" w:hAnsi="Times New Roman"/>
                <w:b/>
                <w:noProof/>
                <w:lang w:val="en-GB"/>
              </w:rPr>
              <w:t>Name</w:t>
            </w:r>
          </w:p>
        </w:tc>
        <w:tc>
          <w:tcPr>
            <w:tcW w:w="1559"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54BEAC7F" w14:textId="77777777" w:rsidR="006A41D9" w:rsidRPr="001961AA" w:rsidRDefault="006A41D9" w:rsidP="00BD6DD1">
            <w:pPr>
              <w:spacing w:after="0"/>
              <w:jc w:val="center"/>
              <w:rPr>
                <w:rFonts w:ascii="Times New Roman" w:eastAsia="Times New Roman" w:hAnsi="Times New Roman" w:cs="Times New Roman"/>
                <w:b/>
                <w:bCs/>
                <w:noProof/>
                <w:lang w:val="en-GB"/>
              </w:rPr>
            </w:pPr>
            <w:r w:rsidRPr="001961AA">
              <w:rPr>
                <w:rFonts w:ascii="Times New Roman" w:hAnsi="Times New Roman"/>
                <w:b/>
                <w:noProof/>
                <w:lang w:val="en-GB"/>
              </w:rPr>
              <w:t xml:space="preserve">Qualitative indicators </w:t>
            </w:r>
            <w:r w:rsidRPr="001961AA">
              <w:rPr>
                <w:noProof/>
                <w:lang w:val="en-GB"/>
              </w:rPr>
              <w:t xml:space="preserve"> </w:t>
            </w:r>
            <w:r w:rsidRPr="001961AA">
              <w:rPr>
                <w:noProof/>
                <w:lang w:val="en-GB"/>
              </w:rPr>
              <w:br/>
            </w:r>
            <w:r w:rsidRPr="001961AA">
              <w:rPr>
                <w:rFonts w:ascii="Times New Roman" w:hAnsi="Times New Roman"/>
                <w:b/>
                <w:noProof/>
                <w:lang w:val="en-GB"/>
              </w:rPr>
              <w:t>(for milestones)</w:t>
            </w:r>
          </w:p>
        </w:tc>
        <w:tc>
          <w:tcPr>
            <w:tcW w:w="2977" w:type="dxa"/>
            <w:gridSpan w:val="3"/>
            <w:tcBorders>
              <w:top w:val="single" w:sz="4" w:space="0" w:color="auto"/>
              <w:left w:val="nil"/>
              <w:bottom w:val="single" w:sz="4" w:space="0" w:color="auto"/>
              <w:right w:val="single" w:sz="4" w:space="0" w:color="auto"/>
            </w:tcBorders>
            <w:shd w:val="clear" w:color="auto" w:fill="BDD7EE"/>
            <w:vAlign w:val="center"/>
            <w:hideMark/>
          </w:tcPr>
          <w:p w14:paraId="31EC791A" w14:textId="77777777" w:rsidR="006A41D9" w:rsidRPr="001961AA" w:rsidRDefault="006A41D9" w:rsidP="00BD6DD1">
            <w:pPr>
              <w:spacing w:after="0"/>
              <w:jc w:val="center"/>
              <w:rPr>
                <w:rFonts w:ascii="Times New Roman" w:eastAsia="Times New Roman" w:hAnsi="Times New Roman" w:cs="Times New Roman"/>
                <w:b/>
                <w:bCs/>
                <w:noProof/>
                <w:lang w:val="en-GB"/>
              </w:rPr>
            </w:pPr>
            <w:r w:rsidRPr="001961AA">
              <w:rPr>
                <w:rFonts w:ascii="Times New Roman" w:hAnsi="Times New Roman"/>
                <w:b/>
                <w:noProof/>
                <w:lang w:val="en-GB"/>
              </w:rPr>
              <w:t xml:space="preserve">Quantitative indicators </w:t>
            </w:r>
            <w:r w:rsidRPr="001961AA">
              <w:rPr>
                <w:noProof/>
                <w:lang w:val="en-GB"/>
              </w:rPr>
              <w:t xml:space="preserve"> </w:t>
            </w:r>
            <w:r w:rsidRPr="001961AA">
              <w:rPr>
                <w:noProof/>
                <w:lang w:val="en-GB"/>
              </w:rPr>
              <w:br/>
            </w:r>
            <w:r w:rsidRPr="001961AA">
              <w:rPr>
                <w:rFonts w:ascii="Times New Roman" w:hAnsi="Times New Roman"/>
                <w:b/>
                <w:noProof/>
                <w:lang w:val="en-GB"/>
              </w:rPr>
              <w:t>(for targets)</w:t>
            </w:r>
          </w:p>
        </w:tc>
        <w:tc>
          <w:tcPr>
            <w:tcW w:w="1985" w:type="dxa"/>
            <w:gridSpan w:val="2"/>
            <w:tcBorders>
              <w:top w:val="single" w:sz="4" w:space="0" w:color="auto"/>
              <w:left w:val="nil"/>
              <w:bottom w:val="single" w:sz="4" w:space="0" w:color="auto"/>
              <w:right w:val="single" w:sz="4" w:space="0" w:color="auto"/>
            </w:tcBorders>
            <w:shd w:val="clear" w:color="auto" w:fill="BDD7EE"/>
            <w:vAlign w:val="center"/>
            <w:hideMark/>
          </w:tcPr>
          <w:p w14:paraId="57EEA2AD" w14:textId="77777777" w:rsidR="006A41D9" w:rsidRPr="001961AA" w:rsidRDefault="006A41D9" w:rsidP="00BD6DD1">
            <w:pPr>
              <w:spacing w:after="0"/>
              <w:jc w:val="center"/>
              <w:rPr>
                <w:rFonts w:ascii="Times New Roman" w:eastAsia="Times New Roman" w:hAnsi="Times New Roman" w:cs="Times New Roman"/>
                <w:b/>
                <w:bCs/>
                <w:noProof/>
                <w:lang w:val="en-GB"/>
              </w:rPr>
            </w:pPr>
            <w:r w:rsidRPr="001961AA">
              <w:rPr>
                <w:rFonts w:ascii="Times New Roman" w:hAnsi="Times New Roman"/>
                <w:b/>
                <w:noProof/>
                <w:lang w:val="en-GB"/>
              </w:rPr>
              <w:t xml:space="preserve">Indicative timeline for completion </w:t>
            </w:r>
          </w:p>
        </w:tc>
        <w:tc>
          <w:tcPr>
            <w:tcW w:w="4132"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78E3A494" w14:textId="77777777" w:rsidR="006A41D9" w:rsidRPr="001961AA" w:rsidRDefault="006A41D9" w:rsidP="00BD6DD1">
            <w:pPr>
              <w:spacing w:after="0"/>
              <w:jc w:val="center"/>
              <w:rPr>
                <w:rFonts w:ascii="Times New Roman" w:eastAsia="Times New Roman" w:hAnsi="Times New Roman" w:cs="Times New Roman"/>
                <w:b/>
                <w:bCs/>
                <w:noProof/>
                <w:lang w:val="en-GB"/>
              </w:rPr>
            </w:pPr>
            <w:r w:rsidRPr="001961AA">
              <w:rPr>
                <w:rFonts w:ascii="Times New Roman" w:hAnsi="Times New Roman"/>
                <w:b/>
                <w:noProof/>
                <w:lang w:val="en-GB"/>
              </w:rPr>
              <w:t>Description of each milestone and target</w:t>
            </w:r>
          </w:p>
        </w:tc>
      </w:tr>
      <w:tr w:rsidR="00324CC6" w:rsidRPr="001961AA" w14:paraId="0B05782E" w14:textId="77777777" w:rsidTr="00C92133">
        <w:trPr>
          <w:trHeight w:val="1013"/>
          <w:jc w:val="center"/>
        </w:trPr>
        <w:tc>
          <w:tcPr>
            <w:tcW w:w="704" w:type="dxa"/>
            <w:vMerge/>
            <w:tcBorders>
              <w:top w:val="single" w:sz="4" w:space="0" w:color="auto"/>
              <w:left w:val="single" w:sz="4" w:space="0" w:color="auto"/>
              <w:bottom w:val="single" w:sz="4" w:space="0" w:color="000000"/>
              <w:right w:val="single" w:sz="4" w:space="0" w:color="auto"/>
            </w:tcBorders>
            <w:vAlign w:val="center"/>
            <w:hideMark/>
          </w:tcPr>
          <w:p w14:paraId="07CD2988" w14:textId="77777777" w:rsidR="006A41D9" w:rsidRPr="001961AA" w:rsidRDefault="006A41D9" w:rsidP="00BD6DD1">
            <w:pPr>
              <w:spacing w:after="0"/>
              <w:rPr>
                <w:rFonts w:ascii="Times New Roman" w:eastAsia="Times New Roman" w:hAnsi="Times New Roman" w:cs="Times New Roman"/>
                <w:b/>
                <w:bCs/>
                <w:noProof/>
                <w:szCs w:val="24"/>
                <w:lang w:val="en-GB" w:eastAsia="en-GB"/>
              </w:rPr>
            </w:pPr>
          </w:p>
        </w:tc>
        <w:tc>
          <w:tcPr>
            <w:tcW w:w="1452" w:type="dxa"/>
            <w:vMerge/>
            <w:tcBorders>
              <w:top w:val="single" w:sz="4" w:space="0" w:color="auto"/>
              <w:left w:val="single" w:sz="4" w:space="0" w:color="auto"/>
              <w:bottom w:val="single" w:sz="4" w:space="0" w:color="000000"/>
              <w:right w:val="single" w:sz="4" w:space="0" w:color="auto"/>
            </w:tcBorders>
            <w:vAlign w:val="center"/>
            <w:hideMark/>
          </w:tcPr>
          <w:p w14:paraId="64BEE952" w14:textId="77777777" w:rsidR="006A41D9" w:rsidRPr="001961AA" w:rsidRDefault="006A41D9" w:rsidP="00BD6DD1">
            <w:pPr>
              <w:spacing w:after="0"/>
              <w:rPr>
                <w:rFonts w:ascii="Times New Roman" w:eastAsia="Times New Roman" w:hAnsi="Times New Roman" w:cs="Times New Roman"/>
                <w:b/>
                <w:bCs/>
                <w:noProof/>
                <w:szCs w:val="24"/>
                <w:lang w:val="en-GB" w:eastAsia="en-GB"/>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0B09E15C" w14:textId="77777777" w:rsidR="006A41D9" w:rsidRPr="001961AA" w:rsidRDefault="006A41D9" w:rsidP="00BD6DD1">
            <w:pPr>
              <w:spacing w:after="0"/>
              <w:rPr>
                <w:rFonts w:ascii="Times New Roman" w:eastAsia="Times New Roman" w:hAnsi="Times New Roman" w:cs="Times New Roman"/>
                <w:b/>
                <w:bCs/>
                <w:noProof/>
                <w:szCs w:val="24"/>
                <w:lang w:val="en-GB" w:eastAsia="en-GB"/>
              </w:rPr>
            </w:pPr>
          </w:p>
        </w:tc>
        <w:tc>
          <w:tcPr>
            <w:tcW w:w="1417" w:type="dxa"/>
            <w:vMerge/>
            <w:tcBorders>
              <w:top w:val="single" w:sz="4" w:space="0" w:color="auto"/>
              <w:left w:val="nil"/>
              <w:bottom w:val="single" w:sz="4" w:space="0" w:color="000000"/>
              <w:right w:val="single" w:sz="4" w:space="0" w:color="auto"/>
            </w:tcBorders>
            <w:vAlign w:val="center"/>
            <w:hideMark/>
          </w:tcPr>
          <w:p w14:paraId="15172F7C" w14:textId="77777777" w:rsidR="006A41D9" w:rsidRPr="001961AA" w:rsidRDefault="006A41D9" w:rsidP="00BD6DD1">
            <w:pPr>
              <w:spacing w:after="0"/>
              <w:rPr>
                <w:rFonts w:ascii="Times New Roman" w:eastAsia="Times New Roman" w:hAnsi="Times New Roman" w:cs="Times New Roman"/>
                <w:b/>
                <w:bCs/>
                <w:noProof/>
                <w:szCs w:val="24"/>
                <w:lang w:val="en-GB" w:eastAsia="en-GB"/>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35857034" w14:textId="77777777" w:rsidR="006A41D9" w:rsidRPr="001961AA" w:rsidRDefault="006A41D9" w:rsidP="00BD6DD1">
            <w:pPr>
              <w:spacing w:after="0"/>
              <w:rPr>
                <w:rFonts w:ascii="Times New Roman" w:eastAsia="Times New Roman" w:hAnsi="Times New Roman" w:cs="Times New Roman"/>
                <w:b/>
                <w:bCs/>
                <w:noProof/>
                <w:szCs w:val="24"/>
                <w:lang w:val="en-GB" w:eastAsia="en-GB"/>
              </w:rPr>
            </w:pPr>
          </w:p>
        </w:tc>
        <w:tc>
          <w:tcPr>
            <w:tcW w:w="1134" w:type="dxa"/>
            <w:tcBorders>
              <w:top w:val="nil"/>
              <w:left w:val="nil"/>
              <w:bottom w:val="single" w:sz="4" w:space="0" w:color="auto"/>
              <w:right w:val="single" w:sz="4" w:space="0" w:color="auto"/>
            </w:tcBorders>
            <w:shd w:val="clear" w:color="auto" w:fill="BDD7EE"/>
            <w:vAlign w:val="center"/>
            <w:hideMark/>
          </w:tcPr>
          <w:p w14:paraId="5B2E51A8" w14:textId="77777777" w:rsidR="006A41D9" w:rsidRPr="001961AA" w:rsidRDefault="006A41D9" w:rsidP="00BD6DD1">
            <w:pPr>
              <w:spacing w:after="0"/>
              <w:jc w:val="center"/>
              <w:rPr>
                <w:rFonts w:ascii="Times New Roman" w:eastAsia="Times New Roman" w:hAnsi="Times New Roman" w:cs="Times New Roman"/>
                <w:b/>
                <w:noProof/>
                <w:lang w:val="en-GB"/>
              </w:rPr>
            </w:pPr>
            <w:r w:rsidRPr="001961AA">
              <w:rPr>
                <w:rFonts w:ascii="Times New Roman" w:hAnsi="Times New Roman"/>
                <w:b/>
                <w:noProof/>
                <w:lang w:val="en-GB"/>
              </w:rPr>
              <w:t>Unit of measure</w:t>
            </w:r>
          </w:p>
        </w:tc>
        <w:tc>
          <w:tcPr>
            <w:tcW w:w="1134" w:type="dxa"/>
            <w:tcBorders>
              <w:top w:val="nil"/>
              <w:left w:val="nil"/>
              <w:bottom w:val="single" w:sz="4" w:space="0" w:color="auto"/>
              <w:right w:val="single" w:sz="4" w:space="0" w:color="auto"/>
            </w:tcBorders>
            <w:shd w:val="clear" w:color="auto" w:fill="BDD7EE"/>
            <w:vAlign w:val="center"/>
            <w:hideMark/>
          </w:tcPr>
          <w:p w14:paraId="1AFF80E9" w14:textId="77777777" w:rsidR="006A41D9" w:rsidRPr="001961AA" w:rsidRDefault="006A41D9" w:rsidP="00BD6DD1">
            <w:pPr>
              <w:spacing w:after="0"/>
              <w:jc w:val="center"/>
              <w:rPr>
                <w:rFonts w:ascii="Times New Roman" w:eastAsia="Times New Roman" w:hAnsi="Times New Roman" w:cs="Times New Roman"/>
                <w:b/>
                <w:noProof/>
                <w:lang w:val="en-GB"/>
              </w:rPr>
            </w:pPr>
            <w:r w:rsidRPr="001961AA">
              <w:rPr>
                <w:rFonts w:ascii="Times New Roman" w:hAnsi="Times New Roman"/>
                <w:b/>
                <w:noProof/>
                <w:lang w:val="en-GB"/>
              </w:rPr>
              <w:t xml:space="preserve">Baseline </w:t>
            </w:r>
          </w:p>
        </w:tc>
        <w:tc>
          <w:tcPr>
            <w:tcW w:w="709" w:type="dxa"/>
            <w:tcBorders>
              <w:top w:val="nil"/>
              <w:left w:val="nil"/>
              <w:bottom w:val="single" w:sz="4" w:space="0" w:color="auto"/>
              <w:right w:val="single" w:sz="4" w:space="0" w:color="auto"/>
            </w:tcBorders>
            <w:shd w:val="clear" w:color="auto" w:fill="BDD7EE"/>
            <w:vAlign w:val="center"/>
            <w:hideMark/>
          </w:tcPr>
          <w:p w14:paraId="57012D2E" w14:textId="77777777" w:rsidR="006A41D9" w:rsidRPr="001961AA" w:rsidRDefault="006A41D9" w:rsidP="00BD6DD1">
            <w:pPr>
              <w:spacing w:after="0"/>
              <w:jc w:val="center"/>
              <w:rPr>
                <w:rFonts w:ascii="Times New Roman" w:eastAsia="Times New Roman" w:hAnsi="Times New Roman" w:cs="Times New Roman"/>
                <w:b/>
                <w:noProof/>
                <w:lang w:val="en-GB"/>
              </w:rPr>
            </w:pPr>
            <w:r w:rsidRPr="001961AA">
              <w:rPr>
                <w:rFonts w:ascii="Times New Roman" w:hAnsi="Times New Roman"/>
                <w:b/>
                <w:noProof/>
                <w:lang w:val="en-GB"/>
              </w:rPr>
              <w:t xml:space="preserve">Goal </w:t>
            </w:r>
          </w:p>
        </w:tc>
        <w:tc>
          <w:tcPr>
            <w:tcW w:w="992" w:type="dxa"/>
            <w:tcBorders>
              <w:top w:val="nil"/>
              <w:left w:val="nil"/>
              <w:bottom w:val="single" w:sz="4" w:space="0" w:color="auto"/>
              <w:right w:val="single" w:sz="4" w:space="0" w:color="auto"/>
            </w:tcBorders>
            <w:shd w:val="clear" w:color="auto" w:fill="BDD7EE"/>
            <w:vAlign w:val="center"/>
            <w:hideMark/>
          </w:tcPr>
          <w:p w14:paraId="632F22F0" w14:textId="77777777" w:rsidR="006A41D9" w:rsidRPr="001961AA" w:rsidRDefault="006A41D9" w:rsidP="00BD6DD1">
            <w:pPr>
              <w:spacing w:after="0"/>
              <w:jc w:val="center"/>
              <w:rPr>
                <w:rFonts w:ascii="Times New Roman" w:eastAsia="Times New Roman" w:hAnsi="Times New Roman" w:cs="Times New Roman"/>
                <w:b/>
                <w:noProof/>
                <w:lang w:val="en-GB"/>
              </w:rPr>
            </w:pPr>
            <w:r w:rsidRPr="001961AA">
              <w:rPr>
                <w:rFonts w:ascii="Times New Roman" w:hAnsi="Times New Roman"/>
                <w:b/>
                <w:noProof/>
                <w:lang w:val="en-GB"/>
              </w:rPr>
              <w:t>Quarter</w:t>
            </w:r>
          </w:p>
        </w:tc>
        <w:tc>
          <w:tcPr>
            <w:tcW w:w="993" w:type="dxa"/>
            <w:tcBorders>
              <w:top w:val="nil"/>
              <w:left w:val="nil"/>
              <w:bottom w:val="single" w:sz="4" w:space="0" w:color="auto"/>
              <w:right w:val="single" w:sz="4" w:space="0" w:color="auto"/>
            </w:tcBorders>
            <w:shd w:val="clear" w:color="auto" w:fill="BDD7EE"/>
            <w:vAlign w:val="center"/>
            <w:hideMark/>
          </w:tcPr>
          <w:p w14:paraId="225C3A3D" w14:textId="77777777" w:rsidR="006A41D9" w:rsidRPr="001961AA" w:rsidRDefault="006A41D9" w:rsidP="00BD6DD1">
            <w:pPr>
              <w:spacing w:after="0"/>
              <w:jc w:val="center"/>
              <w:rPr>
                <w:rFonts w:ascii="Times New Roman" w:eastAsia="Times New Roman" w:hAnsi="Times New Roman" w:cs="Times New Roman"/>
                <w:b/>
                <w:noProof/>
                <w:lang w:val="en-GB"/>
              </w:rPr>
            </w:pPr>
            <w:r w:rsidRPr="001961AA">
              <w:rPr>
                <w:rFonts w:ascii="Times New Roman" w:hAnsi="Times New Roman"/>
                <w:b/>
                <w:noProof/>
                <w:lang w:val="en-GB"/>
              </w:rPr>
              <w:t>Year</w:t>
            </w:r>
          </w:p>
        </w:tc>
        <w:tc>
          <w:tcPr>
            <w:tcW w:w="4132" w:type="dxa"/>
            <w:vMerge/>
            <w:tcBorders>
              <w:top w:val="single" w:sz="4" w:space="0" w:color="auto"/>
              <w:left w:val="single" w:sz="4" w:space="0" w:color="auto"/>
              <w:bottom w:val="single" w:sz="4" w:space="0" w:color="auto"/>
              <w:right w:val="single" w:sz="4" w:space="0" w:color="auto"/>
            </w:tcBorders>
            <w:vAlign w:val="center"/>
            <w:hideMark/>
          </w:tcPr>
          <w:p w14:paraId="473302F6" w14:textId="77777777" w:rsidR="006A41D9" w:rsidRPr="001961AA" w:rsidRDefault="006A41D9" w:rsidP="00BD6DD1">
            <w:pPr>
              <w:spacing w:after="0"/>
              <w:rPr>
                <w:rFonts w:ascii="Times New Roman" w:eastAsia="Times New Roman" w:hAnsi="Times New Roman" w:cs="Times New Roman"/>
                <w:b/>
                <w:bCs/>
                <w:noProof/>
                <w:szCs w:val="24"/>
                <w:lang w:val="en-GB" w:eastAsia="en-GB"/>
              </w:rPr>
            </w:pPr>
          </w:p>
        </w:tc>
      </w:tr>
      <w:tr w:rsidR="00324CC6" w:rsidRPr="001961AA" w14:paraId="1DAD9B5D" w14:textId="77777777" w:rsidTr="00C92133">
        <w:trPr>
          <w:trHeight w:val="309"/>
          <w:jc w:val="center"/>
        </w:trPr>
        <w:tc>
          <w:tcPr>
            <w:tcW w:w="704" w:type="dxa"/>
            <w:tcBorders>
              <w:top w:val="nil"/>
              <w:left w:val="single" w:sz="4" w:space="0" w:color="auto"/>
              <w:bottom w:val="single" w:sz="4" w:space="0" w:color="auto"/>
              <w:right w:val="single" w:sz="4" w:space="0" w:color="auto"/>
            </w:tcBorders>
            <w:shd w:val="clear" w:color="auto" w:fill="C6EFCE"/>
            <w:noWrap/>
            <w:vAlign w:val="center"/>
            <w:hideMark/>
          </w:tcPr>
          <w:p w14:paraId="6BE023E5"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156</w:t>
            </w:r>
          </w:p>
        </w:tc>
        <w:tc>
          <w:tcPr>
            <w:tcW w:w="1452" w:type="dxa"/>
            <w:tcBorders>
              <w:top w:val="nil"/>
              <w:left w:val="nil"/>
              <w:bottom w:val="single" w:sz="4" w:space="0" w:color="auto"/>
              <w:right w:val="single" w:sz="4" w:space="0" w:color="auto"/>
            </w:tcBorders>
            <w:shd w:val="clear" w:color="auto" w:fill="C6EFCE"/>
            <w:noWrap/>
            <w:vAlign w:val="center"/>
            <w:hideMark/>
          </w:tcPr>
          <w:p w14:paraId="10CE0852"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Pension and end of career (R-4.07)</w:t>
            </w:r>
          </w:p>
        </w:tc>
        <w:tc>
          <w:tcPr>
            <w:tcW w:w="1276" w:type="dxa"/>
            <w:tcBorders>
              <w:top w:val="nil"/>
              <w:left w:val="nil"/>
              <w:bottom w:val="single" w:sz="4" w:space="0" w:color="auto"/>
              <w:right w:val="single" w:sz="4" w:space="0" w:color="auto"/>
            </w:tcBorders>
            <w:shd w:val="clear" w:color="auto" w:fill="C6EFCE"/>
            <w:noWrap/>
            <w:vAlign w:val="center"/>
            <w:hideMark/>
          </w:tcPr>
          <w:p w14:paraId="4B21FCA4" w14:textId="7C2613E9"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M</w:t>
            </w:r>
          </w:p>
        </w:tc>
        <w:tc>
          <w:tcPr>
            <w:tcW w:w="1417" w:type="dxa"/>
            <w:tcBorders>
              <w:top w:val="nil"/>
              <w:left w:val="nil"/>
              <w:bottom w:val="single" w:sz="4" w:space="0" w:color="auto"/>
              <w:right w:val="single" w:sz="4" w:space="0" w:color="auto"/>
            </w:tcBorders>
            <w:shd w:val="clear" w:color="auto" w:fill="C6EFCE"/>
            <w:noWrap/>
            <w:vAlign w:val="center"/>
            <w:hideMark/>
          </w:tcPr>
          <w:p w14:paraId="71E60B06"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Action plan based on output of the employment conference</w:t>
            </w:r>
          </w:p>
        </w:tc>
        <w:tc>
          <w:tcPr>
            <w:tcW w:w="1559" w:type="dxa"/>
            <w:tcBorders>
              <w:top w:val="nil"/>
              <w:left w:val="nil"/>
              <w:bottom w:val="single" w:sz="4" w:space="0" w:color="auto"/>
              <w:right w:val="single" w:sz="4" w:space="0" w:color="auto"/>
            </w:tcBorders>
            <w:shd w:val="clear" w:color="auto" w:fill="C6EFCE"/>
            <w:noWrap/>
            <w:vAlign w:val="center"/>
            <w:hideMark/>
          </w:tcPr>
          <w:p w14:paraId="2141D127"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Livestreaming (and its recording) of employment conference debates and proposed action plan put on the agenda of the federal Council of Ministers</w:t>
            </w:r>
          </w:p>
        </w:tc>
        <w:tc>
          <w:tcPr>
            <w:tcW w:w="1134" w:type="dxa"/>
            <w:tcBorders>
              <w:top w:val="nil"/>
              <w:left w:val="nil"/>
              <w:bottom w:val="single" w:sz="4" w:space="0" w:color="auto"/>
              <w:right w:val="single" w:sz="4" w:space="0" w:color="auto"/>
            </w:tcBorders>
            <w:shd w:val="clear" w:color="auto" w:fill="C6EFCE"/>
            <w:noWrap/>
            <w:vAlign w:val="center"/>
          </w:tcPr>
          <w:p w14:paraId="75019543" w14:textId="77777777" w:rsidR="006A41D9" w:rsidRPr="001961AA" w:rsidRDefault="006A41D9" w:rsidP="00BD6DD1">
            <w:pPr>
              <w:spacing w:after="0"/>
              <w:jc w:val="center"/>
              <w:rPr>
                <w:rFonts w:ascii="Times New Roman" w:eastAsia="Times New Roman" w:hAnsi="Times New Roman" w:cs="Times New Roman"/>
                <w:noProof/>
                <w:color w:val="006100"/>
                <w:lang w:val="en-GB" w:eastAsia="en-GB"/>
              </w:rPr>
            </w:pPr>
          </w:p>
        </w:tc>
        <w:tc>
          <w:tcPr>
            <w:tcW w:w="1134" w:type="dxa"/>
            <w:tcBorders>
              <w:top w:val="nil"/>
              <w:left w:val="nil"/>
              <w:bottom w:val="single" w:sz="4" w:space="0" w:color="auto"/>
              <w:right w:val="single" w:sz="4" w:space="0" w:color="auto"/>
            </w:tcBorders>
            <w:shd w:val="clear" w:color="auto" w:fill="C6EFCE"/>
            <w:noWrap/>
            <w:vAlign w:val="center"/>
          </w:tcPr>
          <w:p w14:paraId="58C83236" w14:textId="77777777" w:rsidR="006A41D9" w:rsidRPr="001961AA" w:rsidRDefault="006A41D9" w:rsidP="00BD6DD1">
            <w:pPr>
              <w:spacing w:after="0"/>
              <w:jc w:val="center"/>
              <w:rPr>
                <w:rFonts w:ascii="Times New Roman" w:eastAsia="Times New Roman" w:hAnsi="Times New Roman" w:cs="Times New Roman"/>
                <w:noProof/>
                <w:color w:val="006100"/>
                <w:lang w:val="en-GB" w:eastAsia="en-GB"/>
              </w:rPr>
            </w:pPr>
          </w:p>
        </w:tc>
        <w:tc>
          <w:tcPr>
            <w:tcW w:w="709" w:type="dxa"/>
            <w:tcBorders>
              <w:top w:val="nil"/>
              <w:left w:val="nil"/>
              <w:bottom w:val="single" w:sz="4" w:space="0" w:color="auto"/>
              <w:right w:val="single" w:sz="4" w:space="0" w:color="auto"/>
            </w:tcBorders>
            <w:shd w:val="clear" w:color="auto" w:fill="C6EFCE"/>
            <w:noWrap/>
            <w:vAlign w:val="center"/>
          </w:tcPr>
          <w:p w14:paraId="133B19A9" w14:textId="77777777" w:rsidR="006A41D9" w:rsidRPr="001961AA" w:rsidRDefault="006A41D9" w:rsidP="00BD6DD1">
            <w:pPr>
              <w:spacing w:after="0"/>
              <w:jc w:val="center"/>
              <w:rPr>
                <w:rFonts w:ascii="Times New Roman" w:eastAsia="Times New Roman" w:hAnsi="Times New Roman" w:cs="Times New Roman"/>
                <w:noProof/>
                <w:color w:val="006100"/>
                <w:lang w:val="en-GB" w:eastAsia="en-GB"/>
              </w:rPr>
            </w:pPr>
          </w:p>
        </w:tc>
        <w:tc>
          <w:tcPr>
            <w:tcW w:w="992" w:type="dxa"/>
            <w:tcBorders>
              <w:top w:val="nil"/>
              <w:left w:val="nil"/>
              <w:bottom w:val="single" w:sz="4" w:space="0" w:color="auto"/>
              <w:right w:val="single" w:sz="4" w:space="0" w:color="auto"/>
            </w:tcBorders>
            <w:shd w:val="clear" w:color="auto" w:fill="C6EFCE"/>
            <w:noWrap/>
            <w:vAlign w:val="center"/>
            <w:hideMark/>
          </w:tcPr>
          <w:p w14:paraId="5D542C47"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Q2</w:t>
            </w:r>
          </w:p>
        </w:tc>
        <w:tc>
          <w:tcPr>
            <w:tcW w:w="993" w:type="dxa"/>
            <w:tcBorders>
              <w:top w:val="nil"/>
              <w:left w:val="nil"/>
              <w:bottom w:val="single" w:sz="4" w:space="0" w:color="auto"/>
              <w:right w:val="single" w:sz="4" w:space="0" w:color="auto"/>
            </w:tcBorders>
            <w:shd w:val="clear" w:color="auto" w:fill="C6EFCE"/>
            <w:noWrap/>
            <w:vAlign w:val="center"/>
            <w:hideMark/>
          </w:tcPr>
          <w:p w14:paraId="01338F5E"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2022</w:t>
            </w:r>
          </w:p>
        </w:tc>
        <w:tc>
          <w:tcPr>
            <w:tcW w:w="4132" w:type="dxa"/>
            <w:tcBorders>
              <w:top w:val="nil"/>
              <w:left w:val="nil"/>
              <w:bottom w:val="single" w:sz="4" w:space="0" w:color="auto"/>
              <w:right w:val="single" w:sz="4" w:space="0" w:color="auto"/>
            </w:tcBorders>
            <w:shd w:val="clear" w:color="auto" w:fill="C6EFCE"/>
            <w:noWrap/>
            <w:vAlign w:val="center"/>
            <w:hideMark/>
          </w:tcPr>
          <w:p w14:paraId="320FA805"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Livestreaming (and its recording) of the Employment conference debates by the administration (SPF ETCS). A proposed action plan for raising employment rate of employees approaching their ends of career, based on a mapping of existing relevant federal measures, drafted by the federal ministry of labour, and the input from social partners, regions and other stakeholders before and during the conference is drafted and put on the agenda of the Council of Ministers. The objective of this action plan is to be translated in concrete regulatory proposals (legislative or administrative) to be adopted by the federal authorities (if needed the federal parliament).</w:t>
            </w:r>
          </w:p>
        </w:tc>
      </w:tr>
      <w:tr w:rsidR="00324CC6" w:rsidRPr="001961AA" w14:paraId="0FCEBAB4" w14:textId="77777777" w:rsidTr="00C92133">
        <w:trPr>
          <w:trHeight w:val="309"/>
          <w:jc w:val="center"/>
        </w:trPr>
        <w:tc>
          <w:tcPr>
            <w:tcW w:w="704" w:type="dxa"/>
            <w:tcBorders>
              <w:top w:val="nil"/>
              <w:left w:val="single" w:sz="4" w:space="0" w:color="auto"/>
              <w:bottom w:val="single" w:sz="4" w:space="0" w:color="auto"/>
              <w:right w:val="single" w:sz="4" w:space="0" w:color="auto"/>
            </w:tcBorders>
            <w:shd w:val="clear" w:color="auto" w:fill="C6EFCE"/>
            <w:noWrap/>
            <w:vAlign w:val="center"/>
            <w:hideMark/>
          </w:tcPr>
          <w:p w14:paraId="282E1212"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157</w:t>
            </w:r>
          </w:p>
        </w:tc>
        <w:tc>
          <w:tcPr>
            <w:tcW w:w="1452" w:type="dxa"/>
            <w:tcBorders>
              <w:top w:val="nil"/>
              <w:left w:val="nil"/>
              <w:bottom w:val="single" w:sz="4" w:space="0" w:color="auto"/>
              <w:right w:val="single" w:sz="4" w:space="0" w:color="auto"/>
            </w:tcBorders>
            <w:shd w:val="clear" w:color="auto" w:fill="C6EFCE"/>
            <w:noWrap/>
            <w:vAlign w:val="center"/>
            <w:hideMark/>
          </w:tcPr>
          <w:p w14:paraId="0A77FF1E"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Pension and end of career (R-4.07)</w:t>
            </w:r>
          </w:p>
        </w:tc>
        <w:tc>
          <w:tcPr>
            <w:tcW w:w="1276" w:type="dxa"/>
            <w:tcBorders>
              <w:top w:val="nil"/>
              <w:left w:val="nil"/>
              <w:bottom w:val="single" w:sz="4" w:space="0" w:color="auto"/>
              <w:right w:val="single" w:sz="4" w:space="0" w:color="auto"/>
            </w:tcBorders>
            <w:shd w:val="clear" w:color="auto" w:fill="C6EFCE"/>
            <w:noWrap/>
            <w:vAlign w:val="center"/>
            <w:hideMark/>
          </w:tcPr>
          <w:p w14:paraId="3882D111" w14:textId="22A616B9"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M</w:t>
            </w:r>
          </w:p>
        </w:tc>
        <w:tc>
          <w:tcPr>
            <w:tcW w:w="1417" w:type="dxa"/>
            <w:tcBorders>
              <w:top w:val="nil"/>
              <w:left w:val="nil"/>
              <w:bottom w:val="single" w:sz="4" w:space="0" w:color="auto"/>
              <w:right w:val="single" w:sz="4" w:space="0" w:color="auto"/>
            </w:tcBorders>
            <w:shd w:val="clear" w:color="auto" w:fill="C6EFCE"/>
            <w:noWrap/>
            <w:vAlign w:val="center"/>
            <w:hideMark/>
          </w:tcPr>
          <w:p w14:paraId="0D9B4CFD"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Pension reform proposal</w:t>
            </w:r>
          </w:p>
        </w:tc>
        <w:tc>
          <w:tcPr>
            <w:tcW w:w="1559" w:type="dxa"/>
            <w:tcBorders>
              <w:top w:val="nil"/>
              <w:left w:val="nil"/>
              <w:bottom w:val="single" w:sz="4" w:space="0" w:color="auto"/>
              <w:right w:val="single" w:sz="4" w:space="0" w:color="auto"/>
            </w:tcBorders>
            <w:shd w:val="clear" w:color="auto" w:fill="C6EFCE"/>
            <w:noWrap/>
            <w:vAlign w:val="center"/>
          </w:tcPr>
          <w:p w14:paraId="19E52C93"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Reform proposal submitted to the Council of Ministers of the federal government</w:t>
            </w:r>
          </w:p>
        </w:tc>
        <w:tc>
          <w:tcPr>
            <w:tcW w:w="1134" w:type="dxa"/>
            <w:tcBorders>
              <w:top w:val="nil"/>
              <w:left w:val="nil"/>
              <w:bottom w:val="single" w:sz="4" w:space="0" w:color="auto"/>
              <w:right w:val="single" w:sz="4" w:space="0" w:color="auto"/>
            </w:tcBorders>
            <w:shd w:val="clear" w:color="auto" w:fill="C6EFCE"/>
            <w:noWrap/>
            <w:vAlign w:val="center"/>
          </w:tcPr>
          <w:p w14:paraId="07EBD2C1" w14:textId="77777777" w:rsidR="006A41D9" w:rsidRPr="001961AA" w:rsidRDefault="006A41D9" w:rsidP="00BD6DD1">
            <w:pPr>
              <w:spacing w:after="0"/>
              <w:jc w:val="center"/>
              <w:rPr>
                <w:rFonts w:ascii="Times New Roman" w:eastAsia="Times New Roman" w:hAnsi="Times New Roman" w:cs="Times New Roman"/>
                <w:noProof/>
                <w:color w:val="006100"/>
                <w:lang w:val="en-GB" w:eastAsia="en-GB"/>
              </w:rPr>
            </w:pPr>
          </w:p>
        </w:tc>
        <w:tc>
          <w:tcPr>
            <w:tcW w:w="1134" w:type="dxa"/>
            <w:tcBorders>
              <w:top w:val="nil"/>
              <w:left w:val="nil"/>
              <w:bottom w:val="single" w:sz="4" w:space="0" w:color="auto"/>
              <w:right w:val="single" w:sz="4" w:space="0" w:color="auto"/>
            </w:tcBorders>
            <w:shd w:val="clear" w:color="auto" w:fill="C6EFCE"/>
            <w:noWrap/>
            <w:vAlign w:val="center"/>
          </w:tcPr>
          <w:p w14:paraId="7D00F74C" w14:textId="77777777" w:rsidR="006A41D9" w:rsidRPr="001961AA" w:rsidRDefault="006A41D9" w:rsidP="00BD6DD1">
            <w:pPr>
              <w:spacing w:after="0"/>
              <w:jc w:val="center"/>
              <w:rPr>
                <w:rFonts w:ascii="Times New Roman" w:eastAsia="Times New Roman" w:hAnsi="Times New Roman" w:cs="Times New Roman"/>
                <w:noProof/>
                <w:color w:val="006100"/>
                <w:lang w:val="en-GB" w:eastAsia="en-GB"/>
              </w:rPr>
            </w:pPr>
          </w:p>
        </w:tc>
        <w:tc>
          <w:tcPr>
            <w:tcW w:w="709" w:type="dxa"/>
            <w:tcBorders>
              <w:top w:val="nil"/>
              <w:left w:val="nil"/>
              <w:bottom w:val="single" w:sz="4" w:space="0" w:color="auto"/>
              <w:right w:val="single" w:sz="4" w:space="0" w:color="auto"/>
            </w:tcBorders>
            <w:shd w:val="clear" w:color="auto" w:fill="C6EFCE"/>
            <w:noWrap/>
            <w:vAlign w:val="center"/>
          </w:tcPr>
          <w:p w14:paraId="291C1FDD" w14:textId="77777777" w:rsidR="006A41D9" w:rsidRPr="001961AA" w:rsidRDefault="006A41D9" w:rsidP="00BD6DD1">
            <w:pPr>
              <w:spacing w:after="0"/>
              <w:jc w:val="center"/>
              <w:rPr>
                <w:rFonts w:ascii="Times New Roman" w:eastAsia="Times New Roman" w:hAnsi="Times New Roman" w:cs="Times New Roman"/>
                <w:noProof/>
                <w:color w:val="006100"/>
                <w:lang w:val="en-GB" w:eastAsia="en-GB"/>
              </w:rPr>
            </w:pPr>
          </w:p>
        </w:tc>
        <w:tc>
          <w:tcPr>
            <w:tcW w:w="992" w:type="dxa"/>
            <w:tcBorders>
              <w:top w:val="nil"/>
              <w:left w:val="nil"/>
              <w:bottom w:val="single" w:sz="4" w:space="0" w:color="auto"/>
              <w:right w:val="single" w:sz="4" w:space="0" w:color="auto"/>
            </w:tcBorders>
            <w:shd w:val="clear" w:color="auto" w:fill="C6EFCE"/>
            <w:noWrap/>
            <w:vAlign w:val="center"/>
            <w:hideMark/>
          </w:tcPr>
          <w:p w14:paraId="36FF2180"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Q4</w:t>
            </w:r>
          </w:p>
        </w:tc>
        <w:tc>
          <w:tcPr>
            <w:tcW w:w="993" w:type="dxa"/>
            <w:tcBorders>
              <w:top w:val="nil"/>
              <w:left w:val="nil"/>
              <w:bottom w:val="single" w:sz="4" w:space="0" w:color="auto"/>
              <w:right w:val="single" w:sz="4" w:space="0" w:color="auto"/>
            </w:tcBorders>
            <w:shd w:val="clear" w:color="auto" w:fill="C6EFCE"/>
            <w:noWrap/>
            <w:vAlign w:val="center"/>
            <w:hideMark/>
          </w:tcPr>
          <w:p w14:paraId="74B4F886"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2021</w:t>
            </w:r>
          </w:p>
        </w:tc>
        <w:tc>
          <w:tcPr>
            <w:tcW w:w="4132" w:type="dxa"/>
            <w:tcBorders>
              <w:top w:val="nil"/>
              <w:left w:val="nil"/>
              <w:bottom w:val="single" w:sz="4" w:space="0" w:color="auto"/>
              <w:right w:val="single" w:sz="4" w:space="0" w:color="auto"/>
            </w:tcBorders>
            <w:shd w:val="clear" w:color="auto" w:fill="C6EFCE"/>
            <w:noWrap/>
            <w:vAlign w:val="center"/>
            <w:hideMark/>
          </w:tcPr>
          <w:p w14:paraId="5DAF2264"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 xml:space="preserve">Proposal submitted for approval to the Council of Ministers of the federal government to reform the pension regime, which shall include the following elements: </w:t>
            </w:r>
          </w:p>
          <w:p w14:paraId="22C73DF5"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 xml:space="preserve">(i) Measures to improve the financial and social sustainability of the pension system; </w:t>
            </w:r>
          </w:p>
          <w:p w14:paraId="50A09B7F"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 xml:space="preserve">(ii) Measures to incentivize people to remain active on the labour market after meeting early retirement conditions; </w:t>
            </w:r>
          </w:p>
          <w:p w14:paraId="3C7A3985"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(iii) Measures to increase its solidarity role to ensure a decent minimum pension, its insurance role, gender balance, taking into account the overall pension regime financial and social sustainability improvement objective;</w:t>
            </w:r>
          </w:p>
          <w:p w14:paraId="37FD69C0"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(iv) Measures to ensure convergence between and within the different systems.</w:t>
            </w:r>
          </w:p>
        </w:tc>
      </w:tr>
      <w:tr w:rsidR="00324CC6" w:rsidRPr="001961AA" w14:paraId="19DD432B" w14:textId="77777777" w:rsidTr="00C92133">
        <w:trPr>
          <w:trHeight w:val="309"/>
          <w:jc w:val="center"/>
        </w:trPr>
        <w:tc>
          <w:tcPr>
            <w:tcW w:w="704" w:type="dxa"/>
            <w:tcBorders>
              <w:top w:val="nil"/>
              <w:left w:val="single" w:sz="4" w:space="0" w:color="auto"/>
              <w:bottom w:val="single" w:sz="4" w:space="0" w:color="auto"/>
              <w:right w:val="single" w:sz="4" w:space="0" w:color="auto"/>
            </w:tcBorders>
            <w:shd w:val="clear" w:color="auto" w:fill="C6EFCE"/>
            <w:noWrap/>
            <w:vAlign w:val="center"/>
            <w:hideMark/>
          </w:tcPr>
          <w:p w14:paraId="08DD379A"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158</w:t>
            </w:r>
          </w:p>
        </w:tc>
        <w:tc>
          <w:tcPr>
            <w:tcW w:w="1452" w:type="dxa"/>
            <w:tcBorders>
              <w:top w:val="nil"/>
              <w:left w:val="nil"/>
              <w:bottom w:val="single" w:sz="4" w:space="0" w:color="auto"/>
              <w:right w:val="single" w:sz="4" w:space="0" w:color="auto"/>
            </w:tcBorders>
            <w:shd w:val="clear" w:color="auto" w:fill="C6EFCE"/>
            <w:noWrap/>
            <w:vAlign w:val="center"/>
            <w:hideMark/>
          </w:tcPr>
          <w:p w14:paraId="29AAC8DE"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Pension and end of career (R-4.07)</w:t>
            </w:r>
          </w:p>
        </w:tc>
        <w:tc>
          <w:tcPr>
            <w:tcW w:w="1276" w:type="dxa"/>
            <w:tcBorders>
              <w:top w:val="nil"/>
              <w:left w:val="nil"/>
              <w:bottom w:val="single" w:sz="4" w:space="0" w:color="auto"/>
              <w:right w:val="single" w:sz="4" w:space="0" w:color="auto"/>
            </w:tcBorders>
            <w:shd w:val="clear" w:color="auto" w:fill="C6EFCE"/>
            <w:noWrap/>
            <w:vAlign w:val="center"/>
            <w:hideMark/>
          </w:tcPr>
          <w:p w14:paraId="17E8AFC9" w14:textId="46ECC974"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M</w:t>
            </w:r>
          </w:p>
        </w:tc>
        <w:tc>
          <w:tcPr>
            <w:tcW w:w="1417" w:type="dxa"/>
            <w:tcBorders>
              <w:top w:val="nil"/>
              <w:left w:val="nil"/>
              <w:bottom w:val="single" w:sz="4" w:space="0" w:color="auto"/>
              <w:right w:val="single" w:sz="4" w:space="0" w:color="auto"/>
            </w:tcBorders>
            <w:shd w:val="clear" w:color="auto" w:fill="C6EFCE"/>
            <w:noWrap/>
            <w:vAlign w:val="center"/>
            <w:hideMark/>
          </w:tcPr>
          <w:p w14:paraId="54AC8244"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Adoption of the pension reform</w:t>
            </w:r>
          </w:p>
        </w:tc>
        <w:tc>
          <w:tcPr>
            <w:tcW w:w="1559" w:type="dxa"/>
            <w:tcBorders>
              <w:top w:val="nil"/>
              <w:left w:val="nil"/>
              <w:bottom w:val="single" w:sz="4" w:space="0" w:color="auto"/>
              <w:right w:val="single" w:sz="4" w:space="0" w:color="auto"/>
            </w:tcBorders>
            <w:shd w:val="clear" w:color="auto" w:fill="C6EFCE"/>
            <w:noWrap/>
            <w:vAlign w:val="center"/>
            <w:hideMark/>
          </w:tcPr>
          <w:p w14:paraId="790E5925"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Adoption by the federal Parliament of the law to reform the pension system</w:t>
            </w:r>
          </w:p>
        </w:tc>
        <w:tc>
          <w:tcPr>
            <w:tcW w:w="1134" w:type="dxa"/>
            <w:tcBorders>
              <w:top w:val="nil"/>
              <w:left w:val="nil"/>
              <w:bottom w:val="single" w:sz="4" w:space="0" w:color="auto"/>
              <w:right w:val="single" w:sz="4" w:space="0" w:color="auto"/>
            </w:tcBorders>
            <w:shd w:val="clear" w:color="auto" w:fill="C6EFCE"/>
            <w:noWrap/>
            <w:vAlign w:val="center"/>
            <w:hideMark/>
          </w:tcPr>
          <w:p w14:paraId="367ED69B" w14:textId="77777777" w:rsidR="006A41D9" w:rsidRPr="001961AA" w:rsidRDefault="006A41D9" w:rsidP="00BD6DD1">
            <w:pPr>
              <w:spacing w:after="0"/>
              <w:jc w:val="center"/>
              <w:rPr>
                <w:rFonts w:ascii="Times New Roman" w:eastAsia="Times New Roman" w:hAnsi="Times New Roman" w:cs="Times New Roman"/>
                <w:noProof/>
                <w:color w:val="006100"/>
                <w:lang w:val="en-GB" w:eastAsia="en-GB"/>
              </w:rPr>
            </w:pPr>
          </w:p>
        </w:tc>
        <w:tc>
          <w:tcPr>
            <w:tcW w:w="1134" w:type="dxa"/>
            <w:tcBorders>
              <w:top w:val="nil"/>
              <w:left w:val="nil"/>
              <w:bottom w:val="single" w:sz="4" w:space="0" w:color="auto"/>
              <w:right w:val="single" w:sz="4" w:space="0" w:color="auto"/>
            </w:tcBorders>
            <w:shd w:val="clear" w:color="auto" w:fill="C6EFCE"/>
            <w:noWrap/>
            <w:vAlign w:val="center"/>
            <w:hideMark/>
          </w:tcPr>
          <w:p w14:paraId="3AFBBD05" w14:textId="77777777" w:rsidR="006A41D9" w:rsidRPr="001961AA" w:rsidRDefault="006A41D9" w:rsidP="00BD6DD1">
            <w:pPr>
              <w:spacing w:after="0"/>
              <w:jc w:val="center"/>
              <w:rPr>
                <w:rFonts w:ascii="Times New Roman" w:eastAsia="Times New Roman" w:hAnsi="Times New Roman" w:cs="Times New Roman"/>
                <w:noProof/>
                <w:color w:val="006100"/>
                <w:lang w:val="en-GB" w:eastAsia="en-GB"/>
              </w:rPr>
            </w:pPr>
          </w:p>
        </w:tc>
        <w:tc>
          <w:tcPr>
            <w:tcW w:w="709" w:type="dxa"/>
            <w:tcBorders>
              <w:top w:val="nil"/>
              <w:left w:val="nil"/>
              <w:bottom w:val="single" w:sz="4" w:space="0" w:color="auto"/>
              <w:right w:val="single" w:sz="4" w:space="0" w:color="auto"/>
            </w:tcBorders>
            <w:shd w:val="clear" w:color="auto" w:fill="C6EFCE"/>
            <w:noWrap/>
            <w:vAlign w:val="center"/>
            <w:hideMark/>
          </w:tcPr>
          <w:p w14:paraId="668F31F2" w14:textId="77777777" w:rsidR="006A41D9" w:rsidRPr="001961AA" w:rsidRDefault="006A41D9" w:rsidP="00BD6DD1">
            <w:pPr>
              <w:spacing w:after="0"/>
              <w:jc w:val="center"/>
              <w:rPr>
                <w:rFonts w:ascii="Times New Roman" w:eastAsia="Times New Roman" w:hAnsi="Times New Roman" w:cs="Times New Roman"/>
                <w:noProof/>
                <w:color w:val="006100"/>
                <w:lang w:val="en-GB" w:eastAsia="en-GB"/>
              </w:rPr>
            </w:pPr>
          </w:p>
        </w:tc>
        <w:tc>
          <w:tcPr>
            <w:tcW w:w="992" w:type="dxa"/>
            <w:tcBorders>
              <w:top w:val="nil"/>
              <w:left w:val="nil"/>
              <w:bottom w:val="single" w:sz="4" w:space="0" w:color="auto"/>
              <w:right w:val="single" w:sz="4" w:space="0" w:color="auto"/>
            </w:tcBorders>
            <w:shd w:val="clear" w:color="auto" w:fill="C6EFCE"/>
            <w:noWrap/>
            <w:vAlign w:val="center"/>
            <w:hideMark/>
          </w:tcPr>
          <w:p w14:paraId="1E7BF58C"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Q2</w:t>
            </w:r>
          </w:p>
        </w:tc>
        <w:tc>
          <w:tcPr>
            <w:tcW w:w="993" w:type="dxa"/>
            <w:tcBorders>
              <w:top w:val="nil"/>
              <w:left w:val="nil"/>
              <w:bottom w:val="single" w:sz="4" w:space="0" w:color="auto"/>
              <w:right w:val="single" w:sz="4" w:space="0" w:color="auto"/>
            </w:tcBorders>
            <w:shd w:val="clear" w:color="auto" w:fill="C6EFCE"/>
            <w:noWrap/>
            <w:vAlign w:val="center"/>
            <w:hideMark/>
          </w:tcPr>
          <w:p w14:paraId="1487AD2A"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2024</w:t>
            </w:r>
          </w:p>
        </w:tc>
        <w:tc>
          <w:tcPr>
            <w:tcW w:w="4132" w:type="dxa"/>
            <w:tcBorders>
              <w:top w:val="nil"/>
              <w:left w:val="nil"/>
              <w:bottom w:val="single" w:sz="4" w:space="0" w:color="auto"/>
              <w:right w:val="single" w:sz="4" w:space="0" w:color="auto"/>
            </w:tcBorders>
            <w:shd w:val="clear" w:color="auto" w:fill="C6EFCE"/>
            <w:noWrap/>
            <w:vAlign w:val="center"/>
            <w:hideMark/>
          </w:tcPr>
          <w:p w14:paraId="340AEBAA"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Adoption of the law to reform the pension regime by the federal Parliament. The law shall include the following elements:</w:t>
            </w:r>
          </w:p>
          <w:p w14:paraId="21FFB692"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 xml:space="preserve">(i) Measures to improve the financial and social sustainability of the pension system; </w:t>
            </w:r>
          </w:p>
          <w:p w14:paraId="6A0BC266"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 xml:space="preserve">(ii) Measures to incentivize people to remain active on the labour market after meeting early retirement conditions; </w:t>
            </w:r>
          </w:p>
          <w:p w14:paraId="602DA835"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(iii) Measures to increase its solidarity role to ensure a decent minimum pension, its insurance role, gender balance, taking into account the overall pension regime financial and social sustainability improvement objective;</w:t>
            </w:r>
          </w:p>
          <w:p w14:paraId="529ADB56"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(iv) Measures to ensure convergence between and within the different systems.</w:t>
            </w:r>
          </w:p>
        </w:tc>
      </w:tr>
    </w:tbl>
    <w:p w14:paraId="668F7222" w14:textId="77777777" w:rsidR="00525BB4" w:rsidRPr="001961AA" w:rsidRDefault="00525BB4" w:rsidP="00525BB4">
      <w:pPr>
        <w:pStyle w:val="Text1"/>
        <w:rPr>
          <w:noProof/>
          <w:lang w:val="en-GB"/>
        </w:rPr>
      </w:pPr>
    </w:p>
    <w:p w14:paraId="281A82EE" w14:textId="77777777" w:rsidR="00525BB4" w:rsidRPr="001961AA" w:rsidRDefault="00525BB4" w:rsidP="00525BB4">
      <w:pPr>
        <w:pStyle w:val="Text1"/>
        <w:ind w:left="709"/>
        <w:rPr>
          <w:noProof/>
          <w:lang w:val="en-GB"/>
        </w:rPr>
        <w:sectPr w:rsidR="00525BB4" w:rsidRPr="001961AA" w:rsidSect="007F56C3">
          <w:headerReference w:type="even" r:id="rId192"/>
          <w:headerReference w:type="default" r:id="rId193"/>
          <w:footerReference w:type="even" r:id="rId194"/>
          <w:footerReference w:type="default" r:id="rId195"/>
          <w:headerReference w:type="first" r:id="rId196"/>
          <w:footerReference w:type="first" r:id="rId197"/>
          <w:pgSz w:w="16839" w:h="11907" w:orient="landscape"/>
          <w:pgMar w:top="1134" w:right="1134" w:bottom="1134" w:left="1134" w:header="567" w:footer="567" w:gutter="0"/>
          <w:cols w:space="720"/>
          <w:docGrid w:linePitch="360"/>
        </w:sectPr>
      </w:pPr>
    </w:p>
    <w:p w14:paraId="5B548FD5" w14:textId="3928B8FF" w:rsidR="006A41D9" w:rsidRPr="001961AA" w:rsidRDefault="006A41D9" w:rsidP="00143925">
      <w:pPr>
        <w:pStyle w:val="ManualHeading1"/>
        <w:spacing w:before="120"/>
        <w:ind w:left="0" w:firstLine="0"/>
        <w:rPr>
          <w:noProof/>
          <w:szCs w:val="24"/>
          <w:lang w:val="en-GB"/>
        </w:rPr>
      </w:pPr>
      <w:r w:rsidRPr="001961AA">
        <w:rPr>
          <w:noProof/>
          <w:lang w:val="en-GB"/>
        </w:rPr>
        <w:t>N. COMPONENT 5.1: Training and labour market</w:t>
      </w:r>
    </w:p>
    <w:p w14:paraId="561EC7F4" w14:textId="77777777" w:rsidR="006A41D9" w:rsidRPr="001961AA" w:rsidRDefault="006A41D9" w:rsidP="00BD6DD1">
      <w:pPr>
        <w:pStyle w:val="Text1"/>
        <w:ind w:left="0"/>
        <w:rPr>
          <w:noProof/>
          <w:szCs w:val="24"/>
          <w:lang w:val="en-GB"/>
        </w:rPr>
      </w:pPr>
      <w:r w:rsidRPr="001961AA">
        <w:rPr>
          <w:noProof/>
          <w:lang w:val="en-GB"/>
        </w:rPr>
        <w:t>This component of the Belgian recovery and resilience plan is composed of measures aiming at increasing the employment rate while ensuring an inclusive labour market. The measures consist in equipping the workforce with skills corresponding to current and future labour market needs, including green and digital transitions, and increasing labour market participation through training, activation and coaching, but also by tackling employment traps and making work pay.</w:t>
      </w:r>
    </w:p>
    <w:p w14:paraId="75E9B2DB" w14:textId="77777777" w:rsidR="006A41D9" w:rsidRPr="001961AA" w:rsidRDefault="006A41D9" w:rsidP="00BD6DD1">
      <w:pPr>
        <w:pStyle w:val="Text1"/>
        <w:ind w:left="0"/>
        <w:rPr>
          <w:noProof/>
          <w:szCs w:val="24"/>
          <w:lang w:val="en-GB"/>
        </w:rPr>
      </w:pPr>
      <w:r w:rsidRPr="001961AA">
        <w:rPr>
          <w:noProof/>
          <w:lang w:val="en-GB"/>
        </w:rPr>
        <w:t>The component contributes to addressing Country Specific Recommendation 2019.2 to reduce skills mismatches and to Country Specific Recommendation 2020.2 to mitigate the employment and social impact of the crisis.</w:t>
      </w:r>
    </w:p>
    <w:p w14:paraId="217F65E2" w14:textId="77777777" w:rsidR="006A41D9" w:rsidRPr="001961AA" w:rsidRDefault="006A41D9" w:rsidP="00BD6DD1">
      <w:pPr>
        <w:pStyle w:val="Text1"/>
        <w:ind w:left="0"/>
        <w:rPr>
          <w:noProof/>
          <w:szCs w:val="24"/>
          <w:lang w:val="en-GB"/>
        </w:rPr>
      </w:pPr>
      <w:r w:rsidRPr="001961AA">
        <w:rPr>
          <w:noProof/>
          <w:lang w:val="en-GB"/>
        </w:rPr>
        <w:t>It is expected that no measure in this component does significant harm to environmental objectives within the meaning of Article 17 of Regulation (EU) 2020/852, taking into account the description of the measures and the mitigating steps set out in the recovery and resilience plan in accordance with the DNSH Technical Guidance (2021/C58/01).</w:t>
      </w:r>
    </w:p>
    <w:p w14:paraId="2F745F5A" w14:textId="77777777" w:rsidR="006A41D9" w:rsidRPr="001961AA" w:rsidRDefault="006A41D9" w:rsidP="00BD6DD1">
      <w:pPr>
        <w:spacing w:before="120" w:after="120" w:line="240" w:lineRule="auto"/>
        <w:jc w:val="both"/>
        <w:rPr>
          <w:rFonts w:ascii="Times New Roman" w:hAnsi="Times New Roman" w:cs="Times New Roman"/>
          <w:b/>
          <w:bCs/>
          <w:noProof/>
          <w:sz w:val="24"/>
          <w:szCs w:val="24"/>
          <w:u w:val="single"/>
          <w:lang w:val="en-GB"/>
        </w:rPr>
      </w:pPr>
      <w:r w:rsidRPr="001961AA">
        <w:rPr>
          <w:rFonts w:ascii="Times New Roman" w:hAnsi="Times New Roman"/>
          <w:b/>
          <w:noProof/>
          <w:sz w:val="24"/>
          <w:u w:val="single"/>
          <w:lang w:val="en-GB"/>
        </w:rPr>
        <w:t xml:space="preserve">N.1. </w:t>
      </w:r>
      <w:r w:rsidRPr="001961AA">
        <w:rPr>
          <w:noProof/>
          <w:lang w:val="en-GB"/>
        </w:rPr>
        <w:tab/>
      </w:r>
      <w:r w:rsidRPr="001961AA">
        <w:rPr>
          <w:rFonts w:ascii="Times New Roman" w:hAnsi="Times New Roman"/>
          <w:b/>
          <w:noProof/>
          <w:sz w:val="24"/>
          <w:u w:val="single"/>
          <w:lang w:val="en-GB"/>
        </w:rPr>
        <w:t>Description of the reforms and investments for non-repayable financial support</w:t>
      </w:r>
    </w:p>
    <w:p w14:paraId="1E7AC7C7" w14:textId="77777777" w:rsidR="006A41D9" w:rsidRPr="001961AA" w:rsidRDefault="006A41D9" w:rsidP="00BD6DD1">
      <w:pPr>
        <w:pStyle w:val="Text1"/>
        <w:ind w:left="0"/>
        <w:rPr>
          <w:noProof/>
          <w:color w:val="000000" w:themeColor="text1"/>
          <w:szCs w:val="24"/>
          <w:u w:val="single"/>
          <w:lang w:val="en-GB"/>
        </w:rPr>
      </w:pPr>
      <w:r w:rsidRPr="001961AA">
        <w:rPr>
          <w:noProof/>
          <w:color w:val="000000" w:themeColor="text1"/>
          <w:u w:val="single"/>
          <w:lang w:val="en-GB"/>
        </w:rPr>
        <w:t>Investment I-5.01: ‘A6K/E6K Digital and Technological Innovation and Training Hub’ of the Walloon Region</w:t>
      </w:r>
    </w:p>
    <w:p w14:paraId="674EED17" w14:textId="77777777" w:rsidR="006A41D9" w:rsidRPr="001961AA" w:rsidRDefault="006A41D9" w:rsidP="00BD6DD1">
      <w:pPr>
        <w:pStyle w:val="Text1"/>
        <w:ind w:left="0"/>
        <w:rPr>
          <w:noProof/>
          <w:color w:val="000000" w:themeColor="text1"/>
          <w:szCs w:val="24"/>
          <w:lang w:val="en-GB"/>
        </w:rPr>
      </w:pPr>
      <w:r w:rsidRPr="001961AA">
        <w:rPr>
          <w:noProof/>
          <w:color w:val="000000" w:themeColor="text1"/>
          <w:lang w:val="en-GB"/>
        </w:rPr>
        <w:t>The investment measure shall develop a multidisciplinary centre for engineering science (A6K), co-locating industrial enterprise teams, start-ups, universities and research centres to stimulate innovation and industrial transformation in Wallonia, as well as a technological education centre (E6K), an innovative physical platform bringing together public and private digital and technological education operators in the city centre of Charleroi offering varied training in content and duration. The investment consists in the renovation and construction of buildings hosting the centres, and the support of activities necessary for the acceleration and scaling-up of the project.</w:t>
      </w:r>
      <w:r w:rsidRPr="001961AA">
        <w:rPr>
          <w:noProof/>
          <w:lang w:val="en-GB"/>
        </w:rPr>
        <w:t xml:space="preserve"> The implementation of the investment shall be completed by 30 June 2026.</w:t>
      </w:r>
    </w:p>
    <w:p w14:paraId="59EA765A" w14:textId="77777777" w:rsidR="006A41D9" w:rsidRPr="001961AA" w:rsidRDefault="006A41D9" w:rsidP="00BD6DD1">
      <w:pPr>
        <w:pStyle w:val="Text1"/>
        <w:ind w:left="0"/>
        <w:rPr>
          <w:noProof/>
          <w:color w:val="000000" w:themeColor="text1"/>
          <w:szCs w:val="24"/>
          <w:u w:val="single"/>
          <w:lang w:val="en-GB"/>
        </w:rPr>
      </w:pPr>
      <w:r w:rsidRPr="001961AA">
        <w:rPr>
          <w:noProof/>
          <w:color w:val="000000" w:themeColor="text1"/>
          <w:u w:val="single"/>
          <w:lang w:val="en-GB"/>
        </w:rPr>
        <w:t>Investment I-5.02: ‘EU Biotech School and Health Hub’ of the Walloon Region</w:t>
      </w:r>
    </w:p>
    <w:p w14:paraId="12CB4339" w14:textId="19F3C62F" w:rsidR="006A41D9" w:rsidRPr="001961AA" w:rsidRDefault="006A41D9" w:rsidP="00BD6DD1">
      <w:pPr>
        <w:pStyle w:val="Text1"/>
        <w:ind w:left="0"/>
        <w:rPr>
          <w:noProof/>
          <w:color w:val="000000" w:themeColor="text1"/>
          <w:szCs w:val="24"/>
          <w:lang w:val="en-GB"/>
        </w:rPr>
      </w:pPr>
      <w:r w:rsidRPr="001961AA">
        <w:rPr>
          <w:noProof/>
          <w:color w:val="000000" w:themeColor="text1"/>
          <w:lang w:val="en-GB"/>
        </w:rPr>
        <w:t>The investment measure shall cover the construction and equipment of a training centre of 5</w:t>
      </w:r>
      <w:r w:rsidRPr="001961AA">
        <w:rPr>
          <w:noProof/>
          <w:lang w:val="en-GB"/>
        </w:rPr>
        <w:t xml:space="preserve"> </w:t>
      </w:r>
      <w:r w:rsidRPr="001961AA">
        <w:rPr>
          <w:noProof/>
          <w:color w:val="000000" w:themeColor="text1"/>
          <w:lang w:val="en-GB"/>
        </w:rPr>
        <w:t xml:space="preserve">500 m² located in the Bio-park in Gosselies (Hainaut Province, Walloon Region) focused on developing skills for the further development of the biotech/biopharma sector. The EU Biotech School &amp; Health Hub shall focus on delivering training programmes structured around four pillars: STIM immersion, Bioproduction and supply chain, Data and digital, General and mini MBA. </w:t>
      </w:r>
      <w:r w:rsidRPr="001961AA">
        <w:rPr>
          <w:noProof/>
          <w:lang w:val="en-GB"/>
        </w:rPr>
        <w:t>The implementation of the investment shall be completed by 30 September 2025.</w:t>
      </w:r>
    </w:p>
    <w:p w14:paraId="1ADEA419" w14:textId="77777777" w:rsidR="006A41D9" w:rsidRPr="001961AA" w:rsidRDefault="006A41D9" w:rsidP="00BD6DD1">
      <w:pPr>
        <w:pStyle w:val="Text1"/>
        <w:ind w:left="0"/>
        <w:rPr>
          <w:noProof/>
          <w:color w:val="000000" w:themeColor="text1"/>
          <w:szCs w:val="24"/>
          <w:u w:val="single"/>
          <w:lang w:val="en-GB"/>
        </w:rPr>
      </w:pPr>
      <w:r w:rsidRPr="001961AA">
        <w:rPr>
          <w:noProof/>
          <w:color w:val="000000" w:themeColor="text1"/>
          <w:u w:val="single"/>
          <w:lang w:val="en-GB"/>
        </w:rPr>
        <w:t>Investment I-5.03: ‘Upgrading of advanced training infrastructure’ of the Walloon Region</w:t>
      </w:r>
    </w:p>
    <w:p w14:paraId="6A4A0402" w14:textId="25ACE7AB" w:rsidR="006A41D9" w:rsidRPr="001961AA" w:rsidRDefault="006A41D9" w:rsidP="00BD6DD1">
      <w:pPr>
        <w:pStyle w:val="Text1"/>
        <w:ind w:left="0"/>
        <w:rPr>
          <w:noProof/>
          <w:color w:val="000000" w:themeColor="text1"/>
          <w:lang w:val="en-GB"/>
        </w:rPr>
      </w:pPr>
      <w:r w:rsidRPr="001961AA">
        <w:rPr>
          <w:noProof/>
          <w:color w:val="000000" w:themeColor="text1"/>
          <w:lang w:val="en-GB"/>
        </w:rPr>
        <w:t>The investment measure shall cover the construction, renovation, renewal of state-of-the-art equipment, of six projects to support skills development in Wallonia: (i) the Belgrade Training Centre (Namur); (ii)</w:t>
      </w:r>
      <w:r w:rsidRPr="001961AA">
        <w:rPr>
          <w:noProof/>
          <w:lang w:val="en-GB"/>
        </w:rPr>
        <w:t xml:space="preserve"> </w:t>
      </w:r>
      <w:r w:rsidRPr="001961AA">
        <w:rPr>
          <w:noProof/>
          <w:color w:val="000000" w:themeColor="text1"/>
          <w:lang w:val="en-GB"/>
        </w:rPr>
        <w:t>the extension (273m² Seneffe site) and fitting-out (1</w:t>
      </w:r>
      <w:r w:rsidRPr="001961AA">
        <w:rPr>
          <w:noProof/>
          <w:lang w:val="en-GB"/>
        </w:rPr>
        <w:t xml:space="preserve"> </w:t>
      </w:r>
      <w:r w:rsidRPr="001961AA">
        <w:rPr>
          <w:noProof/>
          <w:color w:val="000000" w:themeColor="text1"/>
          <w:lang w:val="en-GB"/>
        </w:rPr>
        <w:t xml:space="preserve">052m² FOREM building – 300m² Hall 3 – 700m² Liège site) of the Aptaskil Competence Centre which may also be supported by other EU funds; (iii) the extension of the Technocity Competence Centre; (iv) the renovation of the Technical Competence Centre (Seraing); (v) the extension of Forem’s classical training centre infrastructure; (vi) the creation of a Centre for Contemporaines Eco-Technologies and Continuous Training (Mons). </w:t>
      </w:r>
      <w:r w:rsidRPr="001961AA">
        <w:rPr>
          <w:noProof/>
          <w:lang w:val="en-GB"/>
        </w:rPr>
        <w:t>The implementation of the investment shall be completed by 30 June 2026.</w:t>
      </w:r>
    </w:p>
    <w:p w14:paraId="3488B205" w14:textId="77777777" w:rsidR="006A41D9" w:rsidRPr="001961AA" w:rsidRDefault="006A41D9" w:rsidP="00BD6DD1">
      <w:pPr>
        <w:pStyle w:val="Text1"/>
        <w:ind w:left="0"/>
        <w:rPr>
          <w:noProof/>
          <w:color w:val="000000" w:themeColor="text1"/>
          <w:u w:val="single"/>
          <w:lang w:val="en-GB"/>
        </w:rPr>
      </w:pPr>
      <w:r w:rsidRPr="001961AA">
        <w:rPr>
          <w:noProof/>
          <w:color w:val="000000" w:themeColor="text1"/>
          <w:u w:val="single"/>
          <w:lang w:val="en-GB"/>
        </w:rPr>
        <w:t>Investment I-5.04: ‘Learning and career offensive’ of the Flemish Region</w:t>
      </w:r>
    </w:p>
    <w:p w14:paraId="7B2235DE" w14:textId="65641DCC" w:rsidR="006A41D9" w:rsidRPr="001961AA" w:rsidRDefault="006A41D9" w:rsidP="00BD6DD1">
      <w:pPr>
        <w:pStyle w:val="Text1"/>
        <w:ind w:left="0"/>
        <w:rPr>
          <w:noProof/>
          <w:color w:val="000000" w:themeColor="text1"/>
          <w:lang w:val="en-GB"/>
        </w:rPr>
      </w:pPr>
      <w:r w:rsidRPr="001961AA">
        <w:rPr>
          <w:noProof/>
          <w:color w:val="000000" w:themeColor="text1"/>
          <w:lang w:val="en-GB"/>
        </w:rPr>
        <w:t>The measure implements the agreement concluded between the Flemish government and social partners, which includes the objective of boosting training and life-long learning. The measure consists in a set of sub-measures: (i) competency checks for enterprises; (ii) widening the online training offer; (iii) training for temporary unemployed; (iv) strong social entrepreneurship; (v) extra support to training leave. The implementation of the investment shall be completed by 31 December 2024.</w:t>
      </w:r>
    </w:p>
    <w:p w14:paraId="6A796D7F" w14:textId="77777777" w:rsidR="006A41D9" w:rsidRPr="001961AA" w:rsidRDefault="006A41D9" w:rsidP="00BD6DD1">
      <w:pPr>
        <w:pStyle w:val="Text1"/>
        <w:ind w:left="0"/>
        <w:rPr>
          <w:noProof/>
          <w:color w:val="000000" w:themeColor="text1"/>
          <w:szCs w:val="24"/>
          <w:u w:val="single"/>
          <w:lang w:val="en-GB"/>
        </w:rPr>
      </w:pPr>
      <w:r w:rsidRPr="001961AA">
        <w:rPr>
          <w:noProof/>
          <w:color w:val="000000" w:themeColor="text1"/>
          <w:u w:val="single"/>
          <w:lang w:val="en-GB"/>
        </w:rPr>
        <w:t>Investment I-5.05: ‘Strategy for relaunching the labour market’ of the Brussels-Capital Region</w:t>
      </w:r>
    </w:p>
    <w:p w14:paraId="4F6A980C" w14:textId="78E6749A" w:rsidR="006A41D9" w:rsidRPr="001961AA" w:rsidRDefault="2DF8951B" w:rsidP="00BD6DD1">
      <w:pPr>
        <w:pStyle w:val="Text1"/>
        <w:ind w:left="0"/>
        <w:rPr>
          <w:noProof/>
          <w:color w:val="000000" w:themeColor="text1"/>
          <w:lang w:val="en-GB"/>
        </w:rPr>
      </w:pPr>
      <w:r w:rsidRPr="001961AA">
        <w:rPr>
          <w:noProof/>
          <w:color w:val="000000" w:themeColor="text1"/>
          <w:lang w:val="en-GB"/>
        </w:rPr>
        <w:t xml:space="preserve">The investment consists of implementing a labour market recovery strategy in the Brussels-Capital Region. The strategy focuses on the efficiency and optimisation of activation and training policies and the support of job seekers and workers towards future jobs or jobs in shortage. The investment measures consist in the support for retraining or re-orientation towards shortage occupations. To this end, 600 people benefitting from the measures of the Brussels Strategy, shall also receive support for re-training or reorientation towards shortage occupations. The retraining or redirecting shall be multiform: training, screening, testing and adaptation of the job profile in the databases. </w:t>
      </w:r>
      <w:r w:rsidRPr="001961AA">
        <w:rPr>
          <w:noProof/>
          <w:lang w:val="en-GB"/>
        </w:rPr>
        <w:t>The implementation of the investment shall be completed by 31 December 2024.</w:t>
      </w:r>
    </w:p>
    <w:p w14:paraId="4757E850" w14:textId="002387E3" w:rsidR="006A41D9" w:rsidRPr="001961AA" w:rsidRDefault="006A41D9" w:rsidP="00BD6DD1">
      <w:pPr>
        <w:pStyle w:val="Text1"/>
        <w:ind w:left="0"/>
        <w:rPr>
          <w:noProof/>
          <w:color w:val="000000" w:themeColor="text1"/>
          <w:u w:val="single"/>
          <w:lang w:val="en-GB"/>
        </w:rPr>
      </w:pPr>
      <w:r w:rsidRPr="001961AA">
        <w:rPr>
          <w:noProof/>
          <w:color w:val="000000" w:themeColor="text1"/>
          <w:u w:val="single"/>
          <w:lang w:val="en-GB"/>
        </w:rPr>
        <w:t>Investment I-5.06: ‘Digital skills’ of the Flemish Region</w:t>
      </w:r>
    </w:p>
    <w:p w14:paraId="12782ABE" w14:textId="4207B18C" w:rsidR="006A41D9" w:rsidRPr="001961AA" w:rsidRDefault="006A41D9" w:rsidP="00BD6DD1">
      <w:pPr>
        <w:pStyle w:val="Text1"/>
        <w:ind w:left="0"/>
        <w:rPr>
          <w:noProof/>
          <w:color w:val="000000" w:themeColor="text1"/>
          <w:lang w:val="en-GB"/>
        </w:rPr>
      </w:pPr>
      <w:r w:rsidRPr="001961AA">
        <w:rPr>
          <w:noProof/>
          <w:color w:val="000000" w:themeColor="text1"/>
          <w:lang w:val="en-GB"/>
        </w:rPr>
        <w:t xml:space="preserve">The measure implements the agreement concluded between the Flemish government and social partners, which include the objective of the ‘digital transformation of Flanders’ (pillar II of the agreement). </w:t>
      </w:r>
      <w:r w:rsidRPr="001961AA">
        <w:rPr>
          <w:noProof/>
          <w:lang w:val="en-GB"/>
        </w:rPr>
        <w:t xml:space="preserve">The project consists of three separate initiatives: (i) “eLearning action plan”, with calls for public training providers to develop their online training offer, (ii) “career digital tools and services”, with the development of an individual training and </w:t>
      </w:r>
      <w:r w:rsidRPr="001961AA">
        <w:rPr>
          <w:noProof/>
          <w:color w:val="000000" w:themeColor="text1"/>
          <w:lang w:val="en-GB"/>
        </w:rPr>
        <w:t xml:space="preserve">career </w:t>
      </w:r>
      <w:r w:rsidRPr="001961AA">
        <w:rPr>
          <w:noProof/>
          <w:lang w:val="en-GB"/>
        </w:rPr>
        <w:t>account,</w:t>
      </w:r>
      <w:r w:rsidRPr="001961AA">
        <w:rPr>
          <w:noProof/>
          <w:color w:val="000000" w:themeColor="text1"/>
          <w:lang w:val="en-GB"/>
        </w:rPr>
        <w:t xml:space="preserve"> (</w:t>
      </w:r>
      <w:r w:rsidRPr="001961AA">
        <w:rPr>
          <w:noProof/>
          <w:lang w:val="en-GB"/>
        </w:rPr>
        <w:t>iii) “digital tools and services for employers and partners”, with the digital transformation of Flanders public employment service (VDAB) and of the Department of Labour and social economy (Werk &amp; Social Economie). The implementation of the investment shall be completed by 31 December 2024.</w:t>
      </w:r>
    </w:p>
    <w:p w14:paraId="270C8128" w14:textId="77777777" w:rsidR="006A41D9" w:rsidRPr="001961AA" w:rsidRDefault="006A41D9" w:rsidP="00BD6DD1">
      <w:pPr>
        <w:pStyle w:val="Text1"/>
        <w:ind w:left="0"/>
        <w:rPr>
          <w:noProof/>
          <w:color w:val="000000" w:themeColor="text1"/>
          <w:szCs w:val="24"/>
          <w:u w:val="single"/>
          <w:lang w:val="en-GB"/>
        </w:rPr>
      </w:pPr>
      <w:r w:rsidRPr="001961AA">
        <w:rPr>
          <w:noProof/>
          <w:color w:val="000000" w:themeColor="text1"/>
          <w:u w:val="single"/>
          <w:lang w:val="en-GB"/>
        </w:rPr>
        <w:t>Investment I-5.07: ‘Digital lifelong learning’ of the Walloon Region</w:t>
      </w:r>
    </w:p>
    <w:p w14:paraId="18796697" w14:textId="753DFA9D" w:rsidR="006A41D9" w:rsidRPr="001961AA" w:rsidRDefault="006A41D9" w:rsidP="00BD6DD1">
      <w:pPr>
        <w:pStyle w:val="Text1"/>
        <w:ind w:left="0"/>
        <w:rPr>
          <w:noProof/>
          <w:lang w:val="en-GB"/>
        </w:rPr>
      </w:pPr>
      <w:r w:rsidRPr="001961AA">
        <w:rPr>
          <w:noProof/>
          <w:color w:val="000000" w:themeColor="text1"/>
          <w:lang w:val="en-GB"/>
        </w:rPr>
        <w:t xml:space="preserve">The investment measure aims at strengthening digital training in Wallonia. </w:t>
      </w:r>
      <w:r w:rsidRPr="001961AA">
        <w:rPr>
          <w:noProof/>
          <w:lang w:val="en-GB"/>
        </w:rPr>
        <w:t xml:space="preserve">Under this objective, digital equipment shall be provided for the development of 22 immersive training spaces in training centres and 17 smart corners for local services of the Walloon Institute for Alternate Training for the Self-Employed and Small and Medium-Sized Enterprises (IFAPME). </w:t>
      </w:r>
      <w:r w:rsidRPr="001961AA">
        <w:rPr>
          <w:rStyle w:val="Other1"/>
          <w:noProof/>
          <w:lang w:val="en-GB"/>
        </w:rPr>
        <w:t xml:space="preserve">The basic digital training needs shall be integrated into the training programmes and </w:t>
      </w:r>
      <w:r w:rsidRPr="001961AA">
        <w:rPr>
          <w:noProof/>
          <w:lang w:val="en-GB"/>
        </w:rPr>
        <w:t>10 000 hours of pedagogical training for the digital transition shall be provided to teaching personnel and trainees</w:t>
      </w:r>
      <w:r w:rsidRPr="001961AA">
        <w:rPr>
          <w:noProof/>
          <w:color w:val="006100"/>
          <w:lang w:val="en-GB"/>
        </w:rPr>
        <w:t>.</w:t>
      </w:r>
    </w:p>
    <w:p w14:paraId="2B7B5536" w14:textId="13281B63" w:rsidR="006A41D9" w:rsidRPr="001961AA" w:rsidRDefault="006A41D9" w:rsidP="00BD6DD1">
      <w:pPr>
        <w:pStyle w:val="Text1"/>
        <w:ind w:left="0"/>
        <w:rPr>
          <w:noProof/>
          <w:color w:val="000000" w:themeColor="text1"/>
          <w:szCs w:val="24"/>
          <w:lang w:val="en-GB"/>
        </w:rPr>
      </w:pPr>
      <w:r w:rsidRPr="001961AA">
        <w:rPr>
          <w:noProof/>
          <w:lang w:val="en-GB"/>
        </w:rPr>
        <w:t>Five new training sites of the public employment service (FOREM) shall be constructed, a new ‘reengineering and STEM’ platform shall be built and four existing sites shall be renovated. Digital equipment allowing the creation of 9 immersive training spaces (‘digital factories’) and the digitalisation of the ‘reengineering and STEM platform’ shall be provided. The implementation of the investment shall be completed by 30 June 2026.</w:t>
      </w:r>
    </w:p>
    <w:p w14:paraId="3580B935" w14:textId="77777777" w:rsidR="006A41D9" w:rsidRPr="001961AA" w:rsidRDefault="006A41D9" w:rsidP="00BD6DD1">
      <w:pPr>
        <w:pStyle w:val="Text1"/>
        <w:ind w:left="0"/>
        <w:rPr>
          <w:noProof/>
          <w:color w:val="000000" w:themeColor="text1"/>
          <w:szCs w:val="24"/>
          <w:u w:val="single"/>
          <w:lang w:val="en-GB"/>
        </w:rPr>
      </w:pPr>
      <w:r w:rsidRPr="001961AA">
        <w:rPr>
          <w:noProof/>
          <w:color w:val="000000" w:themeColor="text1"/>
          <w:u w:val="single"/>
          <w:lang w:val="en-GB"/>
        </w:rPr>
        <w:t>Reform R-5.01: ‘Cumulation regime and mobility to sectors with shortages’ of the Federal State</w:t>
      </w:r>
    </w:p>
    <w:p w14:paraId="264DEFC3" w14:textId="77777777" w:rsidR="006A41D9" w:rsidRPr="001961AA" w:rsidRDefault="006A41D9" w:rsidP="00BD6DD1">
      <w:pPr>
        <w:pStyle w:val="Text1"/>
        <w:ind w:left="0"/>
        <w:rPr>
          <w:noProof/>
          <w:color w:val="000000" w:themeColor="text1"/>
          <w:szCs w:val="24"/>
          <w:lang w:val="en-GB"/>
        </w:rPr>
      </w:pPr>
      <w:r w:rsidRPr="001961AA">
        <w:rPr>
          <w:noProof/>
          <w:color w:val="000000" w:themeColor="text1"/>
          <w:lang w:val="en-GB"/>
        </w:rPr>
        <w:t>The reform measure is composed of two strands with the objective of (i) making work more rewarding and (ii) promote labour mobility towards sectors facing shortages</w:t>
      </w:r>
      <w:r w:rsidRPr="001961AA">
        <w:rPr>
          <w:noProof/>
          <w:color w:val="000000"/>
          <w:lang w:val="en-GB"/>
        </w:rPr>
        <w:t>.</w:t>
      </w:r>
    </w:p>
    <w:p w14:paraId="16F3C696" w14:textId="77777777" w:rsidR="006A41D9" w:rsidRPr="001961AA" w:rsidRDefault="006A41D9" w:rsidP="00BD6DD1">
      <w:pPr>
        <w:pStyle w:val="Text1"/>
        <w:ind w:left="0"/>
        <w:rPr>
          <w:noProof/>
          <w:color w:val="000000"/>
          <w:szCs w:val="24"/>
          <w:lang w:val="en-GB"/>
        </w:rPr>
      </w:pPr>
      <w:r w:rsidRPr="001961AA">
        <w:rPr>
          <w:noProof/>
          <w:color w:val="000000" w:themeColor="text1"/>
          <w:lang w:val="en-GB"/>
        </w:rPr>
        <w:t>The first reform strand is to make employment more rewarding for those benefiting from unemployment benefits or an integration income. This shall be done by ensuring that, in case of a combination of (part-time) work and receipt of (partial) unemployment benefit or (part-time) integration income, it is financially and socially more advantageous for the person concerned to increase his/her part-time working time</w:t>
      </w:r>
      <w:r w:rsidRPr="001961AA">
        <w:rPr>
          <w:noProof/>
          <w:color w:val="000000"/>
          <w:lang w:val="en-GB"/>
        </w:rPr>
        <w:t>. After consultation of social partners, a decision shall be taken on expanding the possibilities to combine temporarily or in a limited way wage and social benefits.</w:t>
      </w:r>
    </w:p>
    <w:p w14:paraId="21162B8E" w14:textId="69CC3022" w:rsidR="006A41D9" w:rsidRPr="001961AA" w:rsidRDefault="006A41D9" w:rsidP="00BD6DD1">
      <w:pPr>
        <w:pStyle w:val="Text1"/>
        <w:ind w:left="0"/>
        <w:rPr>
          <w:noProof/>
          <w:color w:val="000000"/>
          <w:szCs w:val="24"/>
          <w:lang w:val="en-GB"/>
        </w:rPr>
      </w:pPr>
      <w:r w:rsidRPr="001961AA">
        <w:rPr>
          <w:noProof/>
          <w:color w:val="000000"/>
          <w:lang w:val="en-GB"/>
        </w:rPr>
        <w:t>For the second reform strand, the objective of the measure is to promote labour mobility of workers made redundant in a given sector towards sectors where there are shortages of skilled workers. For this purpose, the government, in consultation with the social partners, shall introduce an additional allowance for the long-term unemployed who return to work in another region or in a sector where there are shortages.</w:t>
      </w:r>
    </w:p>
    <w:p w14:paraId="6A91AFDD" w14:textId="77777777" w:rsidR="006A41D9" w:rsidRPr="001961AA" w:rsidRDefault="006A41D9" w:rsidP="00BD6DD1">
      <w:pPr>
        <w:pStyle w:val="Text1"/>
        <w:ind w:left="0"/>
        <w:rPr>
          <w:noProof/>
          <w:color w:val="000000"/>
          <w:szCs w:val="24"/>
          <w:lang w:val="en-GB"/>
        </w:rPr>
      </w:pPr>
      <w:r w:rsidRPr="001961AA">
        <w:rPr>
          <w:noProof/>
          <w:color w:val="000000"/>
          <w:lang w:val="en-GB"/>
        </w:rPr>
        <w:t>The decision of the federal government laying down the reform shall enter into force by 1 January 2024.</w:t>
      </w:r>
    </w:p>
    <w:p w14:paraId="7214A3D9" w14:textId="77777777" w:rsidR="006A41D9" w:rsidRPr="001961AA" w:rsidRDefault="006A41D9" w:rsidP="00BD6DD1">
      <w:pPr>
        <w:pStyle w:val="Text1"/>
        <w:ind w:left="0"/>
        <w:rPr>
          <w:noProof/>
          <w:color w:val="000000" w:themeColor="text1"/>
          <w:u w:val="single"/>
          <w:lang w:val="en-GB"/>
        </w:rPr>
      </w:pPr>
      <w:r w:rsidRPr="001961AA">
        <w:rPr>
          <w:noProof/>
          <w:color w:val="000000" w:themeColor="text1"/>
          <w:u w:val="single"/>
          <w:lang w:val="en-GB"/>
        </w:rPr>
        <w:t>Reform R-5.03: ‘Learning account’ of the Federal State</w:t>
      </w:r>
    </w:p>
    <w:p w14:paraId="1CDEB19F" w14:textId="77777777" w:rsidR="006A41D9" w:rsidRPr="001961AA" w:rsidRDefault="006A41D9" w:rsidP="00BD6DD1">
      <w:pPr>
        <w:pStyle w:val="Text1"/>
        <w:ind w:left="0"/>
        <w:rPr>
          <w:noProof/>
          <w:color w:val="000000" w:themeColor="text1"/>
          <w:szCs w:val="24"/>
          <w:lang w:val="en-GB"/>
        </w:rPr>
      </w:pPr>
      <w:r w:rsidRPr="001961AA">
        <w:rPr>
          <w:noProof/>
          <w:color w:val="000000" w:themeColor="text1"/>
          <w:lang w:val="en-GB"/>
        </w:rPr>
        <w:t>The reform measure consist in three parts. The measure aims (i) to grant an individual right to training to each worker; (ii) to develop tax advantages for companies which provide employees with more hours of training than those already provided for by law and (iii) to remove, in consultation with the federated entities, obstacles to participation in training for workers in temporary unemployment. The implementation of the reform shall be completed by 31 December 2023.</w:t>
      </w:r>
    </w:p>
    <w:p w14:paraId="2650E8EB" w14:textId="77777777" w:rsidR="006A41D9" w:rsidRPr="001961AA" w:rsidRDefault="006A41D9" w:rsidP="00BD6DD1">
      <w:pPr>
        <w:pStyle w:val="Text1"/>
        <w:ind w:left="0"/>
        <w:rPr>
          <w:noProof/>
          <w:color w:val="000000" w:themeColor="text1"/>
          <w:szCs w:val="24"/>
          <w:lang w:val="en-GB"/>
        </w:rPr>
      </w:pPr>
      <w:r w:rsidRPr="001961AA">
        <w:rPr>
          <w:noProof/>
          <w:color w:val="000000" w:themeColor="text1"/>
          <w:lang w:val="en-GB"/>
        </w:rPr>
        <w:t>In order to grant each worker an individual right to training (i), an amendment to the Act of 5 March 2017 on workable and manageable work is envisaged. Under the current legislation, it is necessary to ensure at cross-industry level that each worker is entitled to an average of five days of training (or the equivalent number of hours) per year. The ambition of the reform is to achieve an individual right to training for each employee before the end of the parliamentary term. Enterprises with fewer than 10 employees and enterprises with fewer than 20 employees remain, mutatis mutandis, subject to exceptions or derogations.</w:t>
      </w:r>
    </w:p>
    <w:p w14:paraId="09045624" w14:textId="77777777" w:rsidR="006A41D9" w:rsidRPr="001961AA" w:rsidRDefault="006A41D9" w:rsidP="00BD6DD1">
      <w:pPr>
        <w:pStyle w:val="Text1"/>
        <w:ind w:left="0"/>
        <w:rPr>
          <w:noProof/>
          <w:color w:val="000000" w:themeColor="text1"/>
          <w:szCs w:val="24"/>
          <w:lang w:val="en-GB"/>
        </w:rPr>
      </w:pPr>
      <w:r w:rsidRPr="001961AA">
        <w:rPr>
          <w:noProof/>
          <w:color w:val="000000" w:themeColor="text1"/>
          <w:lang w:val="en-GB"/>
        </w:rPr>
        <w:t>For (ii) the reform entered into force on 1 January 2021 as set out in Section 4 of Chapter 1 of Title 2 of the Programme Law of 20 December 2020 published in the Official journal on 30 December 2020. Tax advantages take the form of an exemption from the payment of advance tax for employees who have completed a training course of at least 10 days in an uninterrupted period of 30 calendar days (for enterprises with shift or night work for an uninterrupted period of 60 calendar days; for small enterprises, the threshold is 5 days in an uninterrupted period of 75 calendar days).</w:t>
      </w:r>
    </w:p>
    <w:p w14:paraId="06696398" w14:textId="126C11E9" w:rsidR="006A41D9" w:rsidRPr="001961AA" w:rsidRDefault="006A41D9" w:rsidP="00BD6DD1">
      <w:pPr>
        <w:pStyle w:val="Text1"/>
        <w:ind w:left="0"/>
        <w:rPr>
          <w:noProof/>
          <w:color w:val="000000" w:themeColor="text1"/>
          <w:lang w:val="en-GB"/>
        </w:rPr>
      </w:pPr>
      <w:r w:rsidRPr="001961AA">
        <w:rPr>
          <w:noProof/>
          <w:color w:val="000000" w:themeColor="text1"/>
          <w:lang w:val="en-GB"/>
        </w:rPr>
        <w:t>The possibility of ensuring a better flow of data between the National Employment Office and the regional employment services (VDAB/ACTIRIS/FOREM/Arbeitsambt) is being explored for the organisation of a training offer for workers whose temporary unemployment is prolonged or more structural (iii). The information shall allow regional employment services to offer training for workers in long-term or structural temporary unemployment so as to reintegrate them into the labour market.</w:t>
      </w:r>
    </w:p>
    <w:p w14:paraId="141E80C2" w14:textId="77777777" w:rsidR="006A41D9" w:rsidRPr="001961AA" w:rsidRDefault="006A41D9" w:rsidP="00BD6DD1">
      <w:pPr>
        <w:pStyle w:val="Text1"/>
        <w:ind w:left="0"/>
        <w:rPr>
          <w:noProof/>
          <w:color w:val="000000" w:themeColor="text1"/>
          <w:szCs w:val="24"/>
          <w:lang w:val="en-GB"/>
        </w:rPr>
      </w:pPr>
      <w:r w:rsidRPr="001961AA">
        <w:rPr>
          <w:noProof/>
          <w:color w:val="000000" w:themeColor="text1"/>
          <w:lang w:val="en-GB"/>
        </w:rPr>
        <w:t>The amendment to the Act of 5 March 2017 on workable and manageable work shall enter into force by 1 January 2022.</w:t>
      </w:r>
    </w:p>
    <w:p w14:paraId="713E5157" w14:textId="77777777" w:rsidR="006A41D9" w:rsidRPr="001961AA" w:rsidRDefault="006A41D9" w:rsidP="00BD6DD1">
      <w:pPr>
        <w:pStyle w:val="Text1"/>
        <w:ind w:left="0"/>
        <w:rPr>
          <w:noProof/>
          <w:color w:val="000000" w:themeColor="text1"/>
          <w:szCs w:val="24"/>
          <w:u w:val="single"/>
          <w:lang w:val="en-GB"/>
        </w:rPr>
      </w:pPr>
      <w:r w:rsidRPr="001961AA">
        <w:rPr>
          <w:noProof/>
          <w:color w:val="000000" w:themeColor="text1"/>
          <w:u w:val="single"/>
          <w:lang w:val="en-GB"/>
        </w:rPr>
        <w:t>Reform R-5.04: ‘Life-long learning’ of the Flemish Community</w:t>
      </w:r>
    </w:p>
    <w:p w14:paraId="7EC35FA7" w14:textId="56F7DCCD" w:rsidR="006A41D9" w:rsidRPr="001961AA" w:rsidRDefault="006A41D9" w:rsidP="00BD6DD1">
      <w:pPr>
        <w:pStyle w:val="Text1"/>
        <w:ind w:left="0"/>
        <w:rPr>
          <w:noProof/>
          <w:color w:val="000000" w:themeColor="text1"/>
          <w:szCs w:val="24"/>
          <w:lang w:val="en-GB"/>
        </w:rPr>
      </w:pPr>
      <w:r w:rsidRPr="001961AA">
        <w:rPr>
          <w:noProof/>
          <w:color w:val="000000" w:themeColor="text1"/>
          <w:lang w:val="en-GB"/>
        </w:rPr>
        <w:t xml:space="preserve">The reform measure shall pave the way </w:t>
      </w:r>
      <w:r w:rsidRPr="001961AA">
        <w:rPr>
          <w:noProof/>
          <w:color w:val="000000"/>
          <w:lang w:val="en-GB"/>
        </w:rPr>
        <w:t xml:space="preserve">towards an individual learning and career account which shall make all training incentives clearly visible together in a single central place so that citizens know clearly their learning rights and the available support. Social partners and Flemish government shall agree on a vision paper, setting out how a learning and career account shall be introduced in Flanders, taking into consideration the need to increase transparency to citizens, better inclusion of vulnerable groups and ensuring alignment with digital learning account platform set up at the federal level. The vision paper shall be delivered </w:t>
      </w:r>
      <w:r w:rsidRPr="001961AA">
        <w:rPr>
          <w:noProof/>
          <w:color w:val="000000" w:themeColor="text1"/>
          <w:lang w:val="en-GB"/>
        </w:rPr>
        <w:t>by 30 June 2022.</w:t>
      </w:r>
    </w:p>
    <w:p w14:paraId="28397CFC" w14:textId="77777777" w:rsidR="006A41D9" w:rsidRPr="001961AA" w:rsidRDefault="006A41D9" w:rsidP="00BD6DD1">
      <w:pPr>
        <w:pStyle w:val="Text1"/>
        <w:ind w:left="0"/>
        <w:rPr>
          <w:noProof/>
          <w:color w:val="000000" w:themeColor="text1"/>
          <w:szCs w:val="24"/>
          <w:u w:val="single"/>
          <w:lang w:val="en-GB"/>
        </w:rPr>
      </w:pPr>
      <w:r w:rsidRPr="001961AA">
        <w:rPr>
          <w:noProof/>
          <w:color w:val="000000" w:themeColor="text1"/>
          <w:u w:val="single"/>
          <w:lang w:val="en-GB"/>
        </w:rPr>
        <w:t>Reform R-5.05: ‘Reform of support to jobseekers in Wallonia’ of the Walloon Region</w:t>
      </w:r>
    </w:p>
    <w:p w14:paraId="5F5D7675" w14:textId="77777777" w:rsidR="0071084B" w:rsidRPr="001961AA" w:rsidRDefault="006A41D9" w:rsidP="00BD6DD1">
      <w:pPr>
        <w:pStyle w:val="Text1"/>
        <w:ind w:left="0"/>
        <w:rPr>
          <w:i/>
          <w:iCs/>
          <w:noProof/>
          <w:color w:val="000000" w:themeColor="text1"/>
          <w:szCs w:val="24"/>
          <w:lang w:val="en-GB"/>
        </w:rPr>
        <w:sectPr w:rsidR="0071084B" w:rsidRPr="001961AA" w:rsidSect="0071084B">
          <w:headerReference w:type="even" r:id="rId198"/>
          <w:headerReference w:type="default" r:id="rId199"/>
          <w:footerReference w:type="even" r:id="rId200"/>
          <w:footerReference w:type="default" r:id="rId201"/>
          <w:headerReference w:type="first" r:id="rId202"/>
          <w:footerReference w:type="first" r:id="rId203"/>
          <w:pgSz w:w="11907" w:h="16839"/>
          <w:pgMar w:top="1134" w:right="1134" w:bottom="1134" w:left="1134" w:header="567" w:footer="567" w:gutter="0"/>
          <w:cols w:space="720"/>
          <w:docGrid w:linePitch="360"/>
        </w:sectPr>
      </w:pPr>
      <w:r w:rsidRPr="001961AA">
        <w:rPr>
          <w:noProof/>
          <w:color w:val="000000" w:themeColor="text1"/>
          <w:lang w:val="en-GB"/>
        </w:rPr>
        <w:t xml:space="preserve">The reform measures aim to improve the efficiency of activation of jobseekers in Wallonia by </w:t>
      </w:r>
      <w:r w:rsidRPr="001961AA">
        <w:rPr>
          <w:noProof/>
          <w:lang w:val="en-GB"/>
        </w:rPr>
        <w:t xml:space="preserve">adapting the decree relating to coaching and solutions-oriented support for job seekers. The </w:t>
      </w:r>
      <w:r w:rsidRPr="001961AA">
        <w:rPr>
          <w:noProof/>
          <w:color w:val="000000" w:themeColor="text1"/>
          <w:lang w:val="en-GB"/>
        </w:rPr>
        <w:t xml:space="preserve">new coaching and solutions-oriented support for job seekers aims to support all job seekers, to capitalize on all the information available, to verify skills upon registration and optimise collaborations between the Walloon public employment service (Forem) and support partners. The reform shall take advantage of efficient digital tools making it possible to manage distance and / or face-to-face career paths for the most independent job seekers while strengthening face-to-face support for those most in need of support. </w:t>
      </w:r>
      <w:r w:rsidRPr="001961AA">
        <w:rPr>
          <w:noProof/>
          <w:lang w:val="en-GB"/>
        </w:rPr>
        <w:t>T</w:t>
      </w:r>
      <w:r w:rsidRPr="001961AA">
        <w:rPr>
          <w:noProof/>
          <w:color w:val="000000" w:themeColor="text1"/>
          <w:lang w:val="en-GB"/>
        </w:rPr>
        <w:t>he decree relating to coaching and solutions-oriented support for job seekers shall be adopted by 30 September 2021 and enter into force ten days after its publication in the Official Journal</w:t>
      </w:r>
      <w:r w:rsidRPr="001961AA">
        <w:rPr>
          <w:i/>
          <w:noProof/>
          <w:color w:val="000000" w:themeColor="text1"/>
          <w:lang w:val="en-GB"/>
        </w:rPr>
        <w:t>.</w:t>
      </w:r>
    </w:p>
    <w:p w14:paraId="1F964FC8" w14:textId="77777777" w:rsidR="0071084B" w:rsidRPr="001961AA" w:rsidRDefault="0071084B" w:rsidP="0071084B">
      <w:pPr>
        <w:pStyle w:val="Text1"/>
        <w:ind w:left="0"/>
        <w:rPr>
          <w:noProof/>
          <w:lang w:val="en-GB"/>
        </w:rPr>
      </w:pPr>
      <w:r w:rsidRPr="001961AA">
        <w:rPr>
          <w:b/>
          <w:noProof/>
          <w:u w:val="single"/>
          <w:lang w:val="en-GB"/>
        </w:rPr>
        <w:t xml:space="preserve">N.2. </w:t>
      </w:r>
      <w:r w:rsidRPr="001961AA">
        <w:rPr>
          <w:noProof/>
          <w:lang w:val="en-GB"/>
        </w:rPr>
        <w:tab/>
      </w:r>
      <w:r w:rsidRPr="001961AA">
        <w:rPr>
          <w:b/>
          <w:noProof/>
          <w:u w:val="single"/>
          <w:lang w:val="en-GB"/>
        </w:rPr>
        <w:t>Milestones, targets, indicators, and timetable for monitoring and implementation for non-repayable financial support</w:t>
      </w:r>
    </w:p>
    <w:tbl>
      <w:tblPr>
        <w:tblW w:w="16268" w:type="dxa"/>
        <w:tblInd w:w="-856" w:type="dxa"/>
        <w:tblLayout w:type="fixed"/>
        <w:tblLook w:val="04A0" w:firstRow="1" w:lastRow="0" w:firstColumn="1" w:lastColumn="0" w:noHBand="0" w:noVBand="1"/>
      </w:tblPr>
      <w:tblGrid>
        <w:gridCol w:w="709"/>
        <w:gridCol w:w="1560"/>
        <w:gridCol w:w="1134"/>
        <w:gridCol w:w="1559"/>
        <w:gridCol w:w="1418"/>
        <w:gridCol w:w="1311"/>
        <w:gridCol w:w="957"/>
        <w:gridCol w:w="992"/>
        <w:gridCol w:w="992"/>
        <w:gridCol w:w="709"/>
        <w:gridCol w:w="4927"/>
      </w:tblGrid>
      <w:tr w:rsidR="004868CC" w:rsidRPr="001961AA" w14:paraId="60E6B25E" w14:textId="77777777" w:rsidTr="00E335C6">
        <w:trPr>
          <w:trHeight w:val="939"/>
          <w:tblHeader/>
        </w:trPr>
        <w:tc>
          <w:tcPr>
            <w:tcW w:w="70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44C6D75D" w14:textId="63E61567" w:rsidR="006A41D9" w:rsidRPr="001961AA" w:rsidRDefault="006A41D9" w:rsidP="00BD6DD1">
            <w:pPr>
              <w:spacing w:after="0"/>
              <w:jc w:val="center"/>
              <w:rPr>
                <w:rFonts w:ascii="Times New Roman" w:eastAsia="Times New Roman" w:hAnsi="Times New Roman" w:cs="Times New Roman"/>
                <w:b/>
                <w:noProof/>
                <w:sz w:val="20"/>
                <w:szCs w:val="20"/>
                <w:lang w:val="en-GB"/>
              </w:rPr>
            </w:pPr>
            <w:r w:rsidRPr="001961AA">
              <w:rPr>
                <w:rFonts w:ascii="Times New Roman" w:hAnsi="Times New Roman"/>
                <w:b/>
                <w:noProof/>
                <w:sz w:val="20"/>
                <w:lang w:val="en-GB"/>
              </w:rPr>
              <w:t>Seq. Nb.</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B40DF15" w14:textId="77777777" w:rsidR="006A41D9" w:rsidRPr="001961AA" w:rsidRDefault="006A41D9" w:rsidP="00BD6DD1">
            <w:pPr>
              <w:spacing w:after="0"/>
              <w:jc w:val="center"/>
              <w:rPr>
                <w:rFonts w:ascii="Times New Roman" w:eastAsia="Times New Roman" w:hAnsi="Times New Roman" w:cs="Times New Roman"/>
                <w:b/>
                <w:noProof/>
                <w:sz w:val="20"/>
                <w:szCs w:val="20"/>
                <w:lang w:val="en-GB"/>
              </w:rPr>
            </w:pPr>
            <w:r w:rsidRPr="001961AA">
              <w:rPr>
                <w:rFonts w:ascii="Times New Roman" w:hAnsi="Times New Roman"/>
                <w:b/>
                <w:noProof/>
                <w:sz w:val="20"/>
                <w:lang w:val="en-GB"/>
              </w:rPr>
              <w:t>Related Measure (Reform or Investment)</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2BAE95E" w14:textId="77777777" w:rsidR="006A41D9" w:rsidRPr="001961AA" w:rsidRDefault="006A41D9" w:rsidP="00BD6DD1">
            <w:pPr>
              <w:spacing w:after="0"/>
              <w:jc w:val="center"/>
              <w:rPr>
                <w:rFonts w:ascii="Times New Roman" w:eastAsia="Times New Roman" w:hAnsi="Times New Roman" w:cs="Times New Roman"/>
                <w:b/>
                <w:noProof/>
                <w:sz w:val="20"/>
                <w:szCs w:val="20"/>
                <w:lang w:val="en-GB"/>
              </w:rPr>
            </w:pPr>
            <w:r w:rsidRPr="001961AA">
              <w:rPr>
                <w:rFonts w:ascii="Times New Roman" w:hAnsi="Times New Roman"/>
                <w:b/>
                <w:noProof/>
                <w:sz w:val="20"/>
                <w:lang w:val="en-GB"/>
              </w:rPr>
              <w:t>Milestone / Target</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77979296" w14:textId="77777777" w:rsidR="006A41D9" w:rsidRPr="001961AA" w:rsidRDefault="006A41D9" w:rsidP="00BD6DD1">
            <w:pPr>
              <w:spacing w:after="0"/>
              <w:jc w:val="center"/>
              <w:rPr>
                <w:rFonts w:ascii="Times New Roman" w:eastAsia="Times New Roman" w:hAnsi="Times New Roman" w:cs="Times New Roman"/>
                <w:b/>
                <w:noProof/>
                <w:sz w:val="20"/>
                <w:szCs w:val="20"/>
                <w:lang w:val="en-GB"/>
              </w:rPr>
            </w:pPr>
            <w:r w:rsidRPr="001961AA">
              <w:rPr>
                <w:rFonts w:ascii="Times New Roman" w:hAnsi="Times New Roman"/>
                <w:b/>
                <w:noProof/>
                <w:sz w:val="20"/>
                <w:lang w:val="en-GB"/>
              </w:rPr>
              <w:t>Name</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CDF83B9" w14:textId="77777777" w:rsidR="006A41D9" w:rsidRPr="001961AA" w:rsidRDefault="006A41D9" w:rsidP="00BD6DD1">
            <w:pPr>
              <w:spacing w:after="0"/>
              <w:jc w:val="center"/>
              <w:rPr>
                <w:rFonts w:ascii="Times New Roman" w:eastAsia="Times New Roman" w:hAnsi="Times New Roman" w:cs="Times New Roman"/>
                <w:b/>
                <w:noProof/>
                <w:sz w:val="20"/>
                <w:szCs w:val="20"/>
                <w:lang w:val="en-GB"/>
              </w:rPr>
            </w:pPr>
            <w:r w:rsidRPr="001961AA">
              <w:rPr>
                <w:rFonts w:ascii="Times New Roman" w:hAnsi="Times New Roman"/>
                <w:b/>
                <w:noProof/>
                <w:sz w:val="20"/>
                <w:lang w:val="en-GB"/>
              </w:rPr>
              <w:t xml:space="preserve">Qualitative indicators </w:t>
            </w:r>
            <w:r w:rsidRPr="001961AA">
              <w:rPr>
                <w:noProof/>
                <w:lang w:val="en-GB"/>
              </w:rPr>
              <w:t xml:space="preserve"> </w:t>
            </w:r>
            <w:r w:rsidRPr="001961AA">
              <w:rPr>
                <w:noProof/>
                <w:lang w:val="en-GB"/>
              </w:rPr>
              <w:br/>
            </w:r>
            <w:r w:rsidRPr="001961AA">
              <w:rPr>
                <w:rFonts w:ascii="Times New Roman" w:hAnsi="Times New Roman"/>
                <w:b/>
                <w:noProof/>
                <w:sz w:val="20"/>
                <w:lang w:val="en-GB"/>
              </w:rPr>
              <w:t>(for milestones)</w:t>
            </w:r>
          </w:p>
        </w:tc>
        <w:tc>
          <w:tcPr>
            <w:tcW w:w="3260" w:type="dxa"/>
            <w:gridSpan w:val="3"/>
            <w:tcBorders>
              <w:top w:val="single" w:sz="4" w:space="0" w:color="auto"/>
              <w:left w:val="single" w:sz="4" w:space="0" w:color="auto"/>
              <w:bottom w:val="single" w:sz="4" w:space="0" w:color="auto"/>
              <w:right w:val="single" w:sz="4" w:space="0" w:color="auto"/>
            </w:tcBorders>
            <w:shd w:val="clear" w:color="auto" w:fill="BDD7EE"/>
            <w:vAlign w:val="center"/>
            <w:hideMark/>
          </w:tcPr>
          <w:p w14:paraId="75CD142A" w14:textId="77777777" w:rsidR="006A41D9" w:rsidRPr="001961AA" w:rsidRDefault="006A41D9" w:rsidP="00BD6DD1">
            <w:pPr>
              <w:spacing w:after="0"/>
              <w:jc w:val="center"/>
              <w:rPr>
                <w:rFonts w:ascii="Times New Roman" w:eastAsia="Times New Roman" w:hAnsi="Times New Roman" w:cs="Times New Roman"/>
                <w:b/>
                <w:noProof/>
                <w:sz w:val="20"/>
                <w:szCs w:val="20"/>
                <w:lang w:val="en-GB"/>
              </w:rPr>
            </w:pPr>
            <w:r w:rsidRPr="001961AA">
              <w:rPr>
                <w:rFonts w:ascii="Times New Roman" w:hAnsi="Times New Roman"/>
                <w:b/>
                <w:noProof/>
                <w:sz w:val="20"/>
                <w:lang w:val="en-GB"/>
              </w:rPr>
              <w:t xml:space="preserve">Quantitative indicators </w:t>
            </w:r>
            <w:r w:rsidRPr="001961AA">
              <w:rPr>
                <w:noProof/>
                <w:lang w:val="en-GB"/>
              </w:rPr>
              <w:t xml:space="preserve"> </w:t>
            </w:r>
            <w:r w:rsidRPr="001961AA">
              <w:rPr>
                <w:noProof/>
                <w:lang w:val="en-GB"/>
              </w:rPr>
              <w:br/>
            </w:r>
            <w:r w:rsidRPr="001961AA">
              <w:rPr>
                <w:rFonts w:ascii="Times New Roman" w:hAnsi="Times New Roman"/>
                <w:b/>
                <w:noProof/>
                <w:sz w:val="20"/>
                <w:lang w:val="en-GB"/>
              </w:rPr>
              <w:t>(for targets)</w:t>
            </w:r>
          </w:p>
        </w:tc>
        <w:tc>
          <w:tcPr>
            <w:tcW w:w="1701" w:type="dxa"/>
            <w:gridSpan w:val="2"/>
            <w:tcBorders>
              <w:top w:val="single" w:sz="4" w:space="0" w:color="auto"/>
              <w:left w:val="single" w:sz="4" w:space="0" w:color="auto"/>
              <w:bottom w:val="single" w:sz="4" w:space="0" w:color="auto"/>
              <w:right w:val="single" w:sz="4" w:space="0" w:color="auto"/>
            </w:tcBorders>
            <w:shd w:val="clear" w:color="auto" w:fill="BDD7EE"/>
            <w:vAlign w:val="center"/>
            <w:hideMark/>
          </w:tcPr>
          <w:p w14:paraId="578B85CB" w14:textId="77777777" w:rsidR="006A41D9" w:rsidRPr="001961AA" w:rsidRDefault="006A41D9" w:rsidP="00BD6DD1">
            <w:pPr>
              <w:spacing w:after="0"/>
              <w:jc w:val="center"/>
              <w:rPr>
                <w:rFonts w:ascii="Times New Roman" w:eastAsia="Times New Roman" w:hAnsi="Times New Roman" w:cs="Times New Roman"/>
                <w:b/>
                <w:noProof/>
                <w:sz w:val="20"/>
                <w:szCs w:val="20"/>
                <w:lang w:val="en-GB"/>
              </w:rPr>
            </w:pPr>
            <w:r w:rsidRPr="001961AA">
              <w:rPr>
                <w:rFonts w:ascii="Times New Roman" w:hAnsi="Times New Roman"/>
                <w:b/>
                <w:noProof/>
                <w:sz w:val="20"/>
                <w:lang w:val="en-GB"/>
              </w:rPr>
              <w:t xml:space="preserve">Indicative timeline for completion </w:t>
            </w:r>
          </w:p>
        </w:tc>
        <w:tc>
          <w:tcPr>
            <w:tcW w:w="4927"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E98A460" w14:textId="77777777" w:rsidR="006A41D9" w:rsidRPr="001961AA" w:rsidRDefault="006A41D9" w:rsidP="00BD6DD1">
            <w:pPr>
              <w:spacing w:after="0"/>
              <w:jc w:val="center"/>
              <w:rPr>
                <w:rFonts w:ascii="Times New Roman" w:eastAsia="Times New Roman" w:hAnsi="Times New Roman" w:cs="Times New Roman"/>
                <w:b/>
                <w:noProof/>
                <w:sz w:val="20"/>
                <w:szCs w:val="20"/>
                <w:lang w:val="en-GB"/>
              </w:rPr>
            </w:pPr>
            <w:r w:rsidRPr="001961AA">
              <w:rPr>
                <w:rFonts w:ascii="Times New Roman" w:hAnsi="Times New Roman"/>
                <w:b/>
                <w:noProof/>
                <w:sz w:val="20"/>
                <w:lang w:val="en-GB"/>
              </w:rPr>
              <w:t>Description of each milestone and target</w:t>
            </w:r>
          </w:p>
        </w:tc>
      </w:tr>
      <w:tr w:rsidR="004868CC" w:rsidRPr="001961AA" w14:paraId="3E5C1C02" w14:textId="77777777" w:rsidTr="00300C11">
        <w:trPr>
          <w:trHeight w:val="1027"/>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0D55A288" w14:textId="77777777" w:rsidR="006A41D9" w:rsidRPr="001961AA" w:rsidRDefault="006A41D9" w:rsidP="00BD6DD1">
            <w:pPr>
              <w:spacing w:after="0"/>
              <w:rPr>
                <w:rFonts w:ascii="Times New Roman" w:eastAsia="Times New Roman" w:hAnsi="Times New Roman" w:cs="Times New Roman"/>
                <w:b/>
                <w:bCs/>
                <w:noProof/>
                <w:szCs w:val="24"/>
                <w:lang w:val="en-GB" w:eastAsia="en-GB"/>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94901D7" w14:textId="77777777" w:rsidR="006A41D9" w:rsidRPr="001961AA" w:rsidRDefault="006A41D9" w:rsidP="00BD6DD1">
            <w:pPr>
              <w:spacing w:after="0"/>
              <w:rPr>
                <w:rFonts w:ascii="Times New Roman" w:eastAsia="Times New Roman" w:hAnsi="Times New Roman" w:cs="Times New Roman"/>
                <w:b/>
                <w:bCs/>
                <w:noProof/>
                <w:szCs w:val="24"/>
                <w:lang w:val="en-GB" w:eastAsia="en-G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0D8650D" w14:textId="77777777" w:rsidR="006A41D9" w:rsidRPr="001961AA" w:rsidRDefault="006A41D9" w:rsidP="00BD6DD1">
            <w:pPr>
              <w:spacing w:after="0"/>
              <w:rPr>
                <w:rFonts w:ascii="Times New Roman" w:eastAsia="Times New Roman" w:hAnsi="Times New Roman" w:cs="Times New Roman"/>
                <w:b/>
                <w:bCs/>
                <w:noProof/>
                <w:szCs w:val="24"/>
                <w:lang w:val="en-GB" w:eastAsia="en-GB"/>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8A99CA8" w14:textId="77777777" w:rsidR="006A41D9" w:rsidRPr="001961AA" w:rsidRDefault="006A41D9" w:rsidP="00BD6DD1">
            <w:pPr>
              <w:spacing w:after="0"/>
              <w:rPr>
                <w:rFonts w:ascii="Times New Roman" w:eastAsia="Times New Roman" w:hAnsi="Times New Roman" w:cs="Times New Roman"/>
                <w:b/>
                <w:bCs/>
                <w:noProof/>
                <w:szCs w:val="24"/>
                <w:lang w:val="en-GB" w:eastAsia="en-GB"/>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DEBB976" w14:textId="77777777" w:rsidR="006A41D9" w:rsidRPr="001961AA" w:rsidRDefault="006A41D9" w:rsidP="00BD6DD1">
            <w:pPr>
              <w:spacing w:after="0"/>
              <w:rPr>
                <w:rFonts w:ascii="Times New Roman" w:eastAsia="Times New Roman" w:hAnsi="Times New Roman" w:cs="Times New Roman"/>
                <w:b/>
                <w:bCs/>
                <w:noProof/>
                <w:szCs w:val="24"/>
                <w:lang w:val="en-GB" w:eastAsia="en-GB"/>
              </w:rPr>
            </w:pPr>
          </w:p>
        </w:tc>
        <w:tc>
          <w:tcPr>
            <w:tcW w:w="1311"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3736DB4E" w14:textId="77777777" w:rsidR="006A41D9" w:rsidRPr="001961AA" w:rsidRDefault="006A41D9" w:rsidP="00BD6DD1">
            <w:pPr>
              <w:spacing w:after="0"/>
              <w:jc w:val="center"/>
              <w:rPr>
                <w:rFonts w:ascii="Times New Roman" w:eastAsia="Times New Roman" w:hAnsi="Times New Roman" w:cs="Times New Roman"/>
                <w:b/>
                <w:noProof/>
                <w:sz w:val="20"/>
                <w:szCs w:val="20"/>
                <w:lang w:val="en-GB"/>
              </w:rPr>
            </w:pPr>
            <w:r w:rsidRPr="001961AA">
              <w:rPr>
                <w:rFonts w:ascii="Times New Roman" w:hAnsi="Times New Roman"/>
                <w:b/>
                <w:noProof/>
                <w:sz w:val="20"/>
                <w:lang w:val="en-GB"/>
              </w:rPr>
              <w:t>Unit of measure</w:t>
            </w:r>
          </w:p>
        </w:tc>
        <w:tc>
          <w:tcPr>
            <w:tcW w:w="957" w:type="dxa"/>
            <w:tcBorders>
              <w:top w:val="single" w:sz="4" w:space="0" w:color="auto"/>
              <w:left w:val="nil"/>
              <w:bottom w:val="single" w:sz="4" w:space="0" w:color="auto"/>
              <w:right w:val="single" w:sz="4" w:space="0" w:color="auto"/>
            </w:tcBorders>
            <w:shd w:val="clear" w:color="auto" w:fill="BDD7EE"/>
            <w:vAlign w:val="center"/>
            <w:hideMark/>
          </w:tcPr>
          <w:p w14:paraId="4E880757" w14:textId="77777777" w:rsidR="006A41D9" w:rsidRPr="001961AA" w:rsidRDefault="006A41D9" w:rsidP="00BD6DD1">
            <w:pPr>
              <w:spacing w:after="0"/>
              <w:jc w:val="center"/>
              <w:rPr>
                <w:rFonts w:ascii="Times New Roman" w:eastAsia="Times New Roman" w:hAnsi="Times New Roman" w:cs="Times New Roman"/>
                <w:b/>
                <w:noProof/>
                <w:sz w:val="20"/>
                <w:szCs w:val="20"/>
                <w:lang w:val="en-GB"/>
              </w:rPr>
            </w:pPr>
            <w:r w:rsidRPr="001961AA">
              <w:rPr>
                <w:rFonts w:ascii="Times New Roman" w:hAnsi="Times New Roman"/>
                <w:b/>
                <w:noProof/>
                <w:sz w:val="20"/>
                <w:lang w:val="en-GB"/>
              </w:rPr>
              <w:t xml:space="preserve">Baseline </w:t>
            </w:r>
          </w:p>
        </w:tc>
        <w:tc>
          <w:tcPr>
            <w:tcW w:w="992" w:type="dxa"/>
            <w:tcBorders>
              <w:top w:val="single" w:sz="4" w:space="0" w:color="auto"/>
              <w:left w:val="nil"/>
              <w:bottom w:val="single" w:sz="4" w:space="0" w:color="auto"/>
              <w:right w:val="single" w:sz="4" w:space="0" w:color="auto"/>
            </w:tcBorders>
            <w:shd w:val="clear" w:color="auto" w:fill="BDD7EE"/>
            <w:vAlign w:val="center"/>
            <w:hideMark/>
          </w:tcPr>
          <w:p w14:paraId="538E83CC" w14:textId="77777777" w:rsidR="006A41D9" w:rsidRPr="001961AA" w:rsidRDefault="006A41D9" w:rsidP="00BD6DD1">
            <w:pPr>
              <w:spacing w:after="0"/>
              <w:jc w:val="center"/>
              <w:rPr>
                <w:rFonts w:ascii="Times New Roman" w:eastAsia="Times New Roman" w:hAnsi="Times New Roman" w:cs="Times New Roman"/>
                <w:b/>
                <w:noProof/>
                <w:sz w:val="20"/>
                <w:szCs w:val="20"/>
                <w:lang w:val="en-GB"/>
              </w:rPr>
            </w:pPr>
            <w:r w:rsidRPr="001961AA">
              <w:rPr>
                <w:rFonts w:ascii="Times New Roman" w:hAnsi="Times New Roman"/>
                <w:b/>
                <w:noProof/>
                <w:sz w:val="20"/>
                <w:lang w:val="en-GB"/>
              </w:rPr>
              <w:t xml:space="preserve">Goal </w:t>
            </w:r>
          </w:p>
        </w:tc>
        <w:tc>
          <w:tcPr>
            <w:tcW w:w="992" w:type="dxa"/>
            <w:tcBorders>
              <w:top w:val="single" w:sz="4" w:space="0" w:color="auto"/>
              <w:left w:val="nil"/>
              <w:bottom w:val="single" w:sz="4" w:space="0" w:color="auto"/>
              <w:right w:val="single" w:sz="4" w:space="0" w:color="auto"/>
            </w:tcBorders>
            <w:shd w:val="clear" w:color="auto" w:fill="BDD7EE"/>
            <w:vAlign w:val="center"/>
            <w:hideMark/>
          </w:tcPr>
          <w:p w14:paraId="1D63183B" w14:textId="77777777" w:rsidR="006A41D9" w:rsidRPr="001961AA" w:rsidRDefault="006A41D9" w:rsidP="00BD6DD1">
            <w:pPr>
              <w:spacing w:after="0"/>
              <w:jc w:val="center"/>
              <w:rPr>
                <w:rFonts w:ascii="Times New Roman" w:eastAsia="Times New Roman" w:hAnsi="Times New Roman" w:cs="Times New Roman"/>
                <w:b/>
                <w:noProof/>
                <w:sz w:val="20"/>
                <w:szCs w:val="20"/>
                <w:lang w:val="en-GB"/>
              </w:rPr>
            </w:pPr>
            <w:r w:rsidRPr="001961AA">
              <w:rPr>
                <w:rFonts w:ascii="Times New Roman" w:hAnsi="Times New Roman"/>
                <w:b/>
                <w:noProof/>
                <w:sz w:val="20"/>
                <w:lang w:val="en-GB"/>
              </w:rPr>
              <w:t>Quarter</w:t>
            </w:r>
          </w:p>
        </w:tc>
        <w:tc>
          <w:tcPr>
            <w:tcW w:w="709" w:type="dxa"/>
            <w:tcBorders>
              <w:top w:val="single" w:sz="4" w:space="0" w:color="auto"/>
              <w:left w:val="nil"/>
              <w:bottom w:val="single" w:sz="4" w:space="0" w:color="auto"/>
              <w:right w:val="single" w:sz="4" w:space="0" w:color="auto"/>
            </w:tcBorders>
            <w:shd w:val="clear" w:color="auto" w:fill="BDD7EE"/>
            <w:vAlign w:val="center"/>
            <w:hideMark/>
          </w:tcPr>
          <w:p w14:paraId="7DA55138" w14:textId="77777777" w:rsidR="006A41D9" w:rsidRPr="001961AA" w:rsidRDefault="006A41D9" w:rsidP="00BD6DD1">
            <w:pPr>
              <w:spacing w:after="0"/>
              <w:jc w:val="center"/>
              <w:rPr>
                <w:rFonts w:ascii="Times New Roman" w:eastAsia="Times New Roman" w:hAnsi="Times New Roman" w:cs="Times New Roman"/>
                <w:b/>
                <w:noProof/>
                <w:sz w:val="20"/>
                <w:szCs w:val="20"/>
                <w:lang w:val="en-GB"/>
              </w:rPr>
            </w:pPr>
            <w:r w:rsidRPr="001961AA">
              <w:rPr>
                <w:rFonts w:ascii="Times New Roman" w:hAnsi="Times New Roman"/>
                <w:b/>
                <w:noProof/>
                <w:sz w:val="20"/>
                <w:lang w:val="en-GB"/>
              </w:rPr>
              <w:t>Year</w:t>
            </w:r>
          </w:p>
        </w:tc>
        <w:tc>
          <w:tcPr>
            <w:tcW w:w="4927" w:type="dxa"/>
            <w:vMerge/>
            <w:tcBorders>
              <w:top w:val="single" w:sz="4" w:space="0" w:color="auto"/>
              <w:bottom w:val="single" w:sz="4" w:space="0" w:color="auto"/>
              <w:right w:val="single" w:sz="4" w:space="0" w:color="auto"/>
            </w:tcBorders>
            <w:vAlign w:val="center"/>
            <w:hideMark/>
          </w:tcPr>
          <w:p w14:paraId="4A29BD9D" w14:textId="77777777" w:rsidR="006A41D9" w:rsidRPr="001961AA" w:rsidRDefault="006A41D9" w:rsidP="00BD6DD1">
            <w:pPr>
              <w:spacing w:after="0"/>
              <w:rPr>
                <w:rFonts w:ascii="Times New Roman" w:eastAsia="Times New Roman" w:hAnsi="Times New Roman" w:cs="Times New Roman"/>
                <w:b/>
                <w:bCs/>
                <w:noProof/>
                <w:szCs w:val="24"/>
                <w:lang w:val="en-GB" w:eastAsia="en-GB"/>
              </w:rPr>
            </w:pPr>
          </w:p>
        </w:tc>
      </w:tr>
      <w:tr w:rsidR="00292220" w:rsidRPr="001961AA" w14:paraId="0F57F192" w14:textId="77777777" w:rsidTr="00300C11">
        <w:trPr>
          <w:trHeight w:val="313"/>
        </w:trPr>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6EAB48BF"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159</w:t>
            </w:r>
          </w:p>
        </w:tc>
        <w:tc>
          <w:tcPr>
            <w:tcW w:w="1560" w:type="dxa"/>
            <w:tcBorders>
              <w:top w:val="single" w:sz="4" w:space="0" w:color="auto"/>
              <w:left w:val="nil"/>
              <w:bottom w:val="single" w:sz="4" w:space="0" w:color="auto"/>
              <w:right w:val="single" w:sz="4" w:space="0" w:color="auto"/>
            </w:tcBorders>
            <w:shd w:val="clear" w:color="auto" w:fill="C6EFCE"/>
            <w:noWrap/>
            <w:vAlign w:val="center"/>
          </w:tcPr>
          <w:p w14:paraId="3C12C74A" w14:textId="77777777" w:rsidR="006A41D9" w:rsidRPr="001961AA" w:rsidRDefault="006A41D9" w:rsidP="00BD6DD1">
            <w:pPr>
              <w:spacing w:after="0"/>
              <w:rPr>
                <w:rFonts w:ascii="Times New Roman" w:hAnsi="Times New Roman" w:cs="Times New Roman"/>
                <w:noProof/>
                <w:color w:val="006100"/>
                <w:lang w:val="en-GB"/>
              </w:rPr>
            </w:pPr>
            <w:r w:rsidRPr="001961AA">
              <w:rPr>
                <w:rFonts w:ascii="Times New Roman" w:hAnsi="Times New Roman"/>
                <w:noProof/>
                <w:color w:val="006100"/>
                <w:lang w:val="en-GB"/>
              </w:rPr>
              <w:t xml:space="preserve">A6K/E6K </w:t>
            </w:r>
          </w:p>
          <w:p w14:paraId="37743E1F" w14:textId="77777777" w:rsidR="006A41D9" w:rsidRPr="001961AA" w:rsidRDefault="006A41D9" w:rsidP="00BD6DD1">
            <w:pPr>
              <w:spacing w:after="0"/>
              <w:rPr>
                <w:rFonts w:ascii="Times New Roman" w:hAnsi="Times New Roman" w:cs="Times New Roman"/>
                <w:noProof/>
                <w:color w:val="006100"/>
                <w:lang w:val="en-GB"/>
              </w:rPr>
            </w:pPr>
            <w:r w:rsidRPr="001961AA">
              <w:rPr>
                <w:rFonts w:ascii="Times New Roman" w:hAnsi="Times New Roman"/>
                <w:noProof/>
                <w:color w:val="006100"/>
                <w:lang w:val="en-GB"/>
              </w:rPr>
              <w:t>Digital and Technological Innovation and Training Hub (I-5.01)</w:t>
            </w:r>
          </w:p>
        </w:tc>
        <w:tc>
          <w:tcPr>
            <w:tcW w:w="1134" w:type="dxa"/>
            <w:tcBorders>
              <w:top w:val="single" w:sz="4" w:space="0" w:color="auto"/>
              <w:left w:val="nil"/>
              <w:bottom w:val="single" w:sz="4" w:space="0" w:color="auto"/>
              <w:right w:val="single" w:sz="4" w:space="0" w:color="auto"/>
            </w:tcBorders>
            <w:shd w:val="clear" w:color="auto" w:fill="C6EFCE"/>
            <w:noWrap/>
            <w:vAlign w:val="center"/>
            <w:hideMark/>
          </w:tcPr>
          <w:p w14:paraId="017FF5BF" w14:textId="5F1933F8" w:rsidR="006A41D9" w:rsidRPr="001961AA" w:rsidRDefault="006A41D9" w:rsidP="00D875C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M</w:t>
            </w:r>
          </w:p>
        </w:tc>
        <w:tc>
          <w:tcPr>
            <w:tcW w:w="1559" w:type="dxa"/>
            <w:tcBorders>
              <w:top w:val="single" w:sz="4" w:space="0" w:color="auto"/>
              <w:left w:val="nil"/>
              <w:bottom w:val="single" w:sz="4" w:space="0" w:color="auto"/>
              <w:right w:val="single" w:sz="4" w:space="0" w:color="auto"/>
            </w:tcBorders>
            <w:shd w:val="clear" w:color="auto" w:fill="C6EFCE"/>
            <w:noWrap/>
            <w:vAlign w:val="center"/>
          </w:tcPr>
          <w:p w14:paraId="250342A2" w14:textId="77777777" w:rsidR="006A41D9" w:rsidRPr="001961AA" w:rsidRDefault="006A41D9" w:rsidP="00BD6DD1">
            <w:pPr>
              <w:spacing w:after="0"/>
              <w:rPr>
                <w:rFonts w:ascii="Times New Roman" w:hAnsi="Times New Roman" w:cs="Times New Roman"/>
                <w:noProof/>
                <w:color w:val="006100"/>
                <w:lang w:val="en-GB"/>
              </w:rPr>
            </w:pPr>
            <w:r w:rsidRPr="001961AA">
              <w:rPr>
                <w:rFonts w:ascii="Times New Roman" w:hAnsi="Times New Roman"/>
                <w:noProof/>
                <w:color w:val="006100"/>
                <w:lang w:val="en-GB"/>
              </w:rPr>
              <w:t>Activity developed through A6K-E6K</w:t>
            </w:r>
          </w:p>
        </w:tc>
        <w:tc>
          <w:tcPr>
            <w:tcW w:w="1418" w:type="dxa"/>
            <w:tcBorders>
              <w:top w:val="single" w:sz="4" w:space="0" w:color="auto"/>
              <w:left w:val="nil"/>
              <w:bottom w:val="single" w:sz="4" w:space="0" w:color="auto"/>
              <w:right w:val="single" w:sz="4" w:space="0" w:color="auto"/>
            </w:tcBorders>
            <w:shd w:val="clear" w:color="auto" w:fill="C6EFCE"/>
            <w:noWrap/>
            <w:vAlign w:val="center"/>
            <w:hideMark/>
          </w:tcPr>
          <w:p w14:paraId="091FF4B5" w14:textId="77777777" w:rsidR="006A41D9" w:rsidRPr="001961AA" w:rsidRDefault="006A41D9" w:rsidP="00BD6DD1">
            <w:pPr>
              <w:spacing w:after="0"/>
              <w:rPr>
                <w:rFonts w:ascii="Times New Roman" w:hAnsi="Times New Roman" w:cs="Times New Roman"/>
                <w:noProof/>
                <w:color w:val="006100"/>
                <w:lang w:val="en-GB"/>
              </w:rPr>
            </w:pPr>
            <w:r w:rsidRPr="001961AA">
              <w:rPr>
                <w:rFonts w:ascii="Times New Roman" w:hAnsi="Times New Roman"/>
                <w:noProof/>
                <w:color w:val="006100"/>
                <w:lang w:val="en-GB"/>
              </w:rPr>
              <w:t>Report on business steps completed delivered by the steering committee</w:t>
            </w:r>
          </w:p>
        </w:tc>
        <w:tc>
          <w:tcPr>
            <w:tcW w:w="1311" w:type="dxa"/>
            <w:tcBorders>
              <w:top w:val="single" w:sz="4" w:space="0" w:color="auto"/>
              <w:left w:val="nil"/>
              <w:bottom w:val="single" w:sz="4" w:space="0" w:color="auto"/>
              <w:right w:val="single" w:sz="4" w:space="0" w:color="auto"/>
            </w:tcBorders>
            <w:shd w:val="clear" w:color="auto" w:fill="C6EFCE"/>
            <w:noWrap/>
            <w:vAlign w:val="center"/>
            <w:hideMark/>
          </w:tcPr>
          <w:p w14:paraId="29FB770B" w14:textId="77777777" w:rsidR="006A41D9" w:rsidRPr="001961AA" w:rsidRDefault="006A41D9" w:rsidP="00BD6DD1">
            <w:pPr>
              <w:spacing w:after="0"/>
              <w:jc w:val="center"/>
              <w:rPr>
                <w:rFonts w:ascii="Times New Roman" w:hAnsi="Times New Roman" w:cs="Times New Roman"/>
                <w:noProof/>
                <w:color w:val="006100"/>
                <w:lang w:val="en-GB"/>
              </w:rPr>
            </w:pPr>
          </w:p>
        </w:tc>
        <w:tc>
          <w:tcPr>
            <w:tcW w:w="957" w:type="dxa"/>
            <w:tcBorders>
              <w:top w:val="single" w:sz="4" w:space="0" w:color="auto"/>
              <w:left w:val="nil"/>
              <w:bottom w:val="single" w:sz="4" w:space="0" w:color="auto"/>
              <w:right w:val="single" w:sz="4" w:space="0" w:color="auto"/>
            </w:tcBorders>
            <w:shd w:val="clear" w:color="auto" w:fill="C6EFCE"/>
            <w:noWrap/>
            <w:vAlign w:val="center"/>
          </w:tcPr>
          <w:p w14:paraId="2F12B46E" w14:textId="77777777" w:rsidR="006A41D9" w:rsidRPr="001961AA" w:rsidRDefault="006A41D9" w:rsidP="00BD6DD1">
            <w:pPr>
              <w:spacing w:after="0"/>
              <w:jc w:val="center"/>
              <w:rPr>
                <w:rFonts w:ascii="Times New Roman" w:hAnsi="Times New Roman" w:cs="Times New Roman"/>
                <w:noProof/>
                <w:color w:val="006100"/>
                <w:lang w:val="en-GB"/>
              </w:rPr>
            </w:pPr>
          </w:p>
        </w:tc>
        <w:tc>
          <w:tcPr>
            <w:tcW w:w="992" w:type="dxa"/>
            <w:tcBorders>
              <w:top w:val="single" w:sz="4" w:space="0" w:color="auto"/>
              <w:left w:val="nil"/>
              <w:bottom w:val="single" w:sz="4" w:space="0" w:color="auto"/>
              <w:right w:val="single" w:sz="4" w:space="0" w:color="auto"/>
            </w:tcBorders>
            <w:shd w:val="clear" w:color="auto" w:fill="C6EFCE"/>
            <w:noWrap/>
            <w:vAlign w:val="center"/>
          </w:tcPr>
          <w:p w14:paraId="7BA0B078" w14:textId="77777777" w:rsidR="006A41D9" w:rsidRPr="001961AA" w:rsidRDefault="006A41D9" w:rsidP="00BD6DD1">
            <w:pPr>
              <w:spacing w:after="0"/>
              <w:jc w:val="center"/>
              <w:rPr>
                <w:rFonts w:ascii="Times New Roman" w:hAnsi="Times New Roman" w:cs="Times New Roman"/>
                <w:noProof/>
                <w:color w:val="006100"/>
                <w:lang w:val="en-GB"/>
              </w:rPr>
            </w:pPr>
          </w:p>
        </w:tc>
        <w:tc>
          <w:tcPr>
            <w:tcW w:w="992" w:type="dxa"/>
            <w:tcBorders>
              <w:top w:val="single" w:sz="4" w:space="0" w:color="auto"/>
              <w:left w:val="nil"/>
              <w:bottom w:val="single" w:sz="4" w:space="0" w:color="auto"/>
              <w:right w:val="single" w:sz="4" w:space="0" w:color="auto"/>
            </w:tcBorders>
            <w:shd w:val="clear" w:color="auto" w:fill="C6EFCE"/>
            <w:noWrap/>
            <w:vAlign w:val="center"/>
            <w:hideMark/>
          </w:tcPr>
          <w:p w14:paraId="5E9EDF3E" w14:textId="77777777" w:rsidR="006A41D9" w:rsidRPr="001961AA" w:rsidRDefault="006A41D9" w:rsidP="00BD6DD1">
            <w:pPr>
              <w:spacing w:after="0"/>
              <w:jc w:val="center"/>
              <w:rPr>
                <w:rFonts w:ascii="Times New Roman" w:hAnsi="Times New Roman" w:cs="Times New Roman"/>
                <w:noProof/>
                <w:color w:val="006100"/>
                <w:lang w:val="en-GB"/>
              </w:rPr>
            </w:pPr>
            <w:r w:rsidRPr="001961AA">
              <w:rPr>
                <w:rFonts w:ascii="Times New Roman" w:hAnsi="Times New Roman"/>
                <w:noProof/>
                <w:color w:val="006100"/>
                <w:lang w:val="en-GB"/>
              </w:rPr>
              <w:t>Q1</w:t>
            </w:r>
          </w:p>
        </w:tc>
        <w:tc>
          <w:tcPr>
            <w:tcW w:w="709" w:type="dxa"/>
            <w:tcBorders>
              <w:top w:val="single" w:sz="4" w:space="0" w:color="auto"/>
              <w:left w:val="nil"/>
              <w:bottom w:val="single" w:sz="4" w:space="0" w:color="auto"/>
              <w:right w:val="single" w:sz="4" w:space="0" w:color="auto"/>
            </w:tcBorders>
            <w:shd w:val="clear" w:color="auto" w:fill="C6EFCE"/>
            <w:noWrap/>
            <w:vAlign w:val="center"/>
            <w:hideMark/>
          </w:tcPr>
          <w:p w14:paraId="0FE7487C" w14:textId="77777777" w:rsidR="006A41D9" w:rsidRPr="001961AA" w:rsidRDefault="006A41D9" w:rsidP="00BD6DD1">
            <w:pPr>
              <w:spacing w:after="0"/>
              <w:jc w:val="center"/>
              <w:rPr>
                <w:rFonts w:ascii="Times New Roman" w:hAnsi="Times New Roman" w:cs="Times New Roman"/>
                <w:noProof/>
                <w:color w:val="006100"/>
                <w:lang w:val="en-GB"/>
              </w:rPr>
            </w:pPr>
            <w:r w:rsidRPr="001961AA">
              <w:rPr>
                <w:rFonts w:ascii="Times New Roman" w:hAnsi="Times New Roman"/>
                <w:noProof/>
                <w:color w:val="006100"/>
                <w:lang w:val="en-GB"/>
              </w:rPr>
              <w:t>2023</w:t>
            </w:r>
          </w:p>
        </w:tc>
        <w:tc>
          <w:tcPr>
            <w:tcW w:w="492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6D4734C"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Completion of business development steps for the establishment of the Digital and Technological Innovation and Training Hub: development of the incubation offer by setting up a venture builder, development of digital training offer, call for projects for start-ups completed, technological demonstrators and infrastructure linked to collaborative and projects operational.</w:t>
            </w:r>
          </w:p>
        </w:tc>
      </w:tr>
      <w:tr w:rsidR="00292220" w:rsidRPr="001961AA" w14:paraId="189B6AD1" w14:textId="77777777" w:rsidTr="00300C11">
        <w:trPr>
          <w:trHeight w:val="313"/>
        </w:trPr>
        <w:tc>
          <w:tcPr>
            <w:tcW w:w="709" w:type="dxa"/>
            <w:tcBorders>
              <w:top w:val="nil"/>
              <w:left w:val="single" w:sz="4" w:space="0" w:color="auto"/>
              <w:bottom w:val="single" w:sz="4" w:space="0" w:color="auto"/>
              <w:right w:val="single" w:sz="4" w:space="0" w:color="auto"/>
            </w:tcBorders>
            <w:shd w:val="clear" w:color="auto" w:fill="C6EFCE"/>
            <w:noWrap/>
            <w:vAlign w:val="center"/>
            <w:hideMark/>
          </w:tcPr>
          <w:p w14:paraId="3BDB220A"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160</w:t>
            </w:r>
          </w:p>
        </w:tc>
        <w:tc>
          <w:tcPr>
            <w:tcW w:w="1560" w:type="dxa"/>
            <w:tcBorders>
              <w:top w:val="nil"/>
              <w:left w:val="nil"/>
              <w:bottom w:val="single" w:sz="4" w:space="0" w:color="auto"/>
              <w:right w:val="single" w:sz="4" w:space="0" w:color="auto"/>
            </w:tcBorders>
            <w:shd w:val="clear" w:color="auto" w:fill="C6EFCE"/>
            <w:noWrap/>
            <w:vAlign w:val="center"/>
          </w:tcPr>
          <w:p w14:paraId="60B5B5B8" w14:textId="77777777" w:rsidR="006A41D9" w:rsidRPr="001961AA" w:rsidRDefault="006A41D9" w:rsidP="00BD6DD1">
            <w:pPr>
              <w:spacing w:after="0"/>
              <w:rPr>
                <w:rFonts w:ascii="Times New Roman" w:hAnsi="Times New Roman" w:cs="Times New Roman"/>
                <w:noProof/>
                <w:color w:val="006100"/>
                <w:lang w:val="en-GB"/>
              </w:rPr>
            </w:pPr>
            <w:r w:rsidRPr="001961AA">
              <w:rPr>
                <w:rFonts w:ascii="Times New Roman" w:hAnsi="Times New Roman"/>
                <w:noProof/>
                <w:color w:val="006100"/>
                <w:lang w:val="en-GB"/>
              </w:rPr>
              <w:t>Upgrading of advanced training infrastructure (I-5.03)</w:t>
            </w:r>
          </w:p>
        </w:tc>
        <w:tc>
          <w:tcPr>
            <w:tcW w:w="1134" w:type="dxa"/>
            <w:tcBorders>
              <w:top w:val="nil"/>
              <w:left w:val="nil"/>
              <w:bottom w:val="single" w:sz="4" w:space="0" w:color="auto"/>
              <w:right w:val="single" w:sz="4" w:space="0" w:color="auto"/>
            </w:tcBorders>
            <w:shd w:val="clear" w:color="auto" w:fill="C6EFCE"/>
            <w:noWrap/>
            <w:vAlign w:val="center"/>
            <w:hideMark/>
          </w:tcPr>
          <w:p w14:paraId="360936C0" w14:textId="7A88DBD4" w:rsidR="006A41D9" w:rsidRPr="001961AA" w:rsidRDefault="006A41D9" w:rsidP="00D875C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T</w:t>
            </w:r>
          </w:p>
        </w:tc>
        <w:tc>
          <w:tcPr>
            <w:tcW w:w="1559" w:type="dxa"/>
            <w:tcBorders>
              <w:top w:val="nil"/>
              <w:left w:val="nil"/>
              <w:bottom w:val="single" w:sz="4" w:space="0" w:color="auto"/>
              <w:right w:val="single" w:sz="4" w:space="0" w:color="auto"/>
            </w:tcBorders>
            <w:shd w:val="clear" w:color="auto" w:fill="C6EFCE"/>
            <w:noWrap/>
            <w:vAlign w:val="center"/>
          </w:tcPr>
          <w:p w14:paraId="299CAB0C" w14:textId="7DCC896C" w:rsidR="006A41D9" w:rsidRPr="001961AA" w:rsidRDefault="00123E2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Buildings and equipment for training, employment services</w:t>
            </w:r>
          </w:p>
        </w:tc>
        <w:tc>
          <w:tcPr>
            <w:tcW w:w="1418" w:type="dxa"/>
            <w:tcBorders>
              <w:top w:val="nil"/>
              <w:left w:val="nil"/>
              <w:bottom w:val="single" w:sz="4" w:space="0" w:color="auto"/>
              <w:right w:val="single" w:sz="4" w:space="0" w:color="auto"/>
            </w:tcBorders>
            <w:shd w:val="clear" w:color="auto" w:fill="C6EFCE"/>
            <w:noWrap/>
            <w:vAlign w:val="center"/>
            <w:hideMark/>
          </w:tcPr>
          <w:p w14:paraId="7A5AC08D" w14:textId="77777777" w:rsidR="006A41D9" w:rsidRPr="001961AA" w:rsidRDefault="006A41D9" w:rsidP="00BD6DD1">
            <w:pPr>
              <w:spacing w:after="0"/>
              <w:rPr>
                <w:rFonts w:ascii="Times New Roman" w:hAnsi="Times New Roman" w:cs="Times New Roman"/>
                <w:noProof/>
                <w:color w:val="006100"/>
                <w:lang w:val="en-GB"/>
              </w:rPr>
            </w:pPr>
          </w:p>
        </w:tc>
        <w:tc>
          <w:tcPr>
            <w:tcW w:w="1311" w:type="dxa"/>
            <w:tcBorders>
              <w:top w:val="nil"/>
              <w:left w:val="nil"/>
              <w:bottom w:val="single" w:sz="4" w:space="0" w:color="auto"/>
              <w:right w:val="single" w:sz="4" w:space="0" w:color="auto"/>
            </w:tcBorders>
            <w:shd w:val="clear" w:color="auto" w:fill="C6EFCE"/>
            <w:noWrap/>
            <w:vAlign w:val="center"/>
            <w:hideMark/>
          </w:tcPr>
          <w:p w14:paraId="0699CF39" w14:textId="77777777" w:rsidR="006A41D9" w:rsidRPr="001961AA" w:rsidRDefault="006A41D9" w:rsidP="00BD6DD1">
            <w:pPr>
              <w:spacing w:after="0"/>
              <w:rPr>
                <w:rFonts w:ascii="Times New Roman" w:hAnsi="Times New Roman" w:cs="Times New Roman"/>
                <w:noProof/>
                <w:color w:val="006100"/>
                <w:lang w:val="en-GB"/>
              </w:rPr>
            </w:pPr>
            <w:r w:rsidRPr="001961AA">
              <w:rPr>
                <w:rFonts w:ascii="Times New Roman" w:hAnsi="Times New Roman"/>
                <w:noProof/>
                <w:color w:val="006100"/>
                <w:lang w:val="en-GB"/>
              </w:rPr>
              <w:t>m</w:t>
            </w:r>
            <w:r w:rsidRPr="001961AA">
              <w:rPr>
                <w:rFonts w:ascii="Times New Roman" w:hAnsi="Times New Roman"/>
                <w:noProof/>
                <w:color w:val="006100"/>
                <w:vertAlign w:val="superscript"/>
                <w:lang w:val="en-GB"/>
              </w:rPr>
              <w:t>2</w:t>
            </w:r>
          </w:p>
        </w:tc>
        <w:tc>
          <w:tcPr>
            <w:tcW w:w="957" w:type="dxa"/>
            <w:tcBorders>
              <w:top w:val="nil"/>
              <w:left w:val="nil"/>
              <w:bottom w:val="single" w:sz="4" w:space="0" w:color="auto"/>
              <w:right w:val="single" w:sz="4" w:space="0" w:color="auto"/>
            </w:tcBorders>
            <w:shd w:val="clear" w:color="auto" w:fill="C6EFCE"/>
            <w:noWrap/>
            <w:vAlign w:val="center"/>
          </w:tcPr>
          <w:p w14:paraId="55AF63B2" w14:textId="77777777" w:rsidR="006A41D9" w:rsidRPr="001961AA" w:rsidRDefault="006A41D9" w:rsidP="004B7861">
            <w:pPr>
              <w:spacing w:after="0"/>
              <w:jc w:val="center"/>
              <w:rPr>
                <w:rFonts w:ascii="Times New Roman" w:hAnsi="Times New Roman" w:cs="Times New Roman"/>
                <w:noProof/>
                <w:color w:val="006100"/>
                <w:lang w:val="en-GB"/>
              </w:rPr>
            </w:pPr>
            <w:r w:rsidRPr="001961AA">
              <w:rPr>
                <w:rFonts w:ascii="Times New Roman" w:hAnsi="Times New Roman"/>
                <w:noProof/>
                <w:color w:val="006100"/>
                <w:lang w:val="en-GB"/>
              </w:rPr>
              <w:t>0</w:t>
            </w:r>
          </w:p>
        </w:tc>
        <w:tc>
          <w:tcPr>
            <w:tcW w:w="992" w:type="dxa"/>
            <w:tcBorders>
              <w:top w:val="nil"/>
              <w:left w:val="nil"/>
              <w:bottom w:val="single" w:sz="4" w:space="0" w:color="auto"/>
              <w:right w:val="single" w:sz="4" w:space="0" w:color="auto"/>
            </w:tcBorders>
            <w:shd w:val="clear" w:color="auto" w:fill="C6EFCE"/>
            <w:noWrap/>
            <w:vAlign w:val="center"/>
          </w:tcPr>
          <w:p w14:paraId="44908106" w14:textId="09BFD14F" w:rsidR="006A41D9" w:rsidRPr="001961AA" w:rsidRDefault="007B43ED" w:rsidP="004B7861">
            <w:pPr>
              <w:spacing w:after="0"/>
              <w:jc w:val="center"/>
              <w:rPr>
                <w:rFonts w:ascii="Times New Roman" w:hAnsi="Times New Roman" w:cs="Times New Roman"/>
                <w:noProof/>
                <w:color w:val="006100"/>
                <w:lang w:val="en-GB"/>
              </w:rPr>
            </w:pPr>
            <w:r w:rsidRPr="001961AA">
              <w:rPr>
                <w:rFonts w:ascii="Times New Roman" w:hAnsi="Times New Roman"/>
                <w:noProof/>
                <w:color w:val="006100"/>
                <w:lang w:val="en-GB"/>
              </w:rPr>
              <w:t xml:space="preserve">11 374 </w:t>
            </w:r>
          </w:p>
        </w:tc>
        <w:tc>
          <w:tcPr>
            <w:tcW w:w="992" w:type="dxa"/>
            <w:tcBorders>
              <w:top w:val="nil"/>
              <w:left w:val="nil"/>
              <w:bottom w:val="single" w:sz="4" w:space="0" w:color="auto"/>
              <w:right w:val="single" w:sz="4" w:space="0" w:color="auto"/>
            </w:tcBorders>
            <w:shd w:val="clear" w:color="auto" w:fill="C6EFCE"/>
            <w:noWrap/>
            <w:vAlign w:val="center"/>
            <w:hideMark/>
          </w:tcPr>
          <w:p w14:paraId="76B2A974" w14:textId="501B173E" w:rsidR="006A41D9" w:rsidRPr="001961AA" w:rsidRDefault="006A41D9" w:rsidP="00BD6DD1">
            <w:pPr>
              <w:spacing w:after="0"/>
              <w:jc w:val="center"/>
              <w:rPr>
                <w:rFonts w:ascii="Times New Roman" w:hAnsi="Times New Roman" w:cs="Times New Roman"/>
                <w:noProof/>
                <w:color w:val="006100"/>
                <w:lang w:val="en-GB"/>
              </w:rPr>
            </w:pPr>
            <w:r w:rsidRPr="001961AA">
              <w:rPr>
                <w:rFonts w:ascii="Times New Roman" w:hAnsi="Times New Roman"/>
                <w:noProof/>
                <w:color w:val="006100"/>
                <w:lang w:val="en-GB"/>
              </w:rPr>
              <w:t>Q4</w:t>
            </w:r>
          </w:p>
        </w:tc>
        <w:tc>
          <w:tcPr>
            <w:tcW w:w="709" w:type="dxa"/>
            <w:tcBorders>
              <w:top w:val="nil"/>
              <w:left w:val="nil"/>
              <w:bottom w:val="single" w:sz="4" w:space="0" w:color="auto"/>
              <w:right w:val="single" w:sz="4" w:space="0" w:color="auto"/>
            </w:tcBorders>
            <w:shd w:val="clear" w:color="auto" w:fill="C6EFCE"/>
            <w:noWrap/>
            <w:vAlign w:val="center"/>
            <w:hideMark/>
          </w:tcPr>
          <w:p w14:paraId="3F1BC505" w14:textId="77777777" w:rsidR="006A41D9" w:rsidRPr="001961AA" w:rsidRDefault="006A41D9" w:rsidP="00BD6DD1">
            <w:pPr>
              <w:spacing w:after="0"/>
              <w:jc w:val="center"/>
              <w:rPr>
                <w:rFonts w:ascii="Times New Roman" w:hAnsi="Times New Roman" w:cs="Times New Roman"/>
                <w:noProof/>
                <w:color w:val="006100"/>
                <w:lang w:val="en-GB"/>
              </w:rPr>
            </w:pPr>
            <w:r w:rsidRPr="001961AA">
              <w:rPr>
                <w:rFonts w:ascii="Times New Roman" w:hAnsi="Times New Roman"/>
                <w:noProof/>
                <w:color w:val="006100"/>
                <w:lang w:val="en-GB"/>
              </w:rPr>
              <w:t>2025</w:t>
            </w:r>
          </w:p>
        </w:tc>
        <w:tc>
          <w:tcPr>
            <w:tcW w:w="4927" w:type="dxa"/>
            <w:tcBorders>
              <w:top w:val="nil"/>
              <w:left w:val="single" w:sz="4" w:space="0" w:color="auto"/>
              <w:bottom w:val="single" w:sz="4" w:space="0" w:color="auto"/>
              <w:right w:val="single" w:sz="4" w:space="0" w:color="auto"/>
            </w:tcBorders>
            <w:shd w:val="clear" w:color="auto" w:fill="C6EFCE"/>
            <w:noWrap/>
            <w:vAlign w:val="center"/>
          </w:tcPr>
          <w:p w14:paraId="276230A7" w14:textId="4AA9D34C" w:rsidR="006A41D9" w:rsidRPr="001961AA" w:rsidRDefault="007B43ED"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11 374 m² cover the purchase or the renovation, or the construction (and fitting-out) and/or equipment of the following buildings:</w:t>
            </w:r>
          </w:p>
          <w:p w14:paraId="7CF1365B" w14:textId="4C182C1C" w:rsidR="006A41D9" w:rsidRPr="001961AA" w:rsidRDefault="006A41D9" w:rsidP="009E6286">
            <w:pPr>
              <w:pStyle w:val="ListParagraph"/>
              <w:numPr>
                <w:ilvl w:val="0"/>
                <w:numId w:val="32"/>
              </w:num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Aptaskil</w:t>
            </w:r>
          </w:p>
          <w:p w14:paraId="4CBF2A08" w14:textId="77777777" w:rsidR="006A41D9" w:rsidRPr="001961AA" w:rsidRDefault="006A41D9" w:rsidP="009E6286">
            <w:pPr>
              <w:pStyle w:val="ListParagraph"/>
              <w:numPr>
                <w:ilvl w:val="0"/>
                <w:numId w:val="32"/>
              </w:num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Technocité</w:t>
            </w:r>
          </w:p>
          <w:p w14:paraId="5CBC612D" w14:textId="77777777" w:rsidR="006A41D9" w:rsidRPr="001961AA" w:rsidRDefault="006A41D9" w:rsidP="009E6286">
            <w:pPr>
              <w:pStyle w:val="ListParagraph"/>
              <w:numPr>
                <w:ilvl w:val="0"/>
                <w:numId w:val="32"/>
              </w:num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Forem</w:t>
            </w:r>
          </w:p>
          <w:p w14:paraId="17AE6668" w14:textId="6A5B7E35" w:rsidR="006A41D9" w:rsidRPr="001961AA" w:rsidRDefault="006A41D9" w:rsidP="009E6286">
            <w:pPr>
              <w:pStyle w:val="ListParagraph"/>
              <w:numPr>
                <w:ilvl w:val="0"/>
                <w:numId w:val="32"/>
              </w:num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Centre des Ecotechnologies – Mons</w:t>
            </w:r>
          </w:p>
        </w:tc>
      </w:tr>
      <w:tr w:rsidR="00292220" w:rsidRPr="001961AA" w14:paraId="4CC05DF7" w14:textId="77777777" w:rsidTr="00300C11">
        <w:trPr>
          <w:trHeight w:val="1591"/>
        </w:trPr>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1D5D8EE6"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161</w:t>
            </w:r>
          </w:p>
        </w:tc>
        <w:tc>
          <w:tcPr>
            <w:tcW w:w="1560" w:type="dxa"/>
            <w:tcBorders>
              <w:top w:val="single" w:sz="4" w:space="0" w:color="auto"/>
              <w:left w:val="nil"/>
              <w:bottom w:val="single" w:sz="4" w:space="0" w:color="auto"/>
              <w:right w:val="single" w:sz="4" w:space="0" w:color="auto"/>
            </w:tcBorders>
            <w:shd w:val="clear" w:color="auto" w:fill="C6EFCE"/>
            <w:noWrap/>
            <w:vAlign w:val="center"/>
            <w:hideMark/>
          </w:tcPr>
          <w:p w14:paraId="293FBF29" w14:textId="77777777" w:rsidR="006A41D9" w:rsidRPr="001961AA" w:rsidRDefault="006A41D9" w:rsidP="00BD6DD1">
            <w:pPr>
              <w:spacing w:after="0"/>
              <w:rPr>
                <w:rFonts w:ascii="Times New Roman" w:hAnsi="Times New Roman" w:cs="Times New Roman"/>
                <w:noProof/>
                <w:color w:val="006100"/>
                <w:lang w:val="en-GB"/>
              </w:rPr>
            </w:pPr>
            <w:r w:rsidRPr="001961AA">
              <w:rPr>
                <w:rFonts w:ascii="Times New Roman" w:hAnsi="Times New Roman"/>
                <w:noProof/>
                <w:color w:val="006100"/>
                <w:lang w:val="en-GB"/>
              </w:rPr>
              <w:t>EU Biotech School and Health Hub (I-5.02)</w:t>
            </w:r>
          </w:p>
        </w:tc>
        <w:tc>
          <w:tcPr>
            <w:tcW w:w="1134" w:type="dxa"/>
            <w:tcBorders>
              <w:top w:val="single" w:sz="4" w:space="0" w:color="auto"/>
              <w:left w:val="nil"/>
              <w:bottom w:val="single" w:sz="4" w:space="0" w:color="auto"/>
              <w:right w:val="single" w:sz="4" w:space="0" w:color="auto"/>
            </w:tcBorders>
            <w:shd w:val="clear" w:color="auto" w:fill="C6EFCE"/>
            <w:noWrap/>
            <w:vAlign w:val="center"/>
            <w:hideMark/>
          </w:tcPr>
          <w:p w14:paraId="0D9544D1" w14:textId="19DC1626" w:rsidR="006A41D9" w:rsidRPr="001961AA" w:rsidRDefault="006A41D9" w:rsidP="00D875C1">
            <w:pPr>
              <w:spacing w:after="0"/>
              <w:jc w:val="center"/>
              <w:rPr>
                <w:rFonts w:ascii="Times New Roman" w:hAnsi="Times New Roman" w:cs="Times New Roman"/>
                <w:noProof/>
                <w:color w:val="006100"/>
                <w:lang w:val="en-GB"/>
              </w:rPr>
            </w:pPr>
            <w:r w:rsidRPr="001961AA">
              <w:rPr>
                <w:rFonts w:ascii="Times New Roman" w:hAnsi="Times New Roman"/>
                <w:noProof/>
                <w:color w:val="006100"/>
                <w:lang w:val="en-GB"/>
              </w:rPr>
              <w:t>T</w:t>
            </w:r>
          </w:p>
        </w:tc>
        <w:tc>
          <w:tcPr>
            <w:tcW w:w="1559" w:type="dxa"/>
            <w:tcBorders>
              <w:top w:val="single" w:sz="4" w:space="0" w:color="auto"/>
              <w:left w:val="nil"/>
              <w:bottom w:val="single" w:sz="4" w:space="0" w:color="auto"/>
              <w:right w:val="single" w:sz="4" w:space="0" w:color="auto"/>
            </w:tcBorders>
            <w:shd w:val="clear" w:color="auto" w:fill="C6EFCE"/>
            <w:noWrap/>
            <w:vAlign w:val="center"/>
            <w:hideMark/>
          </w:tcPr>
          <w:p w14:paraId="327DACE4"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Building and equipment of the EU Biotech School and Health Hub</w:t>
            </w:r>
          </w:p>
        </w:tc>
        <w:tc>
          <w:tcPr>
            <w:tcW w:w="1418" w:type="dxa"/>
            <w:tcBorders>
              <w:top w:val="nil"/>
              <w:left w:val="nil"/>
              <w:bottom w:val="single" w:sz="4" w:space="0" w:color="auto"/>
              <w:right w:val="single" w:sz="4" w:space="0" w:color="auto"/>
            </w:tcBorders>
            <w:shd w:val="clear" w:color="auto" w:fill="C6EFCE"/>
            <w:noWrap/>
            <w:vAlign w:val="center"/>
            <w:hideMark/>
          </w:tcPr>
          <w:p w14:paraId="1A5E6BB1" w14:textId="77777777" w:rsidR="006A41D9" w:rsidRPr="001961AA" w:rsidRDefault="006A41D9" w:rsidP="00BD6DD1">
            <w:pPr>
              <w:spacing w:after="0"/>
              <w:rPr>
                <w:rFonts w:ascii="Times New Roman" w:hAnsi="Times New Roman" w:cs="Times New Roman"/>
                <w:noProof/>
                <w:color w:val="006100"/>
                <w:lang w:val="en-GB"/>
              </w:rPr>
            </w:pPr>
          </w:p>
        </w:tc>
        <w:tc>
          <w:tcPr>
            <w:tcW w:w="1311" w:type="dxa"/>
            <w:tcBorders>
              <w:top w:val="single" w:sz="4" w:space="0" w:color="auto"/>
              <w:left w:val="nil"/>
              <w:bottom w:val="single" w:sz="4" w:space="0" w:color="auto"/>
              <w:right w:val="single" w:sz="4" w:space="0" w:color="auto"/>
            </w:tcBorders>
            <w:shd w:val="clear" w:color="auto" w:fill="C6EFCE"/>
            <w:noWrap/>
            <w:vAlign w:val="center"/>
            <w:hideMark/>
          </w:tcPr>
          <w:p w14:paraId="33561601" w14:textId="77777777" w:rsidR="006A41D9" w:rsidRPr="001961AA" w:rsidRDefault="006A41D9" w:rsidP="00BD6DD1">
            <w:pPr>
              <w:spacing w:after="0"/>
              <w:rPr>
                <w:rFonts w:ascii="Times New Roman" w:hAnsi="Times New Roman" w:cs="Times New Roman"/>
                <w:noProof/>
                <w:color w:val="006100"/>
                <w:lang w:val="en-GB"/>
              </w:rPr>
            </w:pPr>
            <w:r w:rsidRPr="001961AA">
              <w:rPr>
                <w:rFonts w:ascii="Times New Roman" w:hAnsi="Times New Roman"/>
                <w:noProof/>
                <w:color w:val="006100"/>
                <w:lang w:val="en-GB"/>
              </w:rPr>
              <w:t>m</w:t>
            </w:r>
            <w:r w:rsidRPr="001961AA">
              <w:rPr>
                <w:rFonts w:ascii="Times New Roman" w:hAnsi="Times New Roman"/>
                <w:noProof/>
                <w:color w:val="006100"/>
                <w:vertAlign w:val="superscript"/>
                <w:lang w:val="en-GB"/>
              </w:rPr>
              <w:t>2</w:t>
            </w:r>
          </w:p>
        </w:tc>
        <w:tc>
          <w:tcPr>
            <w:tcW w:w="957" w:type="dxa"/>
            <w:tcBorders>
              <w:top w:val="single" w:sz="4" w:space="0" w:color="auto"/>
              <w:left w:val="nil"/>
              <w:bottom w:val="single" w:sz="4" w:space="0" w:color="auto"/>
              <w:right w:val="single" w:sz="4" w:space="0" w:color="auto"/>
            </w:tcBorders>
            <w:shd w:val="clear" w:color="auto" w:fill="C6EFCE"/>
            <w:noWrap/>
            <w:vAlign w:val="center"/>
            <w:hideMark/>
          </w:tcPr>
          <w:p w14:paraId="089700C1" w14:textId="77777777" w:rsidR="006A41D9" w:rsidRPr="001961AA" w:rsidRDefault="006A41D9" w:rsidP="004B7861">
            <w:pPr>
              <w:spacing w:after="0"/>
              <w:jc w:val="center"/>
              <w:rPr>
                <w:rFonts w:ascii="Times New Roman" w:hAnsi="Times New Roman" w:cs="Times New Roman"/>
                <w:noProof/>
                <w:color w:val="006100"/>
                <w:lang w:val="en-GB"/>
              </w:rPr>
            </w:pPr>
            <w:r w:rsidRPr="001961AA">
              <w:rPr>
                <w:rFonts w:ascii="Times New Roman" w:hAnsi="Times New Roman"/>
                <w:noProof/>
                <w:color w:val="006100"/>
                <w:lang w:val="en-GB"/>
              </w:rPr>
              <w:t>0</w:t>
            </w:r>
          </w:p>
        </w:tc>
        <w:tc>
          <w:tcPr>
            <w:tcW w:w="992" w:type="dxa"/>
            <w:tcBorders>
              <w:top w:val="single" w:sz="4" w:space="0" w:color="auto"/>
              <w:left w:val="nil"/>
              <w:bottom w:val="single" w:sz="4" w:space="0" w:color="auto"/>
              <w:right w:val="single" w:sz="4" w:space="0" w:color="auto"/>
            </w:tcBorders>
            <w:shd w:val="clear" w:color="auto" w:fill="C6EFCE"/>
            <w:noWrap/>
            <w:vAlign w:val="center"/>
            <w:hideMark/>
          </w:tcPr>
          <w:p w14:paraId="24049E2B" w14:textId="08C0D556" w:rsidR="006A41D9" w:rsidRPr="001961AA" w:rsidRDefault="006A41D9" w:rsidP="004B7861">
            <w:pPr>
              <w:spacing w:after="0"/>
              <w:jc w:val="center"/>
              <w:rPr>
                <w:rFonts w:ascii="Times New Roman" w:hAnsi="Times New Roman" w:cs="Times New Roman"/>
                <w:noProof/>
                <w:color w:val="006100"/>
                <w:lang w:val="en-GB"/>
              </w:rPr>
            </w:pPr>
            <w:r w:rsidRPr="001961AA">
              <w:rPr>
                <w:rFonts w:ascii="Times New Roman" w:hAnsi="Times New Roman"/>
                <w:noProof/>
                <w:color w:val="006100"/>
                <w:lang w:val="en-GB"/>
              </w:rPr>
              <w:t>5 500</w:t>
            </w:r>
          </w:p>
        </w:tc>
        <w:tc>
          <w:tcPr>
            <w:tcW w:w="992" w:type="dxa"/>
            <w:tcBorders>
              <w:top w:val="single" w:sz="4" w:space="0" w:color="auto"/>
              <w:left w:val="nil"/>
              <w:bottom w:val="single" w:sz="4" w:space="0" w:color="auto"/>
              <w:right w:val="single" w:sz="4" w:space="0" w:color="auto"/>
            </w:tcBorders>
            <w:shd w:val="clear" w:color="auto" w:fill="C6EFCE"/>
            <w:noWrap/>
            <w:vAlign w:val="center"/>
            <w:hideMark/>
          </w:tcPr>
          <w:p w14:paraId="603497FC" w14:textId="77777777" w:rsidR="006A41D9" w:rsidRPr="001961AA" w:rsidRDefault="006A41D9" w:rsidP="00BD6DD1">
            <w:pPr>
              <w:spacing w:after="0"/>
              <w:jc w:val="center"/>
              <w:rPr>
                <w:rFonts w:ascii="Times New Roman" w:hAnsi="Times New Roman" w:cs="Times New Roman"/>
                <w:noProof/>
                <w:color w:val="006100"/>
                <w:lang w:val="en-GB"/>
              </w:rPr>
            </w:pPr>
            <w:r w:rsidRPr="001961AA">
              <w:rPr>
                <w:rFonts w:ascii="Times New Roman" w:hAnsi="Times New Roman"/>
                <w:noProof/>
                <w:color w:val="006100"/>
                <w:lang w:val="en-GB"/>
              </w:rPr>
              <w:t>Q3</w:t>
            </w:r>
          </w:p>
        </w:tc>
        <w:tc>
          <w:tcPr>
            <w:tcW w:w="709" w:type="dxa"/>
            <w:tcBorders>
              <w:top w:val="single" w:sz="4" w:space="0" w:color="auto"/>
              <w:left w:val="nil"/>
              <w:bottom w:val="single" w:sz="4" w:space="0" w:color="auto"/>
              <w:right w:val="single" w:sz="4" w:space="0" w:color="auto"/>
            </w:tcBorders>
            <w:shd w:val="clear" w:color="auto" w:fill="C6EFCE"/>
            <w:noWrap/>
            <w:vAlign w:val="center"/>
            <w:hideMark/>
          </w:tcPr>
          <w:p w14:paraId="5CB77982" w14:textId="77777777" w:rsidR="006A41D9" w:rsidRPr="001961AA" w:rsidRDefault="006A41D9" w:rsidP="00BD6DD1">
            <w:pPr>
              <w:spacing w:after="0"/>
              <w:jc w:val="center"/>
              <w:rPr>
                <w:rFonts w:ascii="Times New Roman" w:hAnsi="Times New Roman" w:cs="Times New Roman"/>
                <w:noProof/>
                <w:color w:val="006100"/>
                <w:lang w:val="en-GB"/>
              </w:rPr>
            </w:pPr>
            <w:r w:rsidRPr="001961AA">
              <w:rPr>
                <w:rFonts w:ascii="Times New Roman" w:hAnsi="Times New Roman"/>
                <w:noProof/>
                <w:color w:val="006100"/>
                <w:lang w:val="en-GB"/>
              </w:rPr>
              <w:t>2025</w:t>
            </w:r>
          </w:p>
        </w:tc>
        <w:tc>
          <w:tcPr>
            <w:tcW w:w="4927" w:type="dxa"/>
            <w:tcBorders>
              <w:top w:val="nil"/>
              <w:left w:val="single" w:sz="4" w:space="0" w:color="auto"/>
              <w:bottom w:val="single" w:sz="4" w:space="0" w:color="auto"/>
              <w:right w:val="single" w:sz="4" w:space="0" w:color="auto"/>
            </w:tcBorders>
            <w:shd w:val="clear" w:color="auto" w:fill="C6EFCE"/>
            <w:noWrap/>
            <w:vAlign w:val="center"/>
          </w:tcPr>
          <w:p w14:paraId="05BD5DB3" w14:textId="5305B8F4"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5 500 m² of fully equipped building for training, employment and incubation services, as part of a construction by SODEVIMMO of a polyvalent building, named Biotech 5 of 25 000 m² at the BioPark in Gosselies. Equipment shall notably include virtual reality modules, a STEM immersion room, digital twin equipment, digital equipment for learning rooms and a robotized production line.</w:t>
            </w:r>
          </w:p>
        </w:tc>
      </w:tr>
      <w:tr w:rsidR="00292220" w:rsidRPr="001961AA" w14:paraId="512E9C2A" w14:textId="77777777" w:rsidTr="00300C11">
        <w:trPr>
          <w:trHeight w:val="313"/>
        </w:trPr>
        <w:tc>
          <w:tcPr>
            <w:tcW w:w="709" w:type="dxa"/>
            <w:tcBorders>
              <w:top w:val="nil"/>
              <w:left w:val="single" w:sz="4" w:space="0" w:color="auto"/>
              <w:bottom w:val="single" w:sz="4" w:space="0" w:color="auto"/>
              <w:right w:val="single" w:sz="4" w:space="0" w:color="auto"/>
            </w:tcBorders>
            <w:shd w:val="clear" w:color="auto" w:fill="C6EFCE"/>
            <w:noWrap/>
            <w:vAlign w:val="center"/>
            <w:hideMark/>
          </w:tcPr>
          <w:p w14:paraId="0AE1A094"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162</w:t>
            </w:r>
          </w:p>
        </w:tc>
        <w:tc>
          <w:tcPr>
            <w:tcW w:w="1560" w:type="dxa"/>
            <w:tcBorders>
              <w:top w:val="nil"/>
              <w:left w:val="nil"/>
              <w:bottom w:val="single" w:sz="4" w:space="0" w:color="auto"/>
              <w:right w:val="single" w:sz="4" w:space="0" w:color="auto"/>
            </w:tcBorders>
            <w:shd w:val="clear" w:color="auto" w:fill="C6EFCE"/>
            <w:noWrap/>
            <w:vAlign w:val="center"/>
            <w:hideMark/>
          </w:tcPr>
          <w:p w14:paraId="0CDA0B0F"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A6K/E6K Digital and Technological Innovation and Training Hub (I-5.01)</w:t>
            </w:r>
          </w:p>
        </w:tc>
        <w:tc>
          <w:tcPr>
            <w:tcW w:w="1134" w:type="dxa"/>
            <w:tcBorders>
              <w:top w:val="nil"/>
              <w:left w:val="nil"/>
              <w:bottom w:val="single" w:sz="4" w:space="0" w:color="auto"/>
              <w:right w:val="single" w:sz="4" w:space="0" w:color="auto"/>
            </w:tcBorders>
            <w:shd w:val="clear" w:color="auto" w:fill="C6EFCE"/>
            <w:noWrap/>
            <w:vAlign w:val="center"/>
            <w:hideMark/>
          </w:tcPr>
          <w:p w14:paraId="23E70841" w14:textId="5C08C21F" w:rsidR="006A41D9" w:rsidRPr="001961AA" w:rsidRDefault="006A41D9" w:rsidP="00D875C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T</w:t>
            </w:r>
          </w:p>
        </w:tc>
        <w:tc>
          <w:tcPr>
            <w:tcW w:w="1559" w:type="dxa"/>
            <w:tcBorders>
              <w:top w:val="nil"/>
              <w:left w:val="nil"/>
              <w:bottom w:val="single" w:sz="4" w:space="0" w:color="auto"/>
              <w:right w:val="single" w:sz="4" w:space="0" w:color="auto"/>
            </w:tcBorders>
            <w:shd w:val="clear" w:color="auto" w:fill="C6EFCE"/>
            <w:noWrap/>
            <w:vAlign w:val="center"/>
            <w:hideMark/>
          </w:tcPr>
          <w:p w14:paraId="71347C3A"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Finalisation of A6K-E6K renovation and extension</w:t>
            </w:r>
          </w:p>
        </w:tc>
        <w:tc>
          <w:tcPr>
            <w:tcW w:w="1418" w:type="dxa"/>
            <w:tcBorders>
              <w:top w:val="nil"/>
              <w:left w:val="nil"/>
              <w:bottom w:val="single" w:sz="4" w:space="0" w:color="auto"/>
              <w:right w:val="single" w:sz="4" w:space="0" w:color="auto"/>
            </w:tcBorders>
            <w:shd w:val="clear" w:color="auto" w:fill="C6EFCE"/>
            <w:noWrap/>
            <w:vAlign w:val="center"/>
          </w:tcPr>
          <w:p w14:paraId="058EBC61" w14:textId="77777777" w:rsidR="006A41D9" w:rsidRPr="001961AA" w:rsidRDefault="006A41D9" w:rsidP="00BD6DD1">
            <w:pPr>
              <w:spacing w:after="0"/>
              <w:rPr>
                <w:rFonts w:ascii="Times New Roman" w:hAnsi="Times New Roman" w:cs="Times New Roman"/>
                <w:noProof/>
                <w:color w:val="006100"/>
                <w:lang w:val="en-GB"/>
              </w:rPr>
            </w:pPr>
          </w:p>
        </w:tc>
        <w:tc>
          <w:tcPr>
            <w:tcW w:w="1311" w:type="dxa"/>
            <w:tcBorders>
              <w:top w:val="nil"/>
              <w:left w:val="nil"/>
              <w:bottom w:val="single" w:sz="4" w:space="0" w:color="auto"/>
              <w:right w:val="single" w:sz="4" w:space="0" w:color="auto"/>
            </w:tcBorders>
            <w:shd w:val="clear" w:color="auto" w:fill="C6EFCE"/>
            <w:noWrap/>
            <w:vAlign w:val="center"/>
            <w:hideMark/>
          </w:tcPr>
          <w:p w14:paraId="4FDD79BA" w14:textId="77777777" w:rsidR="006A41D9" w:rsidRPr="001961AA" w:rsidRDefault="006A41D9" w:rsidP="00BD6DD1">
            <w:pPr>
              <w:spacing w:after="0"/>
              <w:rPr>
                <w:rFonts w:ascii="Times New Roman" w:hAnsi="Times New Roman" w:cs="Times New Roman"/>
                <w:noProof/>
                <w:color w:val="006100"/>
                <w:lang w:val="en-GB"/>
              </w:rPr>
            </w:pPr>
            <w:r w:rsidRPr="001961AA">
              <w:rPr>
                <w:rFonts w:ascii="Times New Roman" w:hAnsi="Times New Roman"/>
                <w:noProof/>
                <w:color w:val="006100"/>
                <w:lang w:val="en-GB"/>
              </w:rPr>
              <w:t>m</w:t>
            </w:r>
            <w:r w:rsidRPr="001961AA">
              <w:rPr>
                <w:rFonts w:ascii="Times New Roman" w:hAnsi="Times New Roman"/>
                <w:noProof/>
                <w:color w:val="006100"/>
                <w:vertAlign w:val="superscript"/>
                <w:lang w:val="en-GB"/>
              </w:rPr>
              <w:t>2</w:t>
            </w:r>
          </w:p>
        </w:tc>
        <w:tc>
          <w:tcPr>
            <w:tcW w:w="957" w:type="dxa"/>
            <w:tcBorders>
              <w:top w:val="nil"/>
              <w:left w:val="nil"/>
              <w:bottom w:val="single" w:sz="4" w:space="0" w:color="auto"/>
              <w:right w:val="single" w:sz="4" w:space="0" w:color="auto"/>
            </w:tcBorders>
            <w:shd w:val="clear" w:color="auto" w:fill="C6EFCE"/>
            <w:noWrap/>
            <w:vAlign w:val="center"/>
            <w:hideMark/>
          </w:tcPr>
          <w:p w14:paraId="7E93C004" w14:textId="7584C709" w:rsidR="006A41D9" w:rsidRPr="001961AA" w:rsidRDefault="006A41D9" w:rsidP="004B7861">
            <w:pPr>
              <w:spacing w:after="0"/>
              <w:jc w:val="center"/>
              <w:rPr>
                <w:rFonts w:ascii="Times New Roman" w:hAnsi="Times New Roman" w:cs="Times New Roman"/>
                <w:noProof/>
                <w:color w:val="006100"/>
                <w:lang w:val="en-GB"/>
              </w:rPr>
            </w:pPr>
            <w:r w:rsidRPr="001961AA">
              <w:rPr>
                <w:rFonts w:ascii="Times New Roman" w:hAnsi="Times New Roman"/>
                <w:noProof/>
                <w:color w:val="006100"/>
                <w:lang w:val="en-GB"/>
              </w:rPr>
              <w:t>5 000</w:t>
            </w:r>
          </w:p>
        </w:tc>
        <w:tc>
          <w:tcPr>
            <w:tcW w:w="992" w:type="dxa"/>
            <w:tcBorders>
              <w:top w:val="nil"/>
              <w:left w:val="nil"/>
              <w:bottom w:val="single" w:sz="4" w:space="0" w:color="auto"/>
              <w:right w:val="single" w:sz="4" w:space="0" w:color="auto"/>
            </w:tcBorders>
            <w:shd w:val="clear" w:color="auto" w:fill="C6EFCE"/>
            <w:noWrap/>
            <w:vAlign w:val="center"/>
            <w:hideMark/>
          </w:tcPr>
          <w:p w14:paraId="278636B3" w14:textId="07844F93" w:rsidR="006A41D9" w:rsidRPr="001961AA" w:rsidRDefault="006A41D9" w:rsidP="004B7861">
            <w:pPr>
              <w:spacing w:after="0"/>
              <w:jc w:val="center"/>
              <w:rPr>
                <w:rFonts w:ascii="Times New Roman" w:hAnsi="Times New Roman" w:cs="Times New Roman"/>
                <w:noProof/>
                <w:color w:val="006100"/>
                <w:lang w:val="en-GB"/>
              </w:rPr>
            </w:pPr>
            <w:r w:rsidRPr="001961AA">
              <w:rPr>
                <w:rFonts w:ascii="Times New Roman" w:hAnsi="Times New Roman"/>
                <w:noProof/>
                <w:color w:val="006100"/>
                <w:lang w:val="en-GB"/>
              </w:rPr>
              <w:t>25 000</w:t>
            </w:r>
          </w:p>
        </w:tc>
        <w:tc>
          <w:tcPr>
            <w:tcW w:w="992" w:type="dxa"/>
            <w:tcBorders>
              <w:top w:val="nil"/>
              <w:left w:val="nil"/>
              <w:bottom w:val="single" w:sz="4" w:space="0" w:color="auto"/>
              <w:right w:val="single" w:sz="4" w:space="0" w:color="auto"/>
            </w:tcBorders>
            <w:shd w:val="clear" w:color="auto" w:fill="C6EFCE"/>
            <w:noWrap/>
            <w:vAlign w:val="center"/>
            <w:hideMark/>
          </w:tcPr>
          <w:p w14:paraId="62ED2B2B" w14:textId="77777777" w:rsidR="006A41D9" w:rsidRPr="001961AA" w:rsidRDefault="006A41D9" w:rsidP="00BD6DD1">
            <w:pPr>
              <w:spacing w:after="0"/>
              <w:jc w:val="center"/>
              <w:rPr>
                <w:rFonts w:ascii="Times New Roman" w:hAnsi="Times New Roman" w:cs="Times New Roman"/>
                <w:noProof/>
                <w:color w:val="006100"/>
                <w:lang w:val="en-GB"/>
              </w:rPr>
            </w:pPr>
            <w:r w:rsidRPr="001961AA">
              <w:rPr>
                <w:rFonts w:ascii="Times New Roman" w:hAnsi="Times New Roman"/>
                <w:noProof/>
                <w:color w:val="006100"/>
                <w:lang w:val="en-GB"/>
              </w:rPr>
              <w:t>Q2</w:t>
            </w:r>
          </w:p>
        </w:tc>
        <w:tc>
          <w:tcPr>
            <w:tcW w:w="709" w:type="dxa"/>
            <w:tcBorders>
              <w:top w:val="nil"/>
              <w:left w:val="nil"/>
              <w:bottom w:val="single" w:sz="4" w:space="0" w:color="auto"/>
              <w:right w:val="single" w:sz="4" w:space="0" w:color="auto"/>
            </w:tcBorders>
            <w:shd w:val="clear" w:color="auto" w:fill="C6EFCE"/>
            <w:noWrap/>
            <w:vAlign w:val="center"/>
            <w:hideMark/>
          </w:tcPr>
          <w:p w14:paraId="3F9E0F07" w14:textId="77777777" w:rsidR="006A41D9" w:rsidRPr="001961AA" w:rsidRDefault="006A41D9" w:rsidP="00BD6DD1">
            <w:pPr>
              <w:spacing w:after="0"/>
              <w:jc w:val="center"/>
              <w:rPr>
                <w:rFonts w:ascii="Times New Roman" w:hAnsi="Times New Roman" w:cs="Times New Roman"/>
                <w:noProof/>
                <w:color w:val="006100"/>
                <w:lang w:val="en-GB"/>
              </w:rPr>
            </w:pPr>
            <w:r w:rsidRPr="001961AA">
              <w:rPr>
                <w:rFonts w:ascii="Times New Roman" w:hAnsi="Times New Roman"/>
                <w:noProof/>
                <w:color w:val="006100"/>
                <w:lang w:val="en-GB"/>
              </w:rPr>
              <w:t>2026</w:t>
            </w:r>
          </w:p>
        </w:tc>
        <w:tc>
          <w:tcPr>
            <w:tcW w:w="4927" w:type="dxa"/>
            <w:tcBorders>
              <w:top w:val="nil"/>
              <w:left w:val="single" w:sz="4" w:space="0" w:color="auto"/>
              <w:bottom w:val="single" w:sz="4" w:space="0" w:color="auto"/>
              <w:right w:val="single" w:sz="4" w:space="0" w:color="auto"/>
            </w:tcBorders>
            <w:shd w:val="clear" w:color="auto" w:fill="C6EFCE"/>
            <w:noWrap/>
            <w:vAlign w:val="center"/>
          </w:tcPr>
          <w:p w14:paraId="2DB3436E" w14:textId="20F329FE"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25 000 m² of fully equipped building for training, employment and incubation services.</w:t>
            </w:r>
          </w:p>
        </w:tc>
      </w:tr>
      <w:tr w:rsidR="00292220" w:rsidRPr="001961AA" w14:paraId="1CBEF858" w14:textId="77777777" w:rsidTr="00300C11">
        <w:trPr>
          <w:trHeight w:val="313"/>
        </w:trPr>
        <w:tc>
          <w:tcPr>
            <w:tcW w:w="709" w:type="dxa"/>
            <w:tcBorders>
              <w:top w:val="nil"/>
              <w:left w:val="single" w:sz="4" w:space="0" w:color="auto"/>
              <w:bottom w:val="single" w:sz="4" w:space="0" w:color="auto"/>
              <w:right w:val="single" w:sz="4" w:space="0" w:color="auto"/>
            </w:tcBorders>
            <w:shd w:val="clear" w:color="auto" w:fill="C6EFCE"/>
            <w:noWrap/>
            <w:vAlign w:val="center"/>
          </w:tcPr>
          <w:p w14:paraId="0429E2DC"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163</w:t>
            </w:r>
          </w:p>
        </w:tc>
        <w:tc>
          <w:tcPr>
            <w:tcW w:w="1560" w:type="dxa"/>
            <w:tcBorders>
              <w:top w:val="nil"/>
              <w:left w:val="nil"/>
              <w:bottom w:val="single" w:sz="4" w:space="0" w:color="auto"/>
              <w:right w:val="single" w:sz="4" w:space="0" w:color="auto"/>
            </w:tcBorders>
            <w:shd w:val="clear" w:color="auto" w:fill="C6EFCE"/>
            <w:noWrap/>
            <w:vAlign w:val="center"/>
          </w:tcPr>
          <w:p w14:paraId="55F0BF1A" w14:textId="77777777" w:rsidR="006A41D9" w:rsidRPr="001961AA" w:rsidRDefault="006A41D9" w:rsidP="00BD6DD1">
            <w:pPr>
              <w:spacing w:after="0"/>
              <w:rPr>
                <w:rFonts w:ascii="Times New Roman" w:hAnsi="Times New Roman" w:cs="Times New Roman"/>
                <w:noProof/>
                <w:color w:val="006100"/>
                <w:lang w:val="en-GB"/>
              </w:rPr>
            </w:pPr>
            <w:r w:rsidRPr="001961AA">
              <w:rPr>
                <w:rFonts w:ascii="Times New Roman" w:hAnsi="Times New Roman"/>
                <w:noProof/>
                <w:color w:val="006100"/>
                <w:lang w:val="en-GB"/>
              </w:rPr>
              <w:t>Upgrading of advanced training infrastructure (I-5.03)</w:t>
            </w:r>
          </w:p>
        </w:tc>
        <w:tc>
          <w:tcPr>
            <w:tcW w:w="1134" w:type="dxa"/>
            <w:tcBorders>
              <w:top w:val="nil"/>
              <w:left w:val="nil"/>
              <w:bottom w:val="single" w:sz="4" w:space="0" w:color="auto"/>
              <w:right w:val="single" w:sz="4" w:space="0" w:color="auto"/>
            </w:tcBorders>
            <w:shd w:val="clear" w:color="auto" w:fill="C6EFCE"/>
            <w:noWrap/>
            <w:vAlign w:val="center"/>
          </w:tcPr>
          <w:p w14:paraId="0FE03698" w14:textId="08291DC6" w:rsidR="006A41D9" w:rsidRPr="001961AA" w:rsidRDefault="006A41D9" w:rsidP="00D875C1">
            <w:pPr>
              <w:spacing w:after="0"/>
              <w:jc w:val="center"/>
              <w:rPr>
                <w:rFonts w:ascii="Times New Roman" w:hAnsi="Times New Roman" w:cs="Times New Roman"/>
                <w:noProof/>
                <w:color w:val="006100"/>
                <w:lang w:val="en-GB"/>
              </w:rPr>
            </w:pPr>
            <w:r w:rsidRPr="001961AA">
              <w:rPr>
                <w:rFonts w:ascii="Times New Roman" w:hAnsi="Times New Roman"/>
                <w:noProof/>
                <w:color w:val="006100"/>
                <w:lang w:val="en-GB"/>
              </w:rPr>
              <w:t>T</w:t>
            </w:r>
          </w:p>
        </w:tc>
        <w:tc>
          <w:tcPr>
            <w:tcW w:w="1559" w:type="dxa"/>
            <w:tcBorders>
              <w:top w:val="nil"/>
              <w:left w:val="nil"/>
              <w:bottom w:val="single" w:sz="4" w:space="0" w:color="auto"/>
              <w:right w:val="single" w:sz="4" w:space="0" w:color="auto"/>
            </w:tcBorders>
            <w:shd w:val="clear" w:color="auto" w:fill="C6EFCE"/>
            <w:noWrap/>
            <w:vAlign w:val="center"/>
          </w:tcPr>
          <w:p w14:paraId="04207590" w14:textId="515FB0D5" w:rsidR="006A41D9" w:rsidRPr="001961AA" w:rsidRDefault="00D47EF3" w:rsidP="00BD6DD1">
            <w:pPr>
              <w:spacing w:after="0"/>
              <w:rPr>
                <w:rFonts w:ascii="Times New Roman" w:hAnsi="Times New Roman" w:cs="Times New Roman"/>
                <w:noProof/>
                <w:color w:val="006100"/>
                <w:lang w:val="en-GB"/>
              </w:rPr>
            </w:pPr>
            <w:r w:rsidRPr="001961AA">
              <w:rPr>
                <w:rFonts w:ascii="Times New Roman" w:hAnsi="Times New Roman"/>
                <w:noProof/>
                <w:color w:val="006100"/>
                <w:lang w:val="en-GB"/>
              </w:rPr>
              <w:t>Buildings and equipment for training, employment services</w:t>
            </w:r>
          </w:p>
        </w:tc>
        <w:tc>
          <w:tcPr>
            <w:tcW w:w="1418" w:type="dxa"/>
            <w:tcBorders>
              <w:top w:val="nil"/>
              <w:left w:val="nil"/>
              <w:bottom w:val="single" w:sz="4" w:space="0" w:color="auto"/>
              <w:right w:val="single" w:sz="4" w:space="0" w:color="auto"/>
            </w:tcBorders>
            <w:shd w:val="clear" w:color="auto" w:fill="C6EFCE"/>
            <w:noWrap/>
            <w:vAlign w:val="center"/>
          </w:tcPr>
          <w:p w14:paraId="6C4AD5F9" w14:textId="77777777" w:rsidR="006A41D9" w:rsidRPr="001961AA" w:rsidRDefault="006A41D9" w:rsidP="00BD6DD1">
            <w:pPr>
              <w:spacing w:after="0"/>
              <w:rPr>
                <w:rFonts w:ascii="Times New Roman" w:hAnsi="Times New Roman" w:cs="Times New Roman"/>
                <w:noProof/>
                <w:color w:val="006100"/>
                <w:lang w:val="en-GB"/>
              </w:rPr>
            </w:pPr>
          </w:p>
        </w:tc>
        <w:tc>
          <w:tcPr>
            <w:tcW w:w="1311" w:type="dxa"/>
            <w:tcBorders>
              <w:top w:val="nil"/>
              <w:left w:val="nil"/>
              <w:bottom w:val="single" w:sz="4" w:space="0" w:color="auto"/>
              <w:right w:val="single" w:sz="4" w:space="0" w:color="auto"/>
            </w:tcBorders>
            <w:shd w:val="clear" w:color="auto" w:fill="C6EFCE"/>
            <w:noWrap/>
            <w:vAlign w:val="center"/>
          </w:tcPr>
          <w:p w14:paraId="0DFFA84C" w14:textId="77777777" w:rsidR="006A41D9" w:rsidRPr="001961AA" w:rsidRDefault="006A41D9" w:rsidP="00BD6DD1">
            <w:pPr>
              <w:spacing w:after="0"/>
              <w:rPr>
                <w:rFonts w:ascii="Times New Roman" w:hAnsi="Times New Roman" w:cs="Times New Roman"/>
                <w:noProof/>
                <w:color w:val="006100"/>
                <w:lang w:val="en-GB"/>
              </w:rPr>
            </w:pPr>
            <w:r w:rsidRPr="001961AA">
              <w:rPr>
                <w:rFonts w:ascii="Times New Roman" w:hAnsi="Times New Roman"/>
                <w:noProof/>
                <w:color w:val="006100"/>
                <w:lang w:val="en-GB"/>
              </w:rPr>
              <w:t>m²</w:t>
            </w:r>
          </w:p>
        </w:tc>
        <w:tc>
          <w:tcPr>
            <w:tcW w:w="957" w:type="dxa"/>
            <w:tcBorders>
              <w:top w:val="nil"/>
              <w:left w:val="nil"/>
              <w:bottom w:val="single" w:sz="4" w:space="0" w:color="auto"/>
              <w:right w:val="single" w:sz="4" w:space="0" w:color="auto"/>
            </w:tcBorders>
            <w:shd w:val="clear" w:color="auto" w:fill="C6EFCE"/>
            <w:noWrap/>
            <w:vAlign w:val="center"/>
          </w:tcPr>
          <w:p w14:paraId="23E82262" w14:textId="701BDF33" w:rsidR="006A41D9" w:rsidRPr="001961AA" w:rsidRDefault="007B43ED" w:rsidP="00BD6DD1">
            <w:pPr>
              <w:spacing w:after="0"/>
              <w:rPr>
                <w:rFonts w:ascii="Times New Roman" w:hAnsi="Times New Roman" w:cs="Times New Roman"/>
                <w:noProof/>
                <w:color w:val="006100"/>
                <w:lang w:val="en-GB"/>
              </w:rPr>
            </w:pPr>
            <w:r w:rsidRPr="001961AA">
              <w:rPr>
                <w:rFonts w:ascii="Times New Roman" w:hAnsi="Times New Roman"/>
                <w:noProof/>
                <w:color w:val="006100"/>
                <w:lang w:val="en-GB"/>
              </w:rPr>
              <w:t>11 374</w:t>
            </w:r>
          </w:p>
        </w:tc>
        <w:tc>
          <w:tcPr>
            <w:tcW w:w="992" w:type="dxa"/>
            <w:tcBorders>
              <w:top w:val="nil"/>
              <w:left w:val="nil"/>
              <w:bottom w:val="single" w:sz="4" w:space="0" w:color="auto"/>
              <w:right w:val="single" w:sz="4" w:space="0" w:color="auto"/>
            </w:tcBorders>
            <w:shd w:val="clear" w:color="auto" w:fill="C6EFCE"/>
            <w:noWrap/>
            <w:vAlign w:val="center"/>
          </w:tcPr>
          <w:p w14:paraId="798C6655" w14:textId="3EBBEB16" w:rsidR="006A41D9" w:rsidRPr="001961AA" w:rsidRDefault="006A41D9" w:rsidP="00BD6DD1">
            <w:pPr>
              <w:spacing w:after="0"/>
              <w:rPr>
                <w:rFonts w:ascii="Times New Roman" w:hAnsi="Times New Roman" w:cs="Times New Roman"/>
                <w:noProof/>
                <w:color w:val="006100"/>
                <w:lang w:val="en-GB"/>
              </w:rPr>
            </w:pPr>
            <w:r w:rsidRPr="001961AA">
              <w:rPr>
                <w:rFonts w:ascii="Times New Roman" w:hAnsi="Times New Roman"/>
                <w:noProof/>
                <w:color w:val="006100"/>
                <w:lang w:val="en-GB"/>
              </w:rPr>
              <w:t>35 574</w:t>
            </w:r>
          </w:p>
        </w:tc>
        <w:tc>
          <w:tcPr>
            <w:tcW w:w="992" w:type="dxa"/>
            <w:tcBorders>
              <w:top w:val="nil"/>
              <w:left w:val="nil"/>
              <w:bottom w:val="single" w:sz="4" w:space="0" w:color="auto"/>
              <w:right w:val="single" w:sz="4" w:space="0" w:color="auto"/>
            </w:tcBorders>
            <w:shd w:val="clear" w:color="auto" w:fill="C6EFCE"/>
            <w:noWrap/>
            <w:vAlign w:val="center"/>
          </w:tcPr>
          <w:p w14:paraId="1A3ECFF4" w14:textId="77777777" w:rsidR="006A41D9" w:rsidRPr="001961AA" w:rsidRDefault="006A41D9" w:rsidP="00BD6DD1">
            <w:pPr>
              <w:spacing w:after="0"/>
              <w:jc w:val="center"/>
              <w:rPr>
                <w:rFonts w:ascii="Times New Roman" w:hAnsi="Times New Roman" w:cs="Times New Roman"/>
                <w:noProof/>
                <w:color w:val="006100"/>
                <w:lang w:val="en-GB"/>
              </w:rPr>
            </w:pPr>
            <w:r w:rsidRPr="001961AA">
              <w:rPr>
                <w:rFonts w:ascii="Times New Roman" w:hAnsi="Times New Roman"/>
                <w:noProof/>
                <w:color w:val="006100"/>
                <w:lang w:val="en-GB"/>
              </w:rPr>
              <w:t>Q2</w:t>
            </w:r>
          </w:p>
        </w:tc>
        <w:tc>
          <w:tcPr>
            <w:tcW w:w="709" w:type="dxa"/>
            <w:tcBorders>
              <w:top w:val="nil"/>
              <w:left w:val="nil"/>
              <w:bottom w:val="single" w:sz="4" w:space="0" w:color="auto"/>
              <w:right w:val="single" w:sz="4" w:space="0" w:color="auto"/>
            </w:tcBorders>
            <w:shd w:val="clear" w:color="auto" w:fill="C6EFCE"/>
            <w:noWrap/>
            <w:vAlign w:val="center"/>
          </w:tcPr>
          <w:p w14:paraId="76BC8DE4" w14:textId="77777777" w:rsidR="006A41D9" w:rsidRPr="001961AA" w:rsidRDefault="006A41D9" w:rsidP="00BD6DD1">
            <w:pPr>
              <w:spacing w:after="0"/>
              <w:jc w:val="center"/>
              <w:rPr>
                <w:rFonts w:ascii="Times New Roman" w:hAnsi="Times New Roman" w:cs="Times New Roman"/>
                <w:noProof/>
                <w:color w:val="006100"/>
                <w:lang w:val="en-GB"/>
              </w:rPr>
            </w:pPr>
            <w:r w:rsidRPr="001961AA">
              <w:rPr>
                <w:rFonts w:ascii="Times New Roman" w:hAnsi="Times New Roman"/>
                <w:noProof/>
                <w:color w:val="006100"/>
                <w:lang w:val="en-GB"/>
              </w:rPr>
              <w:t>2026</w:t>
            </w:r>
          </w:p>
        </w:tc>
        <w:tc>
          <w:tcPr>
            <w:tcW w:w="4927" w:type="dxa"/>
            <w:tcBorders>
              <w:top w:val="nil"/>
              <w:left w:val="single" w:sz="4" w:space="0" w:color="auto"/>
              <w:bottom w:val="single" w:sz="4" w:space="0" w:color="auto"/>
              <w:right w:val="single" w:sz="4" w:space="0" w:color="auto"/>
            </w:tcBorders>
            <w:shd w:val="clear" w:color="auto" w:fill="C6EFCE"/>
            <w:noWrap/>
            <w:vAlign w:val="center"/>
          </w:tcPr>
          <w:p w14:paraId="3A9C6442" w14:textId="784EAA80"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Total of 35 574 m² constructed, renovated and/or equipped buildings, including 24 200 m² covering the ‘Ecocentre de formation’ in Belgrade, Technifutur, and the ‘Centre des Ecotechnologies’ in Jemappes.</w:t>
            </w:r>
          </w:p>
        </w:tc>
      </w:tr>
      <w:tr w:rsidR="00292220" w:rsidRPr="001961AA" w14:paraId="335E0496" w14:textId="77777777" w:rsidTr="00300C11">
        <w:trPr>
          <w:trHeight w:val="313"/>
        </w:trPr>
        <w:tc>
          <w:tcPr>
            <w:tcW w:w="709" w:type="dxa"/>
            <w:tcBorders>
              <w:top w:val="nil"/>
              <w:left w:val="single" w:sz="4" w:space="0" w:color="auto"/>
              <w:bottom w:val="single" w:sz="4" w:space="0" w:color="auto"/>
              <w:right w:val="single" w:sz="4" w:space="0" w:color="auto"/>
            </w:tcBorders>
            <w:shd w:val="clear" w:color="auto" w:fill="C6EFCE"/>
            <w:noWrap/>
            <w:vAlign w:val="center"/>
          </w:tcPr>
          <w:p w14:paraId="6549FC91" w14:textId="77777777" w:rsidR="006A41D9" w:rsidRPr="001961AA" w:rsidRDefault="006A41D9" w:rsidP="00BD6DD1">
            <w:pPr>
              <w:spacing w:after="0"/>
              <w:jc w:val="center"/>
              <w:rPr>
                <w:rFonts w:ascii="Times New Roman" w:hAnsi="Times New Roman" w:cs="Times New Roman"/>
                <w:noProof/>
                <w:color w:val="006100"/>
                <w:lang w:val="en-GB"/>
              </w:rPr>
            </w:pPr>
            <w:r w:rsidRPr="001961AA">
              <w:rPr>
                <w:rFonts w:ascii="Times New Roman" w:hAnsi="Times New Roman"/>
                <w:noProof/>
                <w:color w:val="006100"/>
                <w:lang w:val="en-GB"/>
              </w:rPr>
              <w:t>164</w:t>
            </w:r>
          </w:p>
        </w:tc>
        <w:tc>
          <w:tcPr>
            <w:tcW w:w="1560" w:type="dxa"/>
            <w:tcBorders>
              <w:top w:val="nil"/>
              <w:left w:val="nil"/>
              <w:bottom w:val="single" w:sz="4" w:space="0" w:color="auto"/>
              <w:right w:val="single" w:sz="4" w:space="0" w:color="auto"/>
            </w:tcBorders>
            <w:shd w:val="clear" w:color="auto" w:fill="C6EFCE"/>
            <w:noWrap/>
            <w:vAlign w:val="center"/>
          </w:tcPr>
          <w:p w14:paraId="626B3425" w14:textId="77777777" w:rsidR="006A41D9" w:rsidRPr="001961AA" w:rsidRDefault="006A41D9" w:rsidP="00BD6DD1">
            <w:pPr>
              <w:spacing w:after="0"/>
              <w:rPr>
                <w:rFonts w:ascii="Times New Roman" w:hAnsi="Times New Roman" w:cs="Times New Roman"/>
                <w:noProof/>
                <w:color w:val="006100"/>
                <w:lang w:val="en-GB"/>
              </w:rPr>
            </w:pPr>
            <w:r w:rsidRPr="001961AA">
              <w:rPr>
                <w:rFonts w:ascii="Times New Roman" w:hAnsi="Times New Roman"/>
                <w:noProof/>
                <w:color w:val="006100"/>
                <w:lang w:val="en-GB"/>
              </w:rPr>
              <w:t>Learning and career offensive (I-5.04)</w:t>
            </w:r>
          </w:p>
        </w:tc>
        <w:tc>
          <w:tcPr>
            <w:tcW w:w="1134" w:type="dxa"/>
            <w:tcBorders>
              <w:top w:val="nil"/>
              <w:left w:val="nil"/>
              <w:bottom w:val="single" w:sz="4" w:space="0" w:color="auto"/>
              <w:right w:val="single" w:sz="4" w:space="0" w:color="auto"/>
            </w:tcBorders>
            <w:shd w:val="clear" w:color="auto" w:fill="C6EFCE"/>
            <w:noWrap/>
            <w:vAlign w:val="center"/>
          </w:tcPr>
          <w:p w14:paraId="45BC57BE" w14:textId="47CBD2A9" w:rsidR="006A41D9" w:rsidRPr="001961AA" w:rsidRDefault="006A41D9" w:rsidP="00D875C1">
            <w:pPr>
              <w:spacing w:after="0"/>
              <w:jc w:val="center"/>
              <w:rPr>
                <w:rFonts w:ascii="Times New Roman" w:hAnsi="Times New Roman" w:cs="Times New Roman"/>
                <w:noProof/>
                <w:color w:val="006100"/>
                <w:lang w:val="en-GB"/>
              </w:rPr>
            </w:pPr>
            <w:r w:rsidRPr="001961AA">
              <w:rPr>
                <w:rFonts w:ascii="Times New Roman" w:hAnsi="Times New Roman"/>
                <w:noProof/>
                <w:color w:val="006100"/>
                <w:lang w:val="en-GB"/>
              </w:rPr>
              <w:t>T</w:t>
            </w:r>
          </w:p>
        </w:tc>
        <w:tc>
          <w:tcPr>
            <w:tcW w:w="1559" w:type="dxa"/>
            <w:tcBorders>
              <w:top w:val="nil"/>
              <w:left w:val="nil"/>
              <w:bottom w:val="single" w:sz="4" w:space="0" w:color="auto"/>
              <w:right w:val="single" w:sz="4" w:space="0" w:color="auto"/>
            </w:tcBorders>
            <w:shd w:val="clear" w:color="auto" w:fill="C6EFCE"/>
            <w:noWrap/>
            <w:vAlign w:val="center"/>
          </w:tcPr>
          <w:p w14:paraId="657EE7DE" w14:textId="77777777" w:rsidR="006A41D9" w:rsidRPr="001961AA" w:rsidRDefault="006A41D9" w:rsidP="00BD6DD1">
            <w:pPr>
              <w:spacing w:after="0"/>
              <w:rPr>
                <w:rFonts w:ascii="Times New Roman" w:hAnsi="Times New Roman" w:cs="Times New Roman"/>
                <w:noProof/>
                <w:color w:val="006100"/>
                <w:lang w:val="en-GB"/>
              </w:rPr>
            </w:pPr>
            <w:r w:rsidRPr="001961AA">
              <w:rPr>
                <w:rFonts w:ascii="Times New Roman" w:hAnsi="Times New Roman"/>
                <w:noProof/>
                <w:color w:val="006100"/>
                <w:lang w:val="en-GB"/>
              </w:rPr>
              <w:t>Support for training leaves and online training offer in Flanders</w:t>
            </w:r>
          </w:p>
        </w:tc>
        <w:tc>
          <w:tcPr>
            <w:tcW w:w="1418" w:type="dxa"/>
            <w:tcBorders>
              <w:top w:val="nil"/>
              <w:left w:val="nil"/>
              <w:bottom w:val="single" w:sz="4" w:space="0" w:color="auto"/>
              <w:right w:val="single" w:sz="4" w:space="0" w:color="auto"/>
            </w:tcBorders>
            <w:shd w:val="clear" w:color="auto" w:fill="C6EFCE"/>
            <w:noWrap/>
            <w:vAlign w:val="center"/>
          </w:tcPr>
          <w:p w14:paraId="5092134D" w14:textId="77777777"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1311" w:type="dxa"/>
            <w:tcBorders>
              <w:top w:val="nil"/>
              <w:left w:val="nil"/>
              <w:bottom w:val="single" w:sz="4" w:space="0" w:color="auto"/>
              <w:right w:val="single" w:sz="4" w:space="0" w:color="auto"/>
            </w:tcBorders>
            <w:shd w:val="clear" w:color="auto" w:fill="C6EFCE"/>
            <w:noWrap/>
            <w:vAlign w:val="center"/>
          </w:tcPr>
          <w:p w14:paraId="0EFB6125" w14:textId="38694DE0" w:rsidR="006A41D9" w:rsidRPr="001961AA" w:rsidRDefault="00B574CE" w:rsidP="00BD6DD1">
            <w:pPr>
              <w:spacing w:after="0"/>
              <w:rPr>
                <w:rFonts w:ascii="Times New Roman" w:hAnsi="Times New Roman" w:cs="Times New Roman"/>
                <w:noProof/>
                <w:color w:val="006100"/>
                <w:lang w:val="en-GB"/>
              </w:rPr>
            </w:pPr>
            <w:r w:rsidRPr="001961AA">
              <w:rPr>
                <w:rFonts w:ascii="Times New Roman" w:hAnsi="Times New Roman"/>
                <w:noProof/>
                <w:color w:val="006100"/>
                <w:lang w:val="en-GB"/>
              </w:rPr>
              <w:t>Number of enrolments in online training / training leave rights made use of</w:t>
            </w:r>
          </w:p>
        </w:tc>
        <w:tc>
          <w:tcPr>
            <w:tcW w:w="957" w:type="dxa"/>
            <w:tcBorders>
              <w:top w:val="nil"/>
              <w:left w:val="nil"/>
              <w:bottom w:val="single" w:sz="4" w:space="0" w:color="auto"/>
              <w:right w:val="single" w:sz="4" w:space="0" w:color="auto"/>
            </w:tcBorders>
            <w:shd w:val="clear" w:color="auto" w:fill="C6EFCE"/>
            <w:noWrap/>
            <w:vAlign w:val="center"/>
          </w:tcPr>
          <w:p w14:paraId="5CCA78B2" w14:textId="77777777" w:rsidR="006A41D9" w:rsidRPr="001961AA" w:rsidRDefault="006A41D9" w:rsidP="00BD6DD1">
            <w:pPr>
              <w:spacing w:after="0"/>
              <w:rPr>
                <w:rFonts w:ascii="Times New Roman" w:hAnsi="Times New Roman" w:cs="Times New Roman"/>
                <w:noProof/>
                <w:color w:val="006100"/>
                <w:lang w:val="en-GB"/>
              </w:rPr>
            </w:pPr>
            <w:r w:rsidRPr="001961AA">
              <w:rPr>
                <w:rFonts w:ascii="Times New Roman" w:hAnsi="Times New Roman"/>
                <w:noProof/>
                <w:color w:val="006100"/>
                <w:lang w:val="en-GB"/>
              </w:rPr>
              <w:t>0</w:t>
            </w:r>
          </w:p>
        </w:tc>
        <w:tc>
          <w:tcPr>
            <w:tcW w:w="992" w:type="dxa"/>
            <w:tcBorders>
              <w:top w:val="nil"/>
              <w:left w:val="nil"/>
              <w:bottom w:val="single" w:sz="4" w:space="0" w:color="auto"/>
              <w:right w:val="single" w:sz="4" w:space="0" w:color="auto"/>
            </w:tcBorders>
            <w:shd w:val="clear" w:color="auto" w:fill="C6EFCE"/>
            <w:noWrap/>
            <w:vAlign w:val="center"/>
          </w:tcPr>
          <w:p w14:paraId="5E851D9A" w14:textId="1D1DA660" w:rsidR="006A41D9" w:rsidRPr="001961AA" w:rsidRDefault="006A41D9" w:rsidP="00BD6DD1">
            <w:pPr>
              <w:spacing w:after="0"/>
              <w:rPr>
                <w:rFonts w:ascii="Times New Roman" w:hAnsi="Times New Roman" w:cs="Times New Roman"/>
                <w:noProof/>
                <w:color w:val="006100"/>
                <w:lang w:val="en-GB"/>
              </w:rPr>
            </w:pPr>
            <w:r w:rsidRPr="001961AA">
              <w:rPr>
                <w:rFonts w:ascii="Times New Roman" w:hAnsi="Times New Roman"/>
                <w:noProof/>
                <w:color w:val="006100"/>
                <w:lang w:val="en-GB"/>
              </w:rPr>
              <w:t>307 500</w:t>
            </w:r>
          </w:p>
        </w:tc>
        <w:tc>
          <w:tcPr>
            <w:tcW w:w="992" w:type="dxa"/>
            <w:tcBorders>
              <w:top w:val="nil"/>
              <w:left w:val="nil"/>
              <w:bottom w:val="single" w:sz="4" w:space="0" w:color="auto"/>
              <w:right w:val="single" w:sz="4" w:space="0" w:color="auto"/>
            </w:tcBorders>
            <w:shd w:val="clear" w:color="auto" w:fill="C6EFCE"/>
            <w:noWrap/>
            <w:vAlign w:val="center"/>
          </w:tcPr>
          <w:p w14:paraId="33CD8E17" w14:textId="77777777" w:rsidR="006A41D9" w:rsidRPr="001961AA" w:rsidRDefault="006A41D9" w:rsidP="00BD6DD1">
            <w:pPr>
              <w:spacing w:after="0"/>
              <w:jc w:val="center"/>
              <w:rPr>
                <w:rFonts w:ascii="Times New Roman" w:hAnsi="Times New Roman" w:cs="Times New Roman"/>
                <w:noProof/>
                <w:color w:val="006100"/>
                <w:lang w:val="en-GB"/>
              </w:rPr>
            </w:pPr>
            <w:r w:rsidRPr="001961AA">
              <w:rPr>
                <w:rFonts w:ascii="Times New Roman" w:hAnsi="Times New Roman"/>
                <w:noProof/>
                <w:color w:val="006100"/>
                <w:lang w:val="en-GB"/>
              </w:rPr>
              <w:t>Q4</w:t>
            </w:r>
          </w:p>
        </w:tc>
        <w:tc>
          <w:tcPr>
            <w:tcW w:w="709" w:type="dxa"/>
            <w:tcBorders>
              <w:top w:val="nil"/>
              <w:left w:val="nil"/>
              <w:bottom w:val="single" w:sz="4" w:space="0" w:color="auto"/>
              <w:right w:val="single" w:sz="4" w:space="0" w:color="auto"/>
            </w:tcBorders>
            <w:shd w:val="clear" w:color="auto" w:fill="C6EFCE"/>
            <w:noWrap/>
            <w:vAlign w:val="center"/>
          </w:tcPr>
          <w:p w14:paraId="6FD0C678" w14:textId="77777777" w:rsidR="006A41D9" w:rsidRPr="001961AA" w:rsidRDefault="006A41D9" w:rsidP="00BD6DD1">
            <w:pPr>
              <w:spacing w:after="0"/>
              <w:jc w:val="center"/>
              <w:rPr>
                <w:rFonts w:ascii="Times New Roman" w:hAnsi="Times New Roman" w:cs="Times New Roman"/>
                <w:noProof/>
                <w:color w:val="006100"/>
                <w:lang w:val="en-GB"/>
              </w:rPr>
            </w:pPr>
            <w:r w:rsidRPr="001961AA">
              <w:rPr>
                <w:rFonts w:ascii="Times New Roman" w:hAnsi="Times New Roman"/>
                <w:noProof/>
                <w:color w:val="006100"/>
                <w:lang w:val="en-GB"/>
              </w:rPr>
              <w:t>2022</w:t>
            </w:r>
          </w:p>
        </w:tc>
        <w:tc>
          <w:tcPr>
            <w:tcW w:w="4927" w:type="dxa"/>
            <w:tcBorders>
              <w:top w:val="nil"/>
              <w:left w:val="single" w:sz="4" w:space="0" w:color="auto"/>
              <w:bottom w:val="single" w:sz="4" w:space="0" w:color="auto"/>
              <w:right w:val="single" w:sz="4" w:space="0" w:color="auto"/>
            </w:tcBorders>
            <w:shd w:val="clear" w:color="auto" w:fill="C6EFCE"/>
            <w:noWrap/>
            <w:vAlign w:val="center"/>
          </w:tcPr>
          <w:p w14:paraId="375AD9B0" w14:textId="3F9A66E6" w:rsidR="006A41D9" w:rsidRPr="001961AA" w:rsidRDefault="00B01594"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Since 2021, 307 500 training leaves were made use of or enrolments in online training offer were registered.</w:t>
            </w:r>
          </w:p>
        </w:tc>
      </w:tr>
      <w:tr w:rsidR="00292220" w:rsidRPr="001961AA" w14:paraId="607F721D" w14:textId="77777777" w:rsidTr="00300C11">
        <w:trPr>
          <w:trHeight w:val="313"/>
        </w:trPr>
        <w:tc>
          <w:tcPr>
            <w:tcW w:w="709" w:type="dxa"/>
            <w:tcBorders>
              <w:top w:val="nil"/>
              <w:left w:val="single" w:sz="4" w:space="0" w:color="auto"/>
              <w:bottom w:val="single" w:sz="4" w:space="0" w:color="auto"/>
              <w:right w:val="single" w:sz="4" w:space="0" w:color="auto"/>
            </w:tcBorders>
            <w:shd w:val="clear" w:color="auto" w:fill="C6EFCE"/>
            <w:noWrap/>
            <w:vAlign w:val="center"/>
          </w:tcPr>
          <w:p w14:paraId="38E2CB8E"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165</w:t>
            </w:r>
          </w:p>
        </w:tc>
        <w:tc>
          <w:tcPr>
            <w:tcW w:w="1560" w:type="dxa"/>
            <w:tcBorders>
              <w:top w:val="nil"/>
              <w:left w:val="nil"/>
              <w:bottom w:val="single" w:sz="4" w:space="0" w:color="auto"/>
              <w:right w:val="single" w:sz="4" w:space="0" w:color="auto"/>
            </w:tcBorders>
            <w:shd w:val="clear" w:color="auto" w:fill="C6EFCE"/>
            <w:noWrap/>
            <w:vAlign w:val="center"/>
          </w:tcPr>
          <w:p w14:paraId="6FA7D0FD" w14:textId="77777777" w:rsidR="006A41D9" w:rsidRPr="001961AA" w:rsidRDefault="006A41D9" w:rsidP="00BD6DD1">
            <w:pPr>
              <w:spacing w:after="0"/>
              <w:rPr>
                <w:rFonts w:ascii="Times New Roman" w:hAnsi="Times New Roman" w:cs="Times New Roman"/>
                <w:noProof/>
                <w:color w:val="006100"/>
                <w:lang w:val="en-GB"/>
              </w:rPr>
            </w:pPr>
            <w:r w:rsidRPr="001961AA">
              <w:rPr>
                <w:rFonts w:ascii="Times New Roman" w:hAnsi="Times New Roman"/>
                <w:noProof/>
                <w:color w:val="006100"/>
                <w:lang w:val="en-GB"/>
              </w:rPr>
              <w:t>Learning and career-offensive (I-5.04)</w:t>
            </w:r>
          </w:p>
        </w:tc>
        <w:tc>
          <w:tcPr>
            <w:tcW w:w="1134" w:type="dxa"/>
            <w:tcBorders>
              <w:top w:val="nil"/>
              <w:left w:val="nil"/>
              <w:bottom w:val="single" w:sz="4" w:space="0" w:color="auto"/>
              <w:right w:val="single" w:sz="4" w:space="0" w:color="auto"/>
            </w:tcBorders>
            <w:shd w:val="clear" w:color="auto" w:fill="C6EFCE"/>
            <w:noWrap/>
            <w:vAlign w:val="center"/>
          </w:tcPr>
          <w:p w14:paraId="140961EA" w14:textId="7A65C8CF" w:rsidR="006A41D9" w:rsidRPr="001961AA" w:rsidRDefault="006A41D9" w:rsidP="00D875C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T</w:t>
            </w:r>
          </w:p>
        </w:tc>
        <w:tc>
          <w:tcPr>
            <w:tcW w:w="1559" w:type="dxa"/>
            <w:tcBorders>
              <w:top w:val="nil"/>
              <w:left w:val="nil"/>
              <w:bottom w:val="single" w:sz="4" w:space="0" w:color="auto"/>
              <w:right w:val="single" w:sz="4" w:space="0" w:color="auto"/>
            </w:tcBorders>
            <w:shd w:val="clear" w:color="auto" w:fill="C6EFCE"/>
            <w:noWrap/>
            <w:vAlign w:val="center"/>
          </w:tcPr>
          <w:p w14:paraId="46FE05FB" w14:textId="624619B2"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Support to enterprises in Flanders via competency checks and calls for projects</w:t>
            </w:r>
          </w:p>
        </w:tc>
        <w:tc>
          <w:tcPr>
            <w:tcW w:w="1418" w:type="dxa"/>
            <w:tcBorders>
              <w:top w:val="nil"/>
              <w:left w:val="nil"/>
              <w:bottom w:val="single" w:sz="4" w:space="0" w:color="auto"/>
              <w:right w:val="single" w:sz="4" w:space="0" w:color="auto"/>
            </w:tcBorders>
            <w:shd w:val="clear" w:color="auto" w:fill="C6EFCE"/>
            <w:noWrap/>
            <w:vAlign w:val="center"/>
          </w:tcPr>
          <w:p w14:paraId="1A383BF6" w14:textId="5BBD5430"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1311" w:type="dxa"/>
            <w:tcBorders>
              <w:top w:val="nil"/>
              <w:left w:val="nil"/>
              <w:bottom w:val="single" w:sz="4" w:space="0" w:color="auto"/>
              <w:right w:val="single" w:sz="4" w:space="0" w:color="auto"/>
            </w:tcBorders>
            <w:shd w:val="clear" w:color="auto" w:fill="C6EFCE"/>
            <w:noWrap/>
            <w:vAlign w:val="center"/>
          </w:tcPr>
          <w:p w14:paraId="7962EF2F" w14:textId="3654A193" w:rsidR="006A41D9" w:rsidRPr="001961AA" w:rsidRDefault="006A41D9" w:rsidP="00BD6DD1">
            <w:pPr>
              <w:spacing w:after="0"/>
              <w:rPr>
                <w:rFonts w:ascii="Times New Roman" w:hAnsi="Times New Roman" w:cs="Times New Roman"/>
                <w:noProof/>
                <w:color w:val="006100"/>
                <w:lang w:val="en-GB"/>
              </w:rPr>
            </w:pPr>
            <w:r w:rsidRPr="001961AA">
              <w:rPr>
                <w:rFonts w:ascii="Times New Roman" w:hAnsi="Times New Roman"/>
                <w:noProof/>
                <w:color w:val="006100"/>
                <w:lang w:val="en-GB"/>
              </w:rPr>
              <w:t>Enterprises</w:t>
            </w:r>
          </w:p>
        </w:tc>
        <w:tc>
          <w:tcPr>
            <w:tcW w:w="957" w:type="dxa"/>
            <w:tcBorders>
              <w:top w:val="nil"/>
              <w:left w:val="nil"/>
              <w:bottom w:val="single" w:sz="4" w:space="0" w:color="auto"/>
              <w:right w:val="single" w:sz="4" w:space="0" w:color="auto"/>
            </w:tcBorders>
            <w:shd w:val="clear" w:color="auto" w:fill="C6EFCE"/>
            <w:noWrap/>
            <w:vAlign w:val="center"/>
          </w:tcPr>
          <w:p w14:paraId="637EE312" w14:textId="77777777" w:rsidR="006A41D9" w:rsidRPr="001961AA" w:rsidRDefault="006A41D9" w:rsidP="00BD6DD1">
            <w:pPr>
              <w:spacing w:after="0"/>
              <w:rPr>
                <w:rFonts w:ascii="Times New Roman" w:hAnsi="Times New Roman" w:cs="Times New Roman"/>
                <w:noProof/>
                <w:color w:val="006100"/>
                <w:lang w:val="en-GB"/>
              </w:rPr>
            </w:pPr>
            <w:r w:rsidRPr="001961AA">
              <w:rPr>
                <w:rFonts w:ascii="Times New Roman" w:hAnsi="Times New Roman"/>
                <w:noProof/>
                <w:color w:val="006100"/>
                <w:lang w:val="en-GB"/>
              </w:rPr>
              <w:t>0</w:t>
            </w:r>
          </w:p>
        </w:tc>
        <w:tc>
          <w:tcPr>
            <w:tcW w:w="992" w:type="dxa"/>
            <w:tcBorders>
              <w:top w:val="nil"/>
              <w:left w:val="nil"/>
              <w:bottom w:val="single" w:sz="4" w:space="0" w:color="auto"/>
              <w:right w:val="single" w:sz="4" w:space="0" w:color="auto"/>
            </w:tcBorders>
            <w:shd w:val="clear" w:color="auto" w:fill="C6EFCE"/>
            <w:noWrap/>
            <w:vAlign w:val="center"/>
          </w:tcPr>
          <w:p w14:paraId="15DA1344" w14:textId="6397634D" w:rsidR="006A41D9" w:rsidRPr="001961AA" w:rsidRDefault="006A41D9" w:rsidP="00BD6DD1">
            <w:pPr>
              <w:spacing w:after="0"/>
              <w:rPr>
                <w:rFonts w:ascii="Times New Roman" w:hAnsi="Times New Roman" w:cs="Times New Roman"/>
                <w:noProof/>
                <w:color w:val="006100"/>
                <w:lang w:val="en-GB"/>
              </w:rPr>
            </w:pPr>
            <w:r w:rsidRPr="001961AA">
              <w:rPr>
                <w:rFonts w:ascii="Times New Roman" w:hAnsi="Times New Roman"/>
                <w:noProof/>
                <w:color w:val="006100"/>
                <w:lang w:val="en-GB"/>
              </w:rPr>
              <w:t>357</w:t>
            </w:r>
          </w:p>
        </w:tc>
        <w:tc>
          <w:tcPr>
            <w:tcW w:w="992" w:type="dxa"/>
            <w:tcBorders>
              <w:top w:val="nil"/>
              <w:left w:val="nil"/>
              <w:bottom w:val="single" w:sz="4" w:space="0" w:color="auto"/>
              <w:right w:val="single" w:sz="4" w:space="0" w:color="auto"/>
            </w:tcBorders>
            <w:shd w:val="clear" w:color="auto" w:fill="C6EFCE"/>
            <w:noWrap/>
            <w:vAlign w:val="center"/>
          </w:tcPr>
          <w:p w14:paraId="6A21D67E" w14:textId="77777777" w:rsidR="006A41D9" w:rsidRPr="001961AA" w:rsidRDefault="006A41D9" w:rsidP="00BD6DD1">
            <w:pPr>
              <w:spacing w:after="0"/>
              <w:jc w:val="center"/>
              <w:rPr>
                <w:rFonts w:ascii="Times New Roman" w:hAnsi="Times New Roman" w:cs="Times New Roman"/>
                <w:noProof/>
                <w:color w:val="006100"/>
                <w:lang w:val="en-GB"/>
              </w:rPr>
            </w:pPr>
            <w:r w:rsidRPr="001961AA">
              <w:rPr>
                <w:rFonts w:ascii="Times New Roman" w:hAnsi="Times New Roman"/>
                <w:noProof/>
                <w:color w:val="006100"/>
                <w:lang w:val="en-GB"/>
              </w:rPr>
              <w:t>Q4</w:t>
            </w:r>
          </w:p>
        </w:tc>
        <w:tc>
          <w:tcPr>
            <w:tcW w:w="709" w:type="dxa"/>
            <w:tcBorders>
              <w:top w:val="nil"/>
              <w:left w:val="nil"/>
              <w:bottom w:val="single" w:sz="4" w:space="0" w:color="auto"/>
              <w:right w:val="single" w:sz="4" w:space="0" w:color="auto"/>
            </w:tcBorders>
            <w:shd w:val="clear" w:color="auto" w:fill="C6EFCE"/>
            <w:noWrap/>
            <w:vAlign w:val="center"/>
          </w:tcPr>
          <w:p w14:paraId="2F2E81DB" w14:textId="77777777" w:rsidR="006A41D9" w:rsidRPr="001961AA" w:rsidRDefault="006A41D9" w:rsidP="00BD6DD1">
            <w:pPr>
              <w:spacing w:after="0"/>
              <w:jc w:val="center"/>
              <w:rPr>
                <w:rFonts w:ascii="Times New Roman" w:hAnsi="Times New Roman" w:cs="Times New Roman"/>
                <w:noProof/>
                <w:color w:val="006100"/>
                <w:lang w:val="en-GB"/>
              </w:rPr>
            </w:pPr>
            <w:r w:rsidRPr="001961AA">
              <w:rPr>
                <w:rFonts w:ascii="Times New Roman" w:hAnsi="Times New Roman"/>
                <w:noProof/>
                <w:color w:val="006100"/>
                <w:lang w:val="en-GB"/>
              </w:rPr>
              <w:t>2024</w:t>
            </w:r>
          </w:p>
        </w:tc>
        <w:tc>
          <w:tcPr>
            <w:tcW w:w="4927" w:type="dxa"/>
            <w:tcBorders>
              <w:top w:val="nil"/>
              <w:left w:val="single" w:sz="4" w:space="0" w:color="auto"/>
              <w:bottom w:val="single" w:sz="4" w:space="0" w:color="auto"/>
              <w:right w:val="single" w:sz="4" w:space="0" w:color="auto"/>
            </w:tcBorders>
            <w:shd w:val="clear" w:color="auto" w:fill="C6EFCE"/>
            <w:noWrap/>
            <w:vAlign w:val="center"/>
          </w:tcPr>
          <w:p w14:paraId="26387F7C" w14:textId="677C4EE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357 enterprises falling within one of the following categories have benefitted from the support under the measure: (i) SMEs reached with a competency check (ii) social economy enterprises supported in their innovative strategic transformation through the calls ‘open innovation strategic transformation’ and ‘future-oriented training to support the most vulnerable groups in the social economy’.</w:t>
            </w:r>
          </w:p>
        </w:tc>
      </w:tr>
      <w:tr w:rsidR="00292220" w:rsidRPr="001961AA" w14:paraId="0C4F78F0" w14:textId="77777777" w:rsidTr="00300C11">
        <w:trPr>
          <w:trHeight w:val="313"/>
        </w:trPr>
        <w:tc>
          <w:tcPr>
            <w:tcW w:w="709" w:type="dxa"/>
            <w:tcBorders>
              <w:top w:val="nil"/>
              <w:left w:val="single" w:sz="4" w:space="0" w:color="auto"/>
              <w:bottom w:val="single" w:sz="4" w:space="0" w:color="auto"/>
              <w:right w:val="single" w:sz="4" w:space="0" w:color="auto"/>
            </w:tcBorders>
            <w:shd w:val="clear" w:color="auto" w:fill="C6EFCE"/>
            <w:noWrap/>
            <w:vAlign w:val="center"/>
          </w:tcPr>
          <w:p w14:paraId="1449B9F9"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166</w:t>
            </w:r>
          </w:p>
        </w:tc>
        <w:tc>
          <w:tcPr>
            <w:tcW w:w="1560" w:type="dxa"/>
            <w:tcBorders>
              <w:top w:val="nil"/>
              <w:left w:val="nil"/>
              <w:bottom w:val="single" w:sz="4" w:space="0" w:color="auto"/>
              <w:right w:val="single" w:sz="4" w:space="0" w:color="auto"/>
            </w:tcBorders>
            <w:shd w:val="clear" w:color="auto" w:fill="C6EFCE"/>
            <w:noWrap/>
            <w:vAlign w:val="center"/>
          </w:tcPr>
          <w:p w14:paraId="6B704D76" w14:textId="77777777" w:rsidR="006A41D9" w:rsidRPr="001961AA" w:rsidRDefault="006A41D9" w:rsidP="00BD6DD1">
            <w:pPr>
              <w:spacing w:after="0"/>
              <w:rPr>
                <w:rFonts w:ascii="Times New Roman" w:hAnsi="Times New Roman" w:cs="Times New Roman"/>
                <w:noProof/>
                <w:color w:val="006100"/>
                <w:lang w:val="en-GB"/>
              </w:rPr>
            </w:pPr>
            <w:r w:rsidRPr="001961AA">
              <w:rPr>
                <w:rFonts w:ascii="Times New Roman" w:hAnsi="Times New Roman"/>
                <w:noProof/>
                <w:color w:val="006100"/>
                <w:lang w:val="en-GB"/>
              </w:rPr>
              <w:t>Strategy for relaunching the labour market focused on the efficiency and optimisation of activation and training policies (I-5.05)</w:t>
            </w:r>
          </w:p>
        </w:tc>
        <w:tc>
          <w:tcPr>
            <w:tcW w:w="1134" w:type="dxa"/>
            <w:tcBorders>
              <w:top w:val="nil"/>
              <w:left w:val="nil"/>
              <w:bottom w:val="single" w:sz="4" w:space="0" w:color="auto"/>
              <w:right w:val="single" w:sz="4" w:space="0" w:color="auto"/>
            </w:tcBorders>
            <w:shd w:val="clear" w:color="auto" w:fill="C6EFCE"/>
            <w:noWrap/>
            <w:vAlign w:val="center"/>
          </w:tcPr>
          <w:p w14:paraId="4E58970F" w14:textId="1D145AD0" w:rsidR="006A41D9" w:rsidRPr="001961AA" w:rsidRDefault="006A41D9" w:rsidP="00D875C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T</w:t>
            </w:r>
          </w:p>
        </w:tc>
        <w:tc>
          <w:tcPr>
            <w:tcW w:w="1559" w:type="dxa"/>
            <w:tcBorders>
              <w:top w:val="nil"/>
              <w:left w:val="nil"/>
              <w:bottom w:val="single" w:sz="4" w:space="0" w:color="auto"/>
              <w:right w:val="single" w:sz="4" w:space="0" w:color="auto"/>
            </w:tcBorders>
            <w:shd w:val="clear" w:color="auto" w:fill="C6EFCE"/>
            <w:noWrap/>
            <w:vAlign w:val="center"/>
          </w:tcPr>
          <w:p w14:paraId="37A80992"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Activation support to job seekers and workers in Brussels</w:t>
            </w:r>
          </w:p>
        </w:tc>
        <w:tc>
          <w:tcPr>
            <w:tcW w:w="1418" w:type="dxa"/>
            <w:tcBorders>
              <w:top w:val="nil"/>
              <w:left w:val="nil"/>
              <w:bottom w:val="single" w:sz="4" w:space="0" w:color="auto"/>
              <w:right w:val="single" w:sz="4" w:space="0" w:color="auto"/>
            </w:tcBorders>
            <w:shd w:val="clear" w:color="auto" w:fill="C6EFCE"/>
            <w:noWrap/>
            <w:vAlign w:val="center"/>
          </w:tcPr>
          <w:p w14:paraId="4483E7D3" w14:textId="3CA89BF5"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1311" w:type="dxa"/>
            <w:tcBorders>
              <w:top w:val="nil"/>
              <w:left w:val="nil"/>
              <w:bottom w:val="single" w:sz="4" w:space="0" w:color="auto"/>
              <w:right w:val="single" w:sz="4" w:space="0" w:color="auto"/>
            </w:tcBorders>
            <w:shd w:val="clear" w:color="auto" w:fill="C6EFCE"/>
            <w:noWrap/>
            <w:vAlign w:val="center"/>
          </w:tcPr>
          <w:p w14:paraId="136175ED" w14:textId="77777777" w:rsidR="006A41D9" w:rsidRPr="001961AA" w:rsidRDefault="006A41D9" w:rsidP="00BD6DD1">
            <w:pPr>
              <w:spacing w:after="0"/>
              <w:rPr>
                <w:rFonts w:ascii="Times New Roman" w:hAnsi="Times New Roman" w:cs="Times New Roman"/>
                <w:noProof/>
                <w:color w:val="006100"/>
                <w:lang w:val="en-GB"/>
              </w:rPr>
            </w:pPr>
            <w:r w:rsidRPr="001961AA">
              <w:rPr>
                <w:rFonts w:ascii="Times New Roman" w:hAnsi="Times New Roman"/>
                <w:noProof/>
                <w:color w:val="006100"/>
                <w:lang w:val="en-GB"/>
              </w:rPr>
              <w:t>Persons</w:t>
            </w:r>
          </w:p>
        </w:tc>
        <w:tc>
          <w:tcPr>
            <w:tcW w:w="957" w:type="dxa"/>
            <w:tcBorders>
              <w:top w:val="nil"/>
              <w:left w:val="nil"/>
              <w:bottom w:val="single" w:sz="4" w:space="0" w:color="auto"/>
              <w:right w:val="single" w:sz="4" w:space="0" w:color="auto"/>
            </w:tcBorders>
            <w:shd w:val="clear" w:color="auto" w:fill="C6EFCE"/>
            <w:noWrap/>
            <w:vAlign w:val="center"/>
          </w:tcPr>
          <w:p w14:paraId="1CF5CAA2" w14:textId="77777777" w:rsidR="006A41D9" w:rsidRPr="001961AA" w:rsidRDefault="006A41D9" w:rsidP="00BD6DD1">
            <w:pPr>
              <w:spacing w:after="0"/>
              <w:rPr>
                <w:rFonts w:ascii="Times New Roman" w:hAnsi="Times New Roman" w:cs="Times New Roman"/>
                <w:noProof/>
                <w:color w:val="006100"/>
                <w:lang w:val="en-GB"/>
              </w:rPr>
            </w:pPr>
            <w:r w:rsidRPr="001961AA">
              <w:rPr>
                <w:rFonts w:ascii="Times New Roman" w:hAnsi="Times New Roman"/>
                <w:noProof/>
                <w:color w:val="006100"/>
                <w:lang w:val="en-GB"/>
              </w:rPr>
              <w:t>0</w:t>
            </w:r>
          </w:p>
        </w:tc>
        <w:tc>
          <w:tcPr>
            <w:tcW w:w="992" w:type="dxa"/>
            <w:tcBorders>
              <w:top w:val="nil"/>
              <w:left w:val="nil"/>
              <w:bottom w:val="single" w:sz="4" w:space="0" w:color="auto"/>
              <w:right w:val="single" w:sz="4" w:space="0" w:color="auto"/>
            </w:tcBorders>
            <w:shd w:val="clear" w:color="auto" w:fill="C6EFCE"/>
            <w:noWrap/>
            <w:vAlign w:val="center"/>
          </w:tcPr>
          <w:p w14:paraId="1C6B71E9" w14:textId="77777777" w:rsidR="006A41D9" w:rsidRPr="001961AA" w:rsidRDefault="006A41D9" w:rsidP="00BD6DD1">
            <w:pPr>
              <w:spacing w:after="0"/>
              <w:rPr>
                <w:rFonts w:ascii="Times New Roman" w:hAnsi="Times New Roman" w:cs="Times New Roman"/>
                <w:noProof/>
                <w:color w:val="006100"/>
                <w:lang w:val="en-GB"/>
              </w:rPr>
            </w:pPr>
            <w:r w:rsidRPr="001961AA">
              <w:rPr>
                <w:rFonts w:ascii="Times New Roman" w:hAnsi="Times New Roman"/>
                <w:noProof/>
                <w:color w:val="006100"/>
                <w:lang w:val="en-GB"/>
              </w:rPr>
              <w:t>600</w:t>
            </w:r>
          </w:p>
        </w:tc>
        <w:tc>
          <w:tcPr>
            <w:tcW w:w="992" w:type="dxa"/>
            <w:tcBorders>
              <w:top w:val="nil"/>
              <w:left w:val="nil"/>
              <w:bottom w:val="single" w:sz="4" w:space="0" w:color="auto"/>
              <w:right w:val="single" w:sz="4" w:space="0" w:color="auto"/>
            </w:tcBorders>
            <w:shd w:val="clear" w:color="auto" w:fill="C6EFCE"/>
            <w:noWrap/>
            <w:vAlign w:val="center"/>
          </w:tcPr>
          <w:p w14:paraId="60FDAEF1" w14:textId="77777777" w:rsidR="006A41D9" w:rsidRPr="001961AA" w:rsidRDefault="006A41D9" w:rsidP="00BD6DD1">
            <w:pPr>
              <w:spacing w:after="0"/>
              <w:jc w:val="center"/>
              <w:rPr>
                <w:rFonts w:ascii="Times New Roman" w:hAnsi="Times New Roman" w:cs="Times New Roman"/>
                <w:noProof/>
                <w:color w:val="006100"/>
                <w:lang w:val="en-GB"/>
              </w:rPr>
            </w:pPr>
            <w:r w:rsidRPr="001961AA">
              <w:rPr>
                <w:rFonts w:ascii="Times New Roman" w:hAnsi="Times New Roman"/>
                <w:noProof/>
                <w:color w:val="006100"/>
                <w:lang w:val="en-GB"/>
              </w:rPr>
              <w:t>Q4</w:t>
            </w:r>
          </w:p>
        </w:tc>
        <w:tc>
          <w:tcPr>
            <w:tcW w:w="709" w:type="dxa"/>
            <w:tcBorders>
              <w:top w:val="nil"/>
              <w:left w:val="nil"/>
              <w:bottom w:val="single" w:sz="4" w:space="0" w:color="auto"/>
              <w:right w:val="single" w:sz="4" w:space="0" w:color="auto"/>
            </w:tcBorders>
            <w:shd w:val="clear" w:color="auto" w:fill="C6EFCE"/>
            <w:noWrap/>
            <w:vAlign w:val="center"/>
          </w:tcPr>
          <w:p w14:paraId="7F2D2F56" w14:textId="77777777" w:rsidR="006A41D9" w:rsidRPr="001961AA" w:rsidRDefault="006A41D9" w:rsidP="00BD6DD1">
            <w:pPr>
              <w:spacing w:after="0"/>
              <w:jc w:val="center"/>
              <w:rPr>
                <w:rFonts w:ascii="Times New Roman" w:hAnsi="Times New Roman" w:cs="Times New Roman"/>
                <w:noProof/>
                <w:color w:val="006100"/>
                <w:lang w:val="en-GB"/>
              </w:rPr>
            </w:pPr>
            <w:r w:rsidRPr="001961AA">
              <w:rPr>
                <w:rFonts w:ascii="Times New Roman" w:hAnsi="Times New Roman"/>
                <w:noProof/>
                <w:color w:val="006100"/>
                <w:lang w:val="en-GB"/>
              </w:rPr>
              <w:t>2024</w:t>
            </w:r>
          </w:p>
        </w:tc>
        <w:tc>
          <w:tcPr>
            <w:tcW w:w="4927" w:type="dxa"/>
            <w:tcBorders>
              <w:top w:val="nil"/>
              <w:left w:val="single" w:sz="4" w:space="0" w:color="auto"/>
              <w:bottom w:val="single" w:sz="4" w:space="0" w:color="auto"/>
              <w:right w:val="single" w:sz="4" w:space="0" w:color="auto"/>
            </w:tcBorders>
            <w:shd w:val="clear" w:color="auto" w:fill="C6EFCE"/>
            <w:noWrap/>
            <w:vAlign w:val="center"/>
          </w:tcPr>
          <w:p w14:paraId="0CB163D4" w14:textId="216A4DCA" w:rsidR="006A41D9" w:rsidRPr="001961AA" w:rsidRDefault="006A41D9" w:rsidP="00BD6DD1">
            <w:pPr>
              <w:spacing w:after="0"/>
              <w:rPr>
                <w:rFonts w:ascii="Times New Roman" w:hAnsi="Times New Roman" w:cs="Times New Roman"/>
                <w:noProof/>
                <w:color w:val="006100"/>
                <w:lang w:val="en-GB"/>
              </w:rPr>
            </w:pPr>
            <w:r w:rsidRPr="001961AA">
              <w:rPr>
                <w:rFonts w:ascii="Times New Roman" w:hAnsi="Times New Roman"/>
                <w:noProof/>
                <w:color w:val="006100"/>
                <w:lang w:val="en-GB"/>
              </w:rPr>
              <w:t>600 people shall benefit from the measures of the Brussels strategy, including the support scheme for retraining or redirecting to occupations in shortage. The retraining or redirecting shall be multiform: training, screening, testing and even adaptation of the job profile in the databases.</w:t>
            </w:r>
          </w:p>
        </w:tc>
      </w:tr>
      <w:tr w:rsidR="00292220" w:rsidRPr="001961AA" w14:paraId="70525F64" w14:textId="77777777" w:rsidTr="00300C11">
        <w:trPr>
          <w:trHeight w:val="313"/>
        </w:trPr>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FDF3626"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167</w:t>
            </w:r>
          </w:p>
        </w:tc>
        <w:tc>
          <w:tcPr>
            <w:tcW w:w="1560" w:type="dxa"/>
            <w:tcBorders>
              <w:top w:val="single" w:sz="4" w:space="0" w:color="000000" w:themeColor="text1"/>
              <w:left w:val="nil"/>
              <w:bottom w:val="single" w:sz="4" w:space="0" w:color="000000" w:themeColor="text1"/>
              <w:right w:val="single" w:sz="4" w:space="0" w:color="000000" w:themeColor="text1"/>
            </w:tcBorders>
            <w:shd w:val="clear" w:color="auto" w:fill="C6EFCE"/>
            <w:noWrap/>
            <w:vAlign w:val="center"/>
          </w:tcPr>
          <w:p w14:paraId="112D3B08"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Learning and career-offensive (I-5.04)</w:t>
            </w:r>
          </w:p>
        </w:tc>
        <w:tc>
          <w:tcPr>
            <w:tcW w:w="1134" w:type="dxa"/>
            <w:tcBorders>
              <w:top w:val="single" w:sz="4" w:space="0" w:color="000000" w:themeColor="text1"/>
              <w:left w:val="nil"/>
              <w:bottom w:val="single" w:sz="4" w:space="0" w:color="000000" w:themeColor="text1"/>
              <w:right w:val="single" w:sz="4" w:space="0" w:color="000000" w:themeColor="text1"/>
            </w:tcBorders>
            <w:shd w:val="clear" w:color="auto" w:fill="C6EFCE"/>
            <w:noWrap/>
            <w:vAlign w:val="center"/>
          </w:tcPr>
          <w:p w14:paraId="0F3E529D" w14:textId="6DD06474" w:rsidR="006A41D9" w:rsidRPr="001961AA" w:rsidRDefault="006A41D9" w:rsidP="00D875C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M</w:t>
            </w:r>
          </w:p>
        </w:tc>
        <w:tc>
          <w:tcPr>
            <w:tcW w:w="1559" w:type="dxa"/>
            <w:tcBorders>
              <w:top w:val="single" w:sz="4" w:space="0" w:color="auto"/>
              <w:left w:val="nil"/>
              <w:bottom w:val="single" w:sz="4" w:space="0" w:color="auto"/>
              <w:right w:val="single" w:sz="4" w:space="0" w:color="auto"/>
            </w:tcBorders>
            <w:shd w:val="clear" w:color="auto" w:fill="C6EFCE"/>
            <w:noWrap/>
            <w:vAlign w:val="center"/>
          </w:tcPr>
          <w:p w14:paraId="64F4070E"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Support to the temporary unemployed in Flanders</w:t>
            </w:r>
          </w:p>
        </w:tc>
        <w:tc>
          <w:tcPr>
            <w:tcW w:w="1418" w:type="dxa"/>
            <w:tcBorders>
              <w:top w:val="single" w:sz="4" w:space="0" w:color="auto"/>
              <w:left w:val="nil"/>
              <w:bottom w:val="single" w:sz="4" w:space="0" w:color="auto"/>
              <w:right w:val="single" w:sz="4" w:space="0" w:color="auto"/>
            </w:tcBorders>
            <w:shd w:val="clear" w:color="auto" w:fill="C6EFCE"/>
            <w:noWrap/>
            <w:vAlign w:val="center"/>
          </w:tcPr>
          <w:p w14:paraId="00BFA2DE"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VDAB Report delivered attesting of the outreach effort</w:t>
            </w:r>
          </w:p>
        </w:tc>
        <w:tc>
          <w:tcPr>
            <w:tcW w:w="1311" w:type="dxa"/>
            <w:tcBorders>
              <w:top w:val="single" w:sz="4" w:space="0" w:color="000000" w:themeColor="text1"/>
              <w:left w:val="nil"/>
              <w:bottom w:val="single" w:sz="4" w:space="0" w:color="000000" w:themeColor="text1"/>
              <w:right w:val="single" w:sz="4" w:space="0" w:color="000000" w:themeColor="text1"/>
            </w:tcBorders>
            <w:shd w:val="clear" w:color="auto" w:fill="C6EFCE"/>
            <w:noWrap/>
            <w:vAlign w:val="center"/>
          </w:tcPr>
          <w:p w14:paraId="52D7DF03" w14:textId="77777777" w:rsidR="006A41D9" w:rsidRPr="001961AA" w:rsidRDefault="006A41D9" w:rsidP="00BD6DD1">
            <w:pPr>
              <w:spacing w:after="0"/>
              <w:rPr>
                <w:rFonts w:ascii="Times New Roman" w:hAnsi="Times New Roman" w:cs="Times New Roman"/>
                <w:noProof/>
                <w:color w:val="006100"/>
                <w:lang w:val="en-GB"/>
              </w:rPr>
            </w:pPr>
          </w:p>
        </w:tc>
        <w:tc>
          <w:tcPr>
            <w:tcW w:w="957" w:type="dxa"/>
            <w:tcBorders>
              <w:top w:val="single" w:sz="4" w:space="0" w:color="000000" w:themeColor="text1"/>
              <w:left w:val="nil"/>
              <w:bottom w:val="single" w:sz="4" w:space="0" w:color="000000" w:themeColor="text1"/>
              <w:right w:val="single" w:sz="4" w:space="0" w:color="000000" w:themeColor="text1"/>
            </w:tcBorders>
            <w:shd w:val="clear" w:color="auto" w:fill="C6EFCE"/>
            <w:noWrap/>
            <w:vAlign w:val="center"/>
          </w:tcPr>
          <w:p w14:paraId="3E93510E" w14:textId="77777777" w:rsidR="006A41D9" w:rsidRPr="001961AA" w:rsidRDefault="006A41D9" w:rsidP="00BD6DD1">
            <w:pPr>
              <w:spacing w:after="0"/>
              <w:rPr>
                <w:rFonts w:ascii="Times New Roman" w:hAnsi="Times New Roman" w:cs="Times New Roman"/>
                <w:noProof/>
                <w:color w:val="006100"/>
                <w:lang w:val="en-GB"/>
              </w:rPr>
            </w:pPr>
          </w:p>
        </w:tc>
        <w:tc>
          <w:tcPr>
            <w:tcW w:w="992" w:type="dxa"/>
            <w:tcBorders>
              <w:top w:val="single" w:sz="4" w:space="0" w:color="000000" w:themeColor="text1"/>
              <w:left w:val="nil"/>
              <w:bottom w:val="single" w:sz="4" w:space="0" w:color="000000" w:themeColor="text1"/>
              <w:right w:val="single" w:sz="4" w:space="0" w:color="000000" w:themeColor="text1"/>
            </w:tcBorders>
            <w:shd w:val="clear" w:color="auto" w:fill="C6EFCE"/>
            <w:noWrap/>
            <w:vAlign w:val="center"/>
          </w:tcPr>
          <w:p w14:paraId="349958A8" w14:textId="77777777" w:rsidR="006A41D9" w:rsidRPr="001961AA" w:rsidRDefault="006A41D9" w:rsidP="00BD6DD1">
            <w:pPr>
              <w:spacing w:after="0"/>
              <w:rPr>
                <w:rFonts w:ascii="Times New Roman" w:hAnsi="Times New Roman" w:cs="Times New Roman"/>
                <w:noProof/>
                <w:color w:val="006100"/>
                <w:lang w:val="en-GB"/>
              </w:rPr>
            </w:pPr>
          </w:p>
        </w:tc>
        <w:tc>
          <w:tcPr>
            <w:tcW w:w="992" w:type="dxa"/>
            <w:tcBorders>
              <w:top w:val="single" w:sz="4" w:space="0" w:color="000000" w:themeColor="text1"/>
              <w:left w:val="nil"/>
              <w:bottom w:val="single" w:sz="4" w:space="0" w:color="000000" w:themeColor="text1"/>
              <w:right w:val="single" w:sz="4" w:space="0" w:color="000000" w:themeColor="text1"/>
            </w:tcBorders>
            <w:shd w:val="clear" w:color="auto" w:fill="C6EFCE"/>
            <w:noWrap/>
            <w:vAlign w:val="center"/>
          </w:tcPr>
          <w:p w14:paraId="79EB0550" w14:textId="77777777" w:rsidR="006A41D9" w:rsidRPr="001961AA" w:rsidRDefault="006A41D9" w:rsidP="00BD6DD1">
            <w:pPr>
              <w:spacing w:after="0"/>
              <w:jc w:val="center"/>
              <w:rPr>
                <w:rFonts w:ascii="Times New Roman" w:hAnsi="Times New Roman" w:cs="Times New Roman"/>
                <w:noProof/>
                <w:color w:val="006100"/>
                <w:lang w:val="en-GB"/>
              </w:rPr>
            </w:pPr>
            <w:r w:rsidRPr="001961AA">
              <w:rPr>
                <w:rFonts w:ascii="Times New Roman" w:hAnsi="Times New Roman"/>
                <w:noProof/>
                <w:color w:val="006100"/>
                <w:lang w:val="en-GB"/>
              </w:rPr>
              <w:t>Q4</w:t>
            </w:r>
          </w:p>
        </w:tc>
        <w:tc>
          <w:tcPr>
            <w:tcW w:w="709" w:type="dxa"/>
            <w:tcBorders>
              <w:top w:val="single" w:sz="4" w:space="0" w:color="000000" w:themeColor="text1"/>
              <w:left w:val="nil"/>
              <w:bottom w:val="single" w:sz="4" w:space="0" w:color="000000" w:themeColor="text1"/>
              <w:right w:val="single" w:sz="4" w:space="0" w:color="000000" w:themeColor="text1"/>
            </w:tcBorders>
            <w:shd w:val="clear" w:color="auto" w:fill="C6EFCE"/>
            <w:noWrap/>
            <w:vAlign w:val="center"/>
          </w:tcPr>
          <w:p w14:paraId="4837B790" w14:textId="77777777" w:rsidR="006A41D9" w:rsidRPr="001961AA" w:rsidRDefault="006A41D9" w:rsidP="00BD6DD1">
            <w:pPr>
              <w:spacing w:after="0"/>
              <w:jc w:val="center"/>
              <w:rPr>
                <w:rFonts w:ascii="Times New Roman" w:hAnsi="Times New Roman" w:cs="Times New Roman"/>
                <w:noProof/>
                <w:color w:val="006100"/>
                <w:lang w:val="en-GB"/>
              </w:rPr>
            </w:pPr>
            <w:r w:rsidRPr="001961AA">
              <w:rPr>
                <w:rFonts w:ascii="Times New Roman" w:hAnsi="Times New Roman"/>
                <w:noProof/>
                <w:color w:val="006100"/>
                <w:lang w:val="en-GB"/>
              </w:rPr>
              <w:t>2022</w:t>
            </w:r>
          </w:p>
        </w:tc>
        <w:tc>
          <w:tcPr>
            <w:tcW w:w="49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noWrap/>
            <w:vAlign w:val="center"/>
          </w:tcPr>
          <w:p w14:paraId="1C89DF90"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All persons temporarily unemployed since 01/01/2021 shall be contacted by the Flemish Public Employment Service (VDAB) to enrol in a training, internship, temporary job or volunteering job.</w:t>
            </w:r>
          </w:p>
        </w:tc>
      </w:tr>
      <w:tr w:rsidR="00292220" w:rsidRPr="001961AA" w14:paraId="2DCEE66D" w14:textId="77777777" w:rsidTr="00300C11">
        <w:trPr>
          <w:trHeight w:val="313"/>
        </w:trPr>
        <w:tc>
          <w:tcPr>
            <w:tcW w:w="709" w:type="dxa"/>
            <w:tcBorders>
              <w:top w:val="nil"/>
              <w:left w:val="single" w:sz="4" w:space="0" w:color="auto"/>
              <w:bottom w:val="single" w:sz="4" w:space="0" w:color="auto"/>
              <w:right w:val="single" w:sz="4" w:space="0" w:color="auto"/>
            </w:tcBorders>
            <w:shd w:val="clear" w:color="auto" w:fill="C6EFCE"/>
            <w:noWrap/>
            <w:vAlign w:val="center"/>
          </w:tcPr>
          <w:p w14:paraId="2322757E"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168</w:t>
            </w:r>
          </w:p>
        </w:tc>
        <w:tc>
          <w:tcPr>
            <w:tcW w:w="1560" w:type="dxa"/>
            <w:tcBorders>
              <w:top w:val="nil"/>
              <w:left w:val="nil"/>
              <w:bottom w:val="single" w:sz="4" w:space="0" w:color="000000" w:themeColor="text1"/>
              <w:right w:val="single" w:sz="4" w:space="0" w:color="000000" w:themeColor="text1"/>
            </w:tcBorders>
            <w:shd w:val="clear" w:color="auto" w:fill="C6EFCE"/>
            <w:noWrap/>
            <w:vAlign w:val="center"/>
          </w:tcPr>
          <w:p w14:paraId="7C02277B" w14:textId="1A4F282E"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Life-long learning of the Flemish Community (R-5.04)</w:t>
            </w:r>
          </w:p>
        </w:tc>
        <w:tc>
          <w:tcPr>
            <w:tcW w:w="1134" w:type="dxa"/>
            <w:tcBorders>
              <w:top w:val="nil"/>
              <w:left w:val="nil"/>
              <w:bottom w:val="single" w:sz="4" w:space="0" w:color="auto"/>
              <w:right w:val="single" w:sz="4" w:space="0" w:color="auto"/>
            </w:tcBorders>
            <w:shd w:val="clear" w:color="auto" w:fill="C6EFCE"/>
            <w:noWrap/>
            <w:vAlign w:val="center"/>
          </w:tcPr>
          <w:p w14:paraId="79B1892C" w14:textId="7944BDE5" w:rsidR="006A41D9" w:rsidRPr="001961AA" w:rsidRDefault="006A41D9" w:rsidP="00D875C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M</w:t>
            </w:r>
          </w:p>
        </w:tc>
        <w:tc>
          <w:tcPr>
            <w:tcW w:w="1559" w:type="dxa"/>
            <w:tcBorders>
              <w:top w:val="nil"/>
              <w:left w:val="nil"/>
              <w:bottom w:val="single" w:sz="4" w:space="0" w:color="auto"/>
              <w:right w:val="single" w:sz="4" w:space="0" w:color="auto"/>
            </w:tcBorders>
            <w:shd w:val="clear" w:color="auto" w:fill="C6EFCE"/>
            <w:noWrap/>
            <w:vAlign w:val="center"/>
          </w:tcPr>
          <w:p w14:paraId="2AE867FA"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Vision paper on learning and career account in Flanders</w:t>
            </w:r>
          </w:p>
        </w:tc>
        <w:tc>
          <w:tcPr>
            <w:tcW w:w="1418" w:type="dxa"/>
            <w:tcBorders>
              <w:top w:val="nil"/>
              <w:left w:val="nil"/>
              <w:bottom w:val="single" w:sz="4" w:space="0" w:color="auto"/>
              <w:right w:val="single" w:sz="4" w:space="0" w:color="auto"/>
            </w:tcBorders>
            <w:shd w:val="clear" w:color="auto" w:fill="C6EFCE"/>
            <w:noWrap/>
            <w:vAlign w:val="center"/>
          </w:tcPr>
          <w:p w14:paraId="30E9B990"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Publication of agreement by the Government</w:t>
            </w:r>
          </w:p>
        </w:tc>
        <w:tc>
          <w:tcPr>
            <w:tcW w:w="1311" w:type="dxa"/>
            <w:tcBorders>
              <w:top w:val="nil"/>
              <w:left w:val="nil"/>
              <w:bottom w:val="single" w:sz="4" w:space="0" w:color="000000" w:themeColor="text1"/>
              <w:right w:val="single" w:sz="4" w:space="0" w:color="000000" w:themeColor="text1"/>
            </w:tcBorders>
            <w:shd w:val="clear" w:color="auto" w:fill="C6EFCE"/>
            <w:noWrap/>
            <w:vAlign w:val="center"/>
          </w:tcPr>
          <w:p w14:paraId="118097B1" w14:textId="77777777" w:rsidR="006A41D9" w:rsidRPr="001961AA" w:rsidRDefault="006A41D9" w:rsidP="00BD6DD1">
            <w:pPr>
              <w:spacing w:after="0"/>
              <w:rPr>
                <w:rFonts w:ascii="Times New Roman" w:hAnsi="Times New Roman" w:cs="Times New Roman"/>
                <w:noProof/>
                <w:color w:val="006100"/>
                <w:lang w:val="en-GB"/>
              </w:rPr>
            </w:pPr>
            <w:r w:rsidRPr="001961AA">
              <w:rPr>
                <w:rFonts w:ascii="Times New Roman" w:hAnsi="Times New Roman"/>
                <w:noProof/>
                <w:color w:val="006100"/>
                <w:lang w:val="en-GB"/>
              </w:rPr>
              <w:t xml:space="preserve"> </w:t>
            </w:r>
          </w:p>
        </w:tc>
        <w:tc>
          <w:tcPr>
            <w:tcW w:w="957" w:type="dxa"/>
            <w:tcBorders>
              <w:top w:val="nil"/>
              <w:left w:val="nil"/>
              <w:bottom w:val="single" w:sz="4" w:space="0" w:color="000000" w:themeColor="text1"/>
              <w:right w:val="single" w:sz="4" w:space="0" w:color="000000" w:themeColor="text1"/>
            </w:tcBorders>
            <w:shd w:val="clear" w:color="auto" w:fill="C6EFCE"/>
            <w:noWrap/>
            <w:vAlign w:val="center"/>
          </w:tcPr>
          <w:p w14:paraId="0D4814A1" w14:textId="77777777" w:rsidR="006A41D9" w:rsidRPr="001961AA" w:rsidRDefault="006A41D9" w:rsidP="00BD6DD1">
            <w:pPr>
              <w:spacing w:after="0"/>
              <w:rPr>
                <w:rFonts w:ascii="Times New Roman" w:hAnsi="Times New Roman" w:cs="Times New Roman"/>
                <w:noProof/>
                <w:color w:val="006100"/>
                <w:lang w:val="en-GB"/>
              </w:rPr>
            </w:pPr>
            <w:r w:rsidRPr="001961AA">
              <w:rPr>
                <w:rFonts w:ascii="Times New Roman" w:hAnsi="Times New Roman"/>
                <w:noProof/>
                <w:color w:val="006100"/>
                <w:lang w:val="en-GB"/>
              </w:rPr>
              <w:t xml:space="preserve"> </w:t>
            </w:r>
          </w:p>
        </w:tc>
        <w:tc>
          <w:tcPr>
            <w:tcW w:w="992" w:type="dxa"/>
            <w:tcBorders>
              <w:top w:val="nil"/>
              <w:left w:val="nil"/>
              <w:bottom w:val="single" w:sz="4" w:space="0" w:color="000000" w:themeColor="text1"/>
              <w:right w:val="single" w:sz="4" w:space="0" w:color="000000" w:themeColor="text1"/>
            </w:tcBorders>
            <w:shd w:val="clear" w:color="auto" w:fill="C6EFCE"/>
            <w:noWrap/>
            <w:vAlign w:val="center"/>
          </w:tcPr>
          <w:p w14:paraId="214C283A" w14:textId="77777777" w:rsidR="006A41D9" w:rsidRPr="001961AA" w:rsidRDefault="006A41D9" w:rsidP="00BD6DD1">
            <w:pPr>
              <w:spacing w:after="0"/>
              <w:rPr>
                <w:rFonts w:ascii="Times New Roman" w:hAnsi="Times New Roman" w:cs="Times New Roman"/>
                <w:noProof/>
                <w:color w:val="006100"/>
                <w:lang w:val="en-GB"/>
              </w:rPr>
            </w:pPr>
            <w:r w:rsidRPr="001961AA">
              <w:rPr>
                <w:rFonts w:ascii="Times New Roman" w:hAnsi="Times New Roman"/>
                <w:noProof/>
                <w:color w:val="006100"/>
                <w:lang w:val="en-GB"/>
              </w:rPr>
              <w:t xml:space="preserve"> </w:t>
            </w:r>
          </w:p>
        </w:tc>
        <w:tc>
          <w:tcPr>
            <w:tcW w:w="992" w:type="dxa"/>
            <w:tcBorders>
              <w:top w:val="nil"/>
              <w:left w:val="nil"/>
              <w:bottom w:val="single" w:sz="4" w:space="0" w:color="000000" w:themeColor="text1"/>
              <w:right w:val="single" w:sz="4" w:space="0" w:color="000000" w:themeColor="text1"/>
            </w:tcBorders>
            <w:shd w:val="clear" w:color="auto" w:fill="C6EFCE"/>
            <w:noWrap/>
            <w:vAlign w:val="center"/>
          </w:tcPr>
          <w:p w14:paraId="01AFF458" w14:textId="77777777" w:rsidR="006A41D9" w:rsidRPr="001961AA" w:rsidRDefault="006A41D9" w:rsidP="00BD6DD1">
            <w:pPr>
              <w:spacing w:after="0"/>
              <w:jc w:val="center"/>
              <w:rPr>
                <w:rFonts w:ascii="Times New Roman" w:hAnsi="Times New Roman" w:cs="Times New Roman"/>
                <w:noProof/>
                <w:color w:val="006100"/>
                <w:lang w:val="en-GB"/>
              </w:rPr>
            </w:pPr>
            <w:r w:rsidRPr="001961AA">
              <w:rPr>
                <w:rFonts w:ascii="Times New Roman" w:hAnsi="Times New Roman"/>
                <w:noProof/>
                <w:color w:val="006100"/>
                <w:lang w:val="en-GB"/>
              </w:rPr>
              <w:t>Q2</w:t>
            </w:r>
          </w:p>
        </w:tc>
        <w:tc>
          <w:tcPr>
            <w:tcW w:w="709" w:type="dxa"/>
            <w:tcBorders>
              <w:top w:val="nil"/>
              <w:left w:val="nil"/>
              <w:bottom w:val="single" w:sz="4" w:space="0" w:color="000000" w:themeColor="text1"/>
              <w:right w:val="single" w:sz="4" w:space="0" w:color="000000" w:themeColor="text1"/>
            </w:tcBorders>
            <w:shd w:val="clear" w:color="auto" w:fill="C6EFCE"/>
            <w:noWrap/>
            <w:vAlign w:val="center"/>
          </w:tcPr>
          <w:p w14:paraId="563D7B15" w14:textId="77777777" w:rsidR="006A41D9" w:rsidRPr="001961AA" w:rsidRDefault="006A41D9" w:rsidP="00BD6DD1">
            <w:pPr>
              <w:spacing w:after="0"/>
              <w:jc w:val="center"/>
              <w:rPr>
                <w:rFonts w:ascii="Times New Roman" w:hAnsi="Times New Roman" w:cs="Times New Roman"/>
                <w:noProof/>
                <w:color w:val="006100"/>
                <w:lang w:val="en-GB"/>
              </w:rPr>
            </w:pPr>
            <w:r w:rsidRPr="001961AA">
              <w:rPr>
                <w:rFonts w:ascii="Times New Roman" w:hAnsi="Times New Roman"/>
                <w:noProof/>
                <w:color w:val="006100"/>
                <w:lang w:val="en-GB"/>
              </w:rPr>
              <w:t>2022</w:t>
            </w:r>
          </w:p>
        </w:tc>
        <w:tc>
          <w:tcPr>
            <w:tcW w:w="4927" w:type="dxa"/>
            <w:tcBorders>
              <w:top w:val="nil"/>
              <w:left w:val="single" w:sz="4" w:space="0" w:color="000000" w:themeColor="text1"/>
              <w:bottom w:val="single" w:sz="4" w:space="0" w:color="000000" w:themeColor="text1"/>
              <w:right w:val="single" w:sz="4" w:space="0" w:color="000000" w:themeColor="text1"/>
            </w:tcBorders>
            <w:shd w:val="clear" w:color="auto" w:fill="C6EFCE"/>
            <w:noWrap/>
            <w:vAlign w:val="center"/>
          </w:tcPr>
          <w:p w14:paraId="0FA7A76E"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Agreement between social partners and Flemish government on vision paper, setting out how a learning and career account shall be introduced in Flanders, taking into consideration the need to increase transparency to citizens, better inclusion of vulnerable groups and ensuring alignment with digital learning account platform set up at the federal level.</w:t>
            </w:r>
          </w:p>
        </w:tc>
      </w:tr>
      <w:tr w:rsidR="00292220" w:rsidRPr="001961AA" w14:paraId="45379B95" w14:textId="77777777" w:rsidTr="00300C11">
        <w:trPr>
          <w:trHeight w:val="313"/>
        </w:trPr>
        <w:tc>
          <w:tcPr>
            <w:tcW w:w="709" w:type="dxa"/>
            <w:tcBorders>
              <w:top w:val="nil"/>
              <w:left w:val="single" w:sz="4" w:space="0" w:color="auto"/>
              <w:bottom w:val="single" w:sz="4" w:space="0" w:color="auto"/>
              <w:right w:val="single" w:sz="4" w:space="0" w:color="auto"/>
            </w:tcBorders>
            <w:shd w:val="clear" w:color="auto" w:fill="C6EFCE"/>
            <w:noWrap/>
            <w:vAlign w:val="center"/>
          </w:tcPr>
          <w:p w14:paraId="756AB7AA"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169</w:t>
            </w:r>
          </w:p>
        </w:tc>
        <w:tc>
          <w:tcPr>
            <w:tcW w:w="1560" w:type="dxa"/>
            <w:tcBorders>
              <w:top w:val="nil"/>
              <w:left w:val="nil"/>
              <w:bottom w:val="single" w:sz="4" w:space="0" w:color="auto"/>
              <w:right w:val="single" w:sz="4" w:space="0" w:color="auto"/>
            </w:tcBorders>
            <w:shd w:val="clear" w:color="auto" w:fill="C6EFCE"/>
            <w:noWrap/>
            <w:vAlign w:val="center"/>
          </w:tcPr>
          <w:p w14:paraId="1A14ED52"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Digital Skills (I-5.06)</w:t>
            </w:r>
          </w:p>
        </w:tc>
        <w:tc>
          <w:tcPr>
            <w:tcW w:w="1134" w:type="dxa"/>
            <w:tcBorders>
              <w:top w:val="nil"/>
              <w:left w:val="nil"/>
              <w:bottom w:val="single" w:sz="4" w:space="0" w:color="auto"/>
              <w:right w:val="single" w:sz="4" w:space="0" w:color="auto"/>
            </w:tcBorders>
            <w:shd w:val="clear" w:color="auto" w:fill="C6EFCE"/>
            <w:noWrap/>
            <w:vAlign w:val="center"/>
          </w:tcPr>
          <w:p w14:paraId="2FE1204E" w14:textId="5E35997E" w:rsidR="006A41D9" w:rsidRPr="001961AA" w:rsidRDefault="006A41D9" w:rsidP="00D875C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T</w:t>
            </w:r>
          </w:p>
        </w:tc>
        <w:tc>
          <w:tcPr>
            <w:tcW w:w="1559" w:type="dxa"/>
            <w:tcBorders>
              <w:top w:val="nil"/>
              <w:left w:val="nil"/>
              <w:bottom w:val="single" w:sz="4" w:space="0" w:color="auto"/>
              <w:right w:val="single" w:sz="4" w:space="0" w:color="auto"/>
            </w:tcBorders>
            <w:shd w:val="clear" w:color="auto" w:fill="C6EFCE"/>
            <w:noWrap/>
            <w:vAlign w:val="center"/>
          </w:tcPr>
          <w:p w14:paraId="6AA12F0B" w14:textId="0B73887D" w:rsidR="006A41D9" w:rsidRPr="001961AA" w:rsidRDefault="006A41D9" w:rsidP="00BD6DD1">
            <w:pPr>
              <w:spacing w:after="0"/>
              <w:rPr>
                <w:rFonts w:ascii="Times New Roman" w:hAnsi="Times New Roman" w:cs="Times New Roman"/>
                <w:noProof/>
                <w:color w:val="006100"/>
                <w:lang w:val="en-GB"/>
              </w:rPr>
            </w:pPr>
            <w:r w:rsidRPr="001961AA">
              <w:rPr>
                <w:rFonts w:ascii="Times New Roman" w:hAnsi="Times New Roman"/>
                <w:noProof/>
                <w:color w:val="006100"/>
                <w:lang w:val="en-GB"/>
              </w:rPr>
              <w:t>Development of e-learning offer in Flanders</w:t>
            </w:r>
          </w:p>
        </w:tc>
        <w:tc>
          <w:tcPr>
            <w:tcW w:w="1418" w:type="dxa"/>
            <w:tcBorders>
              <w:top w:val="nil"/>
              <w:left w:val="nil"/>
              <w:bottom w:val="single" w:sz="4" w:space="0" w:color="auto"/>
              <w:right w:val="single" w:sz="4" w:space="0" w:color="auto"/>
            </w:tcBorders>
            <w:shd w:val="clear" w:color="auto" w:fill="C6EFCE"/>
            <w:noWrap/>
            <w:vAlign w:val="center"/>
          </w:tcPr>
          <w:p w14:paraId="4496A99D" w14:textId="77777777"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1311" w:type="dxa"/>
            <w:tcBorders>
              <w:top w:val="nil"/>
              <w:left w:val="nil"/>
              <w:bottom w:val="single" w:sz="4" w:space="0" w:color="auto"/>
              <w:right w:val="single" w:sz="4" w:space="0" w:color="auto"/>
            </w:tcBorders>
            <w:shd w:val="clear" w:color="auto" w:fill="C6EFCE"/>
            <w:noWrap/>
            <w:vAlign w:val="center"/>
          </w:tcPr>
          <w:p w14:paraId="62F5C619" w14:textId="77777777" w:rsidR="006A41D9" w:rsidRPr="001961AA" w:rsidRDefault="006A41D9" w:rsidP="00BD6DD1">
            <w:pPr>
              <w:spacing w:after="0"/>
              <w:rPr>
                <w:rFonts w:ascii="Times New Roman" w:hAnsi="Times New Roman" w:cs="Times New Roman"/>
                <w:noProof/>
                <w:color w:val="006100"/>
                <w:lang w:val="en-GB"/>
              </w:rPr>
            </w:pPr>
            <w:r w:rsidRPr="001961AA">
              <w:rPr>
                <w:rFonts w:ascii="Times New Roman" w:hAnsi="Times New Roman"/>
                <w:noProof/>
                <w:color w:val="006100"/>
                <w:lang w:val="en-GB"/>
              </w:rPr>
              <w:t>E-learning projects</w:t>
            </w:r>
          </w:p>
        </w:tc>
        <w:tc>
          <w:tcPr>
            <w:tcW w:w="957" w:type="dxa"/>
            <w:tcBorders>
              <w:top w:val="nil"/>
              <w:left w:val="nil"/>
              <w:bottom w:val="single" w:sz="4" w:space="0" w:color="auto"/>
              <w:right w:val="single" w:sz="4" w:space="0" w:color="auto"/>
            </w:tcBorders>
            <w:shd w:val="clear" w:color="auto" w:fill="C6EFCE"/>
            <w:noWrap/>
            <w:vAlign w:val="center"/>
          </w:tcPr>
          <w:p w14:paraId="09BD93AA" w14:textId="77777777" w:rsidR="006A41D9" w:rsidRPr="001961AA" w:rsidRDefault="006A41D9" w:rsidP="00BD6DD1">
            <w:pPr>
              <w:spacing w:after="0"/>
              <w:rPr>
                <w:rFonts w:ascii="Times New Roman" w:hAnsi="Times New Roman" w:cs="Times New Roman"/>
                <w:noProof/>
                <w:color w:val="006100"/>
                <w:lang w:val="en-GB"/>
              </w:rPr>
            </w:pPr>
            <w:r w:rsidRPr="001961AA">
              <w:rPr>
                <w:rFonts w:ascii="Times New Roman" w:hAnsi="Times New Roman"/>
                <w:noProof/>
                <w:color w:val="006100"/>
                <w:lang w:val="en-GB"/>
              </w:rPr>
              <w:t>0</w:t>
            </w:r>
          </w:p>
        </w:tc>
        <w:tc>
          <w:tcPr>
            <w:tcW w:w="992" w:type="dxa"/>
            <w:tcBorders>
              <w:top w:val="nil"/>
              <w:left w:val="nil"/>
              <w:bottom w:val="single" w:sz="4" w:space="0" w:color="auto"/>
              <w:right w:val="single" w:sz="4" w:space="0" w:color="auto"/>
            </w:tcBorders>
            <w:shd w:val="clear" w:color="auto" w:fill="C6EFCE"/>
            <w:noWrap/>
            <w:vAlign w:val="center"/>
          </w:tcPr>
          <w:p w14:paraId="48D6876C" w14:textId="4CFD25C0" w:rsidR="006A41D9" w:rsidRPr="001961AA" w:rsidRDefault="006A41D9" w:rsidP="00BD6DD1">
            <w:pPr>
              <w:spacing w:after="0"/>
              <w:rPr>
                <w:rFonts w:ascii="Times New Roman" w:hAnsi="Times New Roman" w:cs="Times New Roman"/>
                <w:noProof/>
                <w:color w:val="006100"/>
                <w:lang w:val="en-GB"/>
              </w:rPr>
            </w:pPr>
            <w:r w:rsidRPr="001961AA">
              <w:rPr>
                <w:rFonts w:ascii="Times New Roman" w:hAnsi="Times New Roman"/>
                <w:noProof/>
                <w:color w:val="006100"/>
                <w:lang w:val="en-GB"/>
              </w:rPr>
              <w:t xml:space="preserve">37 </w:t>
            </w:r>
          </w:p>
        </w:tc>
        <w:tc>
          <w:tcPr>
            <w:tcW w:w="992" w:type="dxa"/>
            <w:tcBorders>
              <w:top w:val="nil"/>
              <w:left w:val="nil"/>
              <w:bottom w:val="single" w:sz="4" w:space="0" w:color="auto"/>
              <w:right w:val="single" w:sz="4" w:space="0" w:color="auto"/>
            </w:tcBorders>
            <w:shd w:val="clear" w:color="auto" w:fill="C6EFCE"/>
            <w:noWrap/>
            <w:vAlign w:val="center"/>
          </w:tcPr>
          <w:p w14:paraId="69160995" w14:textId="77777777" w:rsidR="006A41D9" w:rsidRPr="001961AA" w:rsidRDefault="006A41D9" w:rsidP="00BD6DD1">
            <w:pPr>
              <w:spacing w:after="0"/>
              <w:jc w:val="center"/>
              <w:rPr>
                <w:rFonts w:ascii="Times New Roman" w:hAnsi="Times New Roman" w:cs="Times New Roman"/>
                <w:noProof/>
                <w:color w:val="006100"/>
                <w:lang w:val="en-GB"/>
              </w:rPr>
            </w:pPr>
            <w:r w:rsidRPr="001961AA">
              <w:rPr>
                <w:rFonts w:ascii="Times New Roman" w:hAnsi="Times New Roman"/>
                <w:noProof/>
                <w:color w:val="006100"/>
                <w:lang w:val="en-GB"/>
              </w:rPr>
              <w:t>Q4</w:t>
            </w:r>
          </w:p>
        </w:tc>
        <w:tc>
          <w:tcPr>
            <w:tcW w:w="709" w:type="dxa"/>
            <w:tcBorders>
              <w:top w:val="nil"/>
              <w:left w:val="nil"/>
              <w:bottom w:val="single" w:sz="4" w:space="0" w:color="auto"/>
              <w:right w:val="single" w:sz="4" w:space="0" w:color="auto"/>
            </w:tcBorders>
            <w:shd w:val="clear" w:color="auto" w:fill="C6EFCE"/>
            <w:noWrap/>
            <w:vAlign w:val="center"/>
          </w:tcPr>
          <w:p w14:paraId="0D7A80AF" w14:textId="77777777" w:rsidR="006A41D9" w:rsidRPr="001961AA" w:rsidRDefault="006A41D9" w:rsidP="00BD6DD1">
            <w:pPr>
              <w:spacing w:after="0"/>
              <w:jc w:val="center"/>
              <w:rPr>
                <w:rFonts w:ascii="Times New Roman" w:hAnsi="Times New Roman" w:cs="Times New Roman"/>
                <w:noProof/>
                <w:color w:val="006100"/>
                <w:lang w:val="en-GB"/>
              </w:rPr>
            </w:pPr>
            <w:r w:rsidRPr="001961AA">
              <w:rPr>
                <w:rFonts w:ascii="Times New Roman" w:hAnsi="Times New Roman"/>
                <w:noProof/>
                <w:color w:val="006100"/>
                <w:lang w:val="en-GB"/>
              </w:rPr>
              <w:t>2022</w:t>
            </w:r>
          </w:p>
        </w:tc>
        <w:tc>
          <w:tcPr>
            <w:tcW w:w="4927" w:type="dxa"/>
            <w:tcBorders>
              <w:top w:val="nil"/>
              <w:left w:val="single" w:sz="4" w:space="0" w:color="auto"/>
              <w:bottom w:val="single" w:sz="4" w:space="0" w:color="auto"/>
              <w:right w:val="single" w:sz="4" w:space="0" w:color="auto"/>
            </w:tcBorders>
            <w:shd w:val="clear" w:color="auto" w:fill="C6EFCE"/>
            <w:noWrap/>
            <w:vAlign w:val="center"/>
          </w:tcPr>
          <w:p w14:paraId="2FA76E1A" w14:textId="1C677A91" w:rsidR="006A41D9" w:rsidRPr="001961AA" w:rsidRDefault="006A41D9" w:rsidP="00BD6DD1">
            <w:pPr>
              <w:spacing w:after="0"/>
              <w:rPr>
                <w:rFonts w:ascii="Times New Roman" w:eastAsia="Times New Roman" w:hAnsi="Times New Roman" w:cs="Times New Roman"/>
                <w:strike/>
                <w:noProof/>
                <w:color w:val="006100"/>
                <w:lang w:val="en-GB"/>
              </w:rPr>
            </w:pPr>
            <w:r w:rsidRPr="001961AA">
              <w:rPr>
                <w:rFonts w:ascii="Times New Roman" w:hAnsi="Times New Roman"/>
                <w:noProof/>
                <w:color w:val="006100"/>
                <w:lang w:val="en-GB"/>
              </w:rPr>
              <w:t>37 e-learning projects are approved, launched and completed following a call for project.</w:t>
            </w:r>
          </w:p>
        </w:tc>
      </w:tr>
      <w:tr w:rsidR="00292220" w:rsidRPr="001961AA" w14:paraId="6F02310C" w14:textId="77777777" w:rsidTr="00300C11">
        <w:trPr>
          <w:trHeight w:val="313"/>
        </w:trPr>
        <w:tc>
          <w:tcPr>
            <w:tcW w:w="709" w:type="dxa"/>
            <w:tcBorders>
              <w:top w:val="nil"/>
              <w:left w:val="single" w:sz="4" w:space="0" w:color="auto"/>
              <w:bottom w:val="single" w:sz="4" w:space="0" w:color="auto"/>
              <w:right w:val="single" w:sz="4" w:space="0" w:color="auto"/>
            </w:tcBorders>
            <w:shd w:val="clear" w:color="auto" w:fill="C6EFCE"/>
            <w:noWrap/>
            <w:vAlign w:val="center"/>
          </w:tcPr>
          <w:p w14:paraId="01588F8E"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170</w:t>
            </w:r>
          </w:p>
        </w:tc>
        <w:tc>
          <w:tcPr>
            <w:tcW w:w="1560" w:type="dxa"/>
            <w:tcBorders>
              <w:top w:val="nil"/>
              <w:left w:val="nil"/>
              <w:bottom w:val="single" w:sz="4" w:space="0" w:color="auto"/>
              <w:right w:val="single" w:sz="4" w:space="0" w:color="auto"/>
            </w:tcBorders>
            <w:shd w:val="clear" w:color="auto" w:fill="C6EFCE"/>
            <w:noWrap/>
            <w:vAlign w:val="center"/>
          </w:tcPr>
          <w:p w14:paraId="3D87E7B1"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Digital Skills (I-5.06)</w:t>
            </w:r>
          </w:p>
        </w:tc>
        <w:tc>
          <w:tcPr>
            <w:tcW w:w="1134" w:type="dxa"/>
            <w:tcBorders>
              <w:top w:val="nil"/>
              <w:left w:val="nil"/>
              <w:bottom w:val="single" w:sz="4" w:space="0" w:color="auto"/>
              <w:right w:val="single" w:sz="4" w:space="0" w:color="auto"/>
            </w:tcBorders>
            <w:shd w:val="clear" w:color="auto" w:fill="C6EFCE"/>
            <w:noWrap/>
            <w:vAlign w:val="center"/>
          </w:tcPr>
          <w:p w14:paraId="21D0587B" w14:textId="3F905649" w:rsidR="006A41D9" w:rsidRPr="001961AA" w:rsidRDefault="006A41D9" w:rsidP="00D875C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M</w:t>
            </w:r>
          </w:p>
        </w:tc>
        <w:tc>
          <w:tcPr>
            <w:tcW w:w="1559" w:type="dxa"/>
            <w:tcBorders>
              <w:top w:val="nil"/>
              <w:left w:val="nil"/>
              <w:bottom w:val="single" w:sz="4" w:space="0" w:color="auto"/>
              <w:right w:val="single" w:sz="4" w:space="0" w:color="auto"/>
            </w:tcBorders>
            <w:shd w:val="clear" w:color="auto" w:fill="C6EFCE"/>
            <w:noWrap/>
            <w:vAlign w:val="center"/>
          </w:tcPr>
          <w:p w14:paraId="50DF2A31"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Digital tools and services to citizens, employers and the Flemish Public Employment Service (VDAB) partners fully deployed in Flanders</w:t>
            </w:r>
          </w:p>
        </w:tc>
        <w:tc>
          <w:tcPr>
            <w:tcW w:w="1418" w:type="dxa"/>
            <w:tcBorders>
              <w:top w:val="nil"/>
              <w:left w:val="nil"/>
              <w:bottom w:val="single" w:sz="4" w:space="0" w:color="auto"/>
              <w:right w:val="single" w:sz="4" w:space="0" w:color="auto"/>
            </w:tcBorders>
            <w:shd w:val="clear" w:color="auto" w:fill="C6EFCE"/>
            <w:noWrap/>
            <w:vAlign w:val="center"/>
          </w:tcPr>
          <w:p w14:paraId="1C628CE5" w14:textId="77777777" w:rsidR="006A41D9" w:rsidRPr="001961AA" w:rsidRDefault="006A41D9" w:rsidP="00BD6DD1">
            <w:pP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Management and policy monitoring report of VDAB and Department WSE</w:t>
            </w:r>
          </w:p>
        </w:tc>
        <w:tc>
          <w:tcPr>
            <w:tcW w:w="1311" w:type="dxa"/>
            <w:tcBorders>
              <w:top w:val="nil"/>
              <w:left w:val="nil"/>
              <w:bottom w:val="single" w:sz="4" w:space="0" w:color="auto"/>
              <w:right w:val="single" w:sz="4" w:space="0" w:color="auto"/>
            </w:tcBorders>
            <w:shd w:val="clear" w:color="auto" w:fill="C6EFCE"/>
            <w:noWrap/>
            <w:vAlign w:val="center"/>
          </w:tcPr>
          <w:p w14:paraId="0BC3E0AC" w14:textId="3AFF507D"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957" w:type="dxa"/>
            <w:tcBorders>
              <w:top w:val="nil"/>
              <w:left w:val="nil"/>
              <w:bottom w:val="single" w:sz="4" w:space="0" w:color="auto"/>
              <w:right w:val="single" w:sz="4" w:space="0" w:color="auto"/>
            </w:tcBorders>
            <w:shd w:val="clear" w:color="auto" w:fill="C6EFCE"/>
            <w:noWrap/>
            <w:vAlign w:val="center"/>
          </w:tcPr>
          <w:p w14:paraId="748ED1CA" w14:textId="7CF90C4B"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992" w:type="dxa"/>
            <w:tcBorders>
              <w:top w:val="nil"/>
              <w:left w:val="nil"/>
              <w:bottom w:val="single" w:sz="4" w:space="0" w:color="auto"/>
              <w:right w:val="single" w:sz="4" w:space="0" w:color="auto"/>
            </w:tcBorders>
            <w:shd w:val="clear" w:color="auto" w:fill="C6EFCE"/>
            <w:noWrap/>
            <w:vAlign w:val="center"/>
          </w:tcPr>
          <w:p w14:paraId="26133223" w14:textId="292EE9B8"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992" w:type="dxa"/>
            <w:tcBorders>
              <w:top w:val="nil"/>
              <w:left w:val="nil"/>
              <w:bottom w:val="single" w:sz="4" w:space="0" w:color="auto"/>
              <w:right w:val="single" w:sz="4" w:space="0" w:color="auto"/>
            </w:tcBorders>
            <w:shd w:val="clear" w:color="auto" w:fill="C6EFCE"/>
            <w:noWrap/>
            <w:vAlign w:val="center"/>
          </w:tcPr>
          <w:p w14:paraId="49773704"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Q4</w:t>
            </w:r>
          </w:p>
        </w:tc>
        <w:tc>
          <w:tcPr>
            <w:tcW w:w="709" w:type="dxa"/>
            <w:tcBorders>
              <w:top w:val="nil"/>
              <w:left w:val="nil"/>
              <w:bottom w:val="single" w:sz="4" w:space="0" w:color="auto"/>
              <w:right w:val="single" w:sz="4" w:space="0" w:color="auto"/>
            </w:tcBorders>
            <w:shd w:val="clear" w:color="auto" w:fill="C6EFCE"/>
            <w:noWrap/>
            <w:vAlign w:val="center"/>
          </w:tcPr>
          <w:p w14:paraId="7D86672C" w14:textId="48D5DEA6"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2024</w:t>
            </w:r>
          </w:p>
        </w:tc>
        <w:tc>
          <w:tcPr>
            <w:tcW w:w="4927" w:type="dxa"/>
            <w:tcBorders>
              <w:top w:val="nil"/>
              <w:left w:val="single" w:sz="4" w:space="0" w:color="auto"/>
              <w:bottom w:val="single" w:sz="4" w:space="0" w:color="auto"/>
              <w:right w:val="single" w:sz="4" w:space="0" w:color="auto"/>
            </w:tcBorders>
            <w:shd w:val="clear" w:color="auto" w:fill="C6EFCE"/>
            <w:noWrap/>
            <w:vAlign w:val="center"/>
          </w:tcPr>
          <w:p w14:paraId="2830F135" w14:textId="77777777" w:rsidR="006A41D9" w:rsidRPr="001961AA" w:rsidRDefault="006A41D9" w:rsidP="00BD6DD1">
            <w:pPr>
              <w:spacing w:after="0"/>
              <w:rPr>
                <w:rFonts w:ascii="Times New Roman" w:hAnsi="Times New Roman" w:cs="Times New Roman"/>
                <w:noProof/>
                <w:color w:val="006100"/>
                <w:lang w:val="en-GB"/>
              </w:rPr>
            </w:pPr>
            <w:r w:rsidRPr="001961AA">
              <w:rPr>
                <w:rFonts w:ascii="Times New Roman" w:hAnsi="Times New Roman"/>
                <w:noProof/>
                <w:color w:val="006100"/>
                <w:lang w:val="en-GB"/>
              </w:rPr>
              <w:t>The report certifies the full deployment of the following digital tools and services to citizens, employers and VDAB partners fully deployed in Flanders:</w:t>
            </w:r>
          </w:p>
          <w:p w14:paraId="78A23938" w14:textId="77777777" w:rsidR="006A41D9" w:rsidRPr="001961AA" w:rsidRDefault="006A41D9" w:rsidP="00BD6DD1">
            <w:pPr>
              <w:spacing w:after="0"/>
              <w:rPr>
                <w:rFonts w:ascii="Times New Roman" w:hAnsi="Times New Roman" w:cs="Times New Roman"/>
                <w:noProof/>
                <w:color w:val="006100"/>
                <w:lang w:val="en-GB"/>
              </w:rPr>
            </w:pPr>
            <w:r w:rsidRPr="001961AA">
              <w:rPr>
                <w:rFonts w:ascii="Times New Roman" w:hAnsi="Times New Roman"/>
                <w:noProof/>
                <w:color w:val="006100"/>
                <w:lang w:val="en-GB"/>
              </w:rPr>
              <w:t>1. A personalised digital career platform, coupled with a personalised offer of training opportunities and incentives for citizens is accessible and operational.</w:t>
            </w:r>
          </w:p>
          <w:p w14:paraId="027A17AD" w14:textId="77777777" w:rsidR="006A41D9" w:rsidRPr="001961AA" w:rsidRDefault="006A41D9" w:rsidP="00BD6DD1">
            <w:pPr>
              <w:spacing w:after="0"/>
              <w:rPr>
                <w:rFonts w:ascii="Times New Roman" w:hAnsi="Times New Roman" w:cs="Times New Roman"/>
                <w:noProof/>
                <w:color w:val="006100"/>
                <w:lang w:val="en-GB"/>
              </w:rPr>
            </w:pPr>
            <w:r w:rsidRPr="001961AA">
              <w:rPr>
                <w:rFonts w:ascii="Times New Roman" w:hAnsi="Times New Roman"/>
                <w:noProof/>
                <w:color w:val="006100"/>
                <w:lang w:val="en-GB"/>
              </w:rPr>
              <w:t>2. Digital employer counter of VDAB and digital partner platform are operational, allowing VDAB mediators to actively contact all employers with vacancies under shared management and support them digitally in filling the vacancies. The follow-up of all VDAB partners is also done through the digital partner platform.</w:t>
            </w:r>
          </w:p>
          <w:p w14:paraId="20EB04EB" w14:textId="77777777" w:rsidR="006A41D9" w:rsidRPr="001961AA" w:rsidRDefault="006A41D9" w:rsidP="00BD6DD1">
            <w:pPr>
              <w:pStyle w:val="NumPar1"/>
              <w:numPr>
                <w:ilvl w:val="0"/>
                <w:numId w:val="0"/>
              </w:numPr>
              <w:spacing w:before="0" w:after="0"/>
              <w:jc w:val="left"/>
              <w:rPr>
                <w:noProof/>
                <w:color w:val="006100"/>
                <w:sz w:val="22"/>
                <w:lang w:val="en-GB"/>
              </w:rPr>
            </w:pPr>
            <w:r w:rsidRPr="001961AA">
              <w:rPr>
                <w:noProof/>
                <w:color w:val="006100"/>
                <w:sz w:val="22"/>
                <w:lang w:val="en-GB"/>
              </w:rPr>
              <w:t>3.</w:t>
            </w:r>
            <w:r w:rsidRPr="001961AA">
              <w:rPr>
                <w:noProof/>
                <w:lang w:val="en-GB"/>
              </w:rPr>
              <w:t xml:space="preserve"> </w:t>
            </w:r>
            <w:r w:rsidRPr="001961AA">
              <w:rPr>
                <w:noProof/>
                <w:color w:val="006100"/>
                <w:sz w:val="22"/>
                <w:lang w:val="en-GB"/>
              </w:rPr>
              <w:t>Digital services to employers have been extended by means of a digital employer counter of Department WSE accessible to all employers.</w:t>
            </w:r>
          </w:p>
          <w:p w14:paraId="73286045" w14:textId="1482B7C5"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4. Department WSE data ecosystem for partners is made operational: 15 relevant datasets are made available on the open data platform for research and other purposes</w:t>
            </w:r>
          </w:p>
        </w:tc>
      </w:tr>
      <w:tr w:rsidR="0040388B" w:rsidRPr="001961AA" w14:paraId="1158F2A1" w14:textId="77777777" w:rsidTr="00300C11">
        <w:trPr>
          <w:trHeight w:val="313"/>
        </w:trPr>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2208E79"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171</w:t>
            </w:r>
          </w:p>
        </w:tc>
        <w:tc>
          <w:tcPr>
            <w:tcW w:w="1560" w:type="dxa"/>
            <w:tcBorders>
              <w:top w:val="single" w:sz="4" w:space="0" w:color="auto"/>
              <w:left w:val="nil"/>
              <w:bottom w:val="single" w:sz="4" w:space="0" w:color="auto"/>
              <w:right w:val="single" w:sz="4" w:space="0" w:color="auto"/>
            </w:tcBorders>
            <w:shd w:val="clear" w:color="auto" w:fill="C6EFCE"/>
            <w:noWrap/>
            <w:vAlign w:val="center"/>
          </w:tcPr>
          <w:p w14:paraId="76068E32" w14:textId="46908FFF" w:rsidR="006A41D9" w:rsidRPr="001961AA" w:rsidRDefault="00583B2E"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Digital lifelong learning (I-5.07)</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14:paraId="748A16FC" w14:textId="6E087916" w:rsidR="006A41D9" w:rsidRPr="001961AA" w:rsidRDefault="006A41D9" w:rsidP="00D875C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M</w:t>
            </w:r>
          </w:p>
        </w:tc>
        <w:tc>
          <w:tcPr>
            <w:tcW w:w="1559" w:type="dxa"/>
            <w:tcBorders>
              <w:top w:val="single" w:sz="4" w:space="0" w:color="auto"/>
              <w:left w:val="nil"/>
              <w:bottom w:val="single" w:sz="4" w:space="0" w:color="auto"/>
              <w:right w:val="single" w:sz="4" w:space="0" w:color="auto"/>
            </w:tcBorders>
            <w:shd w:val="clear" w:color="auto" w:fill="C6EFCE"/>
            <w:noWrap/>
            <w:vAlign w:val="center"/>
          </w:tcPr>
          <w:p w14:paraId="70A0C771"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Modernisation of the provision of coaching and training in digital skills, including basic digital skills in Wallonia, through digital tools, state-of-the-art infrastructure, competent mentoring and innovative projects.</w:t>
            </w:r>
          </w:p>
        </w:tc>
        <w:tc>
          <w:tcPr>
            <w:tcW w:w="1418" w:type="dxa"/>
            <w:tcBorders>
              <w:top w:val="single" w:sz="4" w:space="0" w:color="auto"/>
              <w:left w:val="nil"/>
              <w:bottom w:val="single" w:sz="4" w:space="0" w:color="auto"/>
              <w:right w:val="single" w:sz="4" w:space="0" w:color="auto"/>
            </w:tcBorders>
            <w:shd w:val="clear" w:color="auto" w:fill="C6EFCE"/>
            <w:noWrap/>
            <w:vAlign w:val="center"/>
          </w:tcPr>
          <w:p w14:paraId="63102AAB" w14:textId="32F0F6E4"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Report confirming the completion of the different projects</w:t>
            </w:r>
          </w:p>
        </w:tc>
        <w:tc>
          <w:tcPr>
            <w:tcW w:w="1311" w:type="dxa"/>
            <w:tcBorders>
              <w:top w:val="single" w:sz="4" w:space="0" w:color="auto"/>
              <w:left w:val="nil"/>
              <w:bottom w:val="single" w:sz="4" w:space="0" w:color="auto"/>
              <w:right w:val="single" w:sz="4" w:space="0" w:color="auto"/>
            </w:tcBorders>
            <w:shd w:val="clear" w:color="auto" w:fill="C6EFCE"/>
            <w:noWrap/>
            <w:vAlign w:val="center"/>
          </w:tcPr>
          <w:p w14:paraId="7E41BC42" w14:textId="45BBFF22"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957" w:type="dxa"/>
            <w:tcBorders>
              <w:top w:val="single" w:sz="4" w:space="0" w:color="auto"/>
              <w:left w:val="nil"/>
              <w:bottom w:val="single" w:sz="4" w:space="0" w:color="auto"/>
              <w:right w:val="single" w:sz="4" w:space="0" w:color="auto"/>
            </w:tcBorders>
            <w:shd w:val="clear" w:color="auto" w:fill="C6EFCE"/>
            <w:noWrap/>
            <w:vAlign w:val="center"/>
          </w:tcPr>
          <w:p w14:paraId="3AE01D86" w14:textId="0C7F8D2D"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992" w:type="dxa"/>
            <w:tcBorders>
              <w:top w:val="single" w:sz="4" w:space="0" w:color="auto"/>
              <w:left w:val="nil"/>
              <w:bottom w:val="single" w:sz="4" w:space="0" w:color="auto"/>
              <w:right w:val="single" w:sz="4" w:space="0" w:color="auto"/>
            </w:tcBorders>
            <w:shd w:val="clear" w:color="auto" w:fill="C6EFCE"/>
            <w:noWrap/>
            <w:vAlign w:val="center"/>
          </w:tcPr>
          <w:p w14:paraId="42D966BC" w14:textId="751681EA"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992" w:type="dxa"/>
            <w:tcBorders>
              <w:top w:val="single" w:sz="4" w:space="0" w:color="auto"/>
              <w:left w:val="nil"/>
              <w:bottom w:val="single" w:sz="4" w:space="0" w:color="auto"/>
              <w:right w:val="single" w:sz="4" w:space="0" w:color="auto"/>
            </w:tcBorders>
            <w:shd w:val="clear" w:color="auto" w:fill="C6EFCE"/>
            <w:noWrap/>
            <w:vAlign w:val="center"/>
          </w:tcPr>
          <w:p w14:paraId="294717F5"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Q2</w:t>
            </w:r>
          </w:p>
        </w:tc>
        <w:tc>
          <w:tcPr>
            <w:tcW w:w="709" w:type="dxa"/>
            <w:tcBorders>
              <w:top w:val="single" w:sz="4" w:space="0" w:color="auto"/>
              <w:left w:val="nil"/>
              <w:bottom w:val="single" w:sz="4" w:space="0" w:color="auto"/>
              <w:right w:val="single" w:sz="4" w:space="0" w:color="auto"/>
            </w:tcBorders>
            <w:shd w:val="clear" w:color="auto" w:fill="C6EFCE"/>
            <w:noWrap/>
            <w:vAlign w:val="center"/>
          </w:tcPr>
          <w:p w14:paraId="276EEDCB"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2026</w:t>
            </w:r>
          </w:p>
        </w:tc>
        <w:tc>
          <w:tcPr>
            <w:tcW w:w="4927" w:type="dxa"/>
            <w:tcBorders>
              <w:top w:val="nil"/>
              <w:left w:val="single" w:sz="4" w:space="0" w:color="auto"/>
              <w:bottom w:val="single" w:sz="4" w:space="0" w:color="auto"/>
              <w:right w:val="single" w:sz="4" w:space="0" w:color="auto"/>
            </w:tcBorders>
            <w:shd w:val="clear" w:color="auto" w:fill="C6EFCE"/>
            <w:noWrap/>
            <w:vAlign w:val="center"/>
          </w:tcPr>
          <w:p w14:paraId="65A54BC7" w14:textId="0636F5C2" w:rsidR="006A41D9" w:rsidRPr="001961AA" w:rsidRDefault="006A41D9" w:rsidP="00BD6DD1">
            <w:pPr>
              <w:rPr>
                <w:rFonts w:ascii="Times New Roman" w:eastAsia="Calibri" w:hAnsi="Times New Roman" w:cs="Times New Roman"/>
                <w:noProof/>
                <w:color w:val="006100"/>
                <w:lang w:val="en-GB"/>
              </w:rPr>
            </w:pPr>
            <w:r w:rsidRPr="001961AA">
              <w:rPr>
                <w:rFonts w:ascii="Times New Roman" w:hAnsi="Times New Roman"/>
                <w:noProof/>
                <w:color w:val="006100"/>
                <w:lang w:val="en-GB"/>
              </w:rPr>
              <w:t>ICT equipment shall be made available and operational for 39 immersive training spaces of the Walloon Institute for Alternate Training for the Self-Employed and Small and Medium-Sized Enterprises (IFAPME) (22 training centres &amp; 17 local services sites). 9 sites of the Walloon public employment services (FOREM) shall be transformed and equipped in Digital factories (4 renovated and 5 built) and 1 site shall be equipped as a re-engineering &amp; STEM platform. The basic digital training needs shall be integrated into current training programs as well as newly developed training programs in the IT sector, based on labour market needs, and on this basis, 10 000 hours of pedagogical training for the digital transition shall be provided to teaching personnel and trainees. 6 000 m² of training infrastructures hosting digital skills training shall be constructed or adapted.</w:t>
            </w:r>
          </w:p>
        </w:tc>
      </w:tr>
      <w:tr w:rsidR="00292220" w:rsidRPr="001961AA" w14:paraId="78D21664" w14:textId="77777777" w:rsidTr="00300C11">
        <w:trPr>
          <w:trHeight w:val="313"/>
        </w:trPr>
        <w:tc>
          <w:tcPr>
            <w:tcW w:w="709" w:type="dxa"/>
            <w:tcBorders>
              <w:top w:val="nil"/>
              <w:left w:val="single" w:sz="4" w:space="0" w:color="auto"/>
              <w:bottom w:val="single" w:sz="4" w:space="0" w:color="auto"/>
              <w:right w:val="single" w:sz="4" w:space="0" w:color="auto"/>
            </w:tcBorders>
            <w:shd w:val="clear" w:color="auto" w:fill="C6EFCE"/>
            <w:noWrap/>
            <w:vAlign w:val="center"/>
          </w:tcPr>
          <w:p w14:paraId="1C60BC18"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172</w:t>
            </w:r>
          </w:p>
        </w:tc>
        <w:tc>
          <w:tcPr>
            <w:tcW w:w="1560" w:type="dxa"/>
            <w:tcBorders>
              <w:top w:val="nil"/>
              <w:left w:val="nil"/>
              <w:bottom w:val="single" w:sz="4" w:space="0" w:color="auto"/>
              <w:right w:val="single" w:sz="4" w:space="0" w:color="auto"/>
            </w:tcBorders>
            <w:shd w:val="clear" w:color="auto" w:fill="C6EFCE"/>
            <w:noWrap/>
            <w:vAlign w:val="center"/>
          </w:tcPr>
          <w:p w14:paraId="461CA1A3"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Learning account (R-5.03)</w:t>
            </w:r>
          </w:p>
        </w:tc>
        <w:tc>
          <w:tcPr>
            <w:tcW w:w="1134" w:type="dxa"/>
            <w:tcBorders>
              <w:top w:val="nil"/>
              <w:left w:val="nil"/>
              <w:bottom w:val="single" w:sz="4" w:space="0" w:color="auto"/>
              <w:right w:val="single" w:sz="4" w:space="0" w:color="auto"/>
            </w:tcBorders>
            <w:shd w:val="clear" w:color="auto" w:fill="C6EFCE"/>
            <w:noWrap/>
            <w:vAlign w:val="center"/>
          </w:tcPr>
          <w:p w14:paraId="5371B78A" w14:textId="0B41AA54" w:rsidR="006A41D9" w:rsidRPr="001961AA" w:rsidRDefault="006A41D9" w:rsidP="00D875C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M</w:t>
            </w:r>
          </w:p>
        </w:tc>
        <w:tc>
          <w:tcPr>
            <w:tcW w:w="1559" w:type="dxa"/>
            <w:tcBorders>
              <w:top w:val="nil"/>
              <w:left w:val="nil"/>
              <w:bottom w:val="single" w:sz="4" w:space="0" w:color="auto"/>
              <w:right w:val="single" w:sz="4" w:space="0" w:color="auto"/>
            </w:tcBorders>
            <w:shd w:val="clear" w:color="auto" w:fill="C6EFCE"/>
            <w:noWrap/>
            <w:vAlign w:val="center"/>
          </w:tcPr>
          <w:p w14:paraId="4C9B145B"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Federal reform developing individual entitlement to training for employees.</w:t>
            </w:r>
          </w:p>
        </w:tc>
        <w:tc>
          <w:tcPr>
            <w:tcW w:w="1418" w:type="dxa"/>
            <w:tcBorders>
              <w:top w:val="nil"/>
              <w:left w:val="nil"/>
              <w:bottom w:val="single" w:sz="4" w:space="0" w:color="auto"/>
              <w:right w:val="single" w:sz="4" w:space="0" w:color="auto"/>
            </w:tcBorders>
            <w:shd w:val="clear" w:color="auto" w:fill="C6EFCE"/>
            <w:noWrap/>
            <w:vAlign w:val="center"/>
          </w:tcPr>
          <w:p w14:paraId="7468BE1F"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Publication in official journal</w:t>
            </w:r>
          </w:p>
        </w:tc>
        <w:tc>
          <w:tcPr>
            <w:tcW w:w="1311" w:type="dxa"/>
            <w:tcBorders>
              <w:top w:val="nil"/>
              <w:left w:val="nil"/>
              <w:bottom w:val="single" w:sz="4" w:space="0" w:color="auto"/>
              <w:right w:val="single" w:sz="4" w:space="0" w:color="auto"/>
            </w:tcBorders>
            <w:shd w:val="clear" w:color="auto" w:fill="C6EFCE"/>
            <w:noWrap/>
            <w:vAlign w:val="center"/>
          </w:tcPr>
          <w:p w14:paraId="7152AE02" w14:textId="6E3B03FD"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957" w:type="dxa"/>
            <w:tcBorders>
              <w:top w:val="nil"/>
              <w:left w:val="nil"/>
              <w:bottom w:val="single" w:sz="4" w:space="0" w:color="auto"/>
              <w:right w:val="single" w:sz="4" w:space="0" w:color="auto"/>
            </w:tcBorders>
            <w:shd w:val="clear" w:color="auto" w:fill="C6EFCE"/>
            <w:noWrap/>
            <w:vAlign w:val="center"/>
          </w:tcPr>
          <w:p w14:paraId="0BEA8195" w14:textId="43B22D13"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992" w:type="dxa"/>
            <w:tcBorders>
              <w:top w:val="nil"/>
              <w:left w:val="nil"/>
              <w:bottom w:val="single" w:sz="4" w:space="0" w:color="auto"/>
              <w:right w:val="single" w:sz="4" w:space="0" w:color="auto"/>
            </w:tcBorders>
            <w:shd w:val="clear" w:color="auto" w:fill="C6EFCE"/>
            <w:noWrap/>
            <w:vAlign w:val="center"/>
          </w:tcPr>
          <w:p w14:paraId="3E79F889" w14:textId="2B7063C8"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992" w:type="dxa"/>
            <w:tcBorders>
              <w:top w:val="nil"/>
              <w:left w:val="nil"/>
              <w:bottom w:val="single" w:sz="4" w:space="0" w:color="auto"/>
              <w:right w:val="single" w:sz="4" w:space="0" w:color="auto"/>
            </w:tcBorders>
            <w:shd w:val="clear" w:color="auto" w:fill="C6EFCE"/>
            <w:noWrap/>
            <w:vAlign w:val="center"/>
          </w:tcPr>
          <w:p w14:paraId="68407D94"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Q4</w:t>
            </w:r>
          </w:p>
        </w:tc>
        <w:tc>
          <w:tcPr>
            <w:tcW w:w="709" w:type="dxa"/>
            <w:tcBorders>
              <w:top w:val="nil"/>
              <w:left w:val="nil"/>
              <w:bottom w:val="single" w:sz="4" w:space="0" w:color="auto"/>
              <w:right w:val="single" w:sz="4" w:space="0" w:color="auto"/>
            </w:tcBorders>
            <w:shd w:val="clear" w:color="auto" w:fill="C6EFCE"/>
            <w:noWrap/>
            <w:vAlign w:val="center"/>
          </w:tcPr>
          <w:p w14:paraId="0D1E807E"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2021</w:t>
            </w:r>
          </w:p>
        </w:tc>
        <w:tc>
          <w:tcPr>
            <w:tcW w:w="4927" w:type="dxa"/>
            <w:tcBorders>
              <w:top w:val="nil"/>
              <w:left w:val="single" w:sz="4" w:space="0" w:color="auto"/>
              <w:bottom w:val="single" w:sz="4" w:space="0" w:color="auto"/>
              <w:right w:val="single" w:sz="4" w:space="0" w:color="auto"/>
            </w:tcBorders>
            <w:shd w:val="clear" w:color="auto" w:fill="C6EFCE"/>
            <w:noWrap/>
            <w:vAlign w:val="center"/>
          </w:tcPr>
          <w:p w14:paraId="66342090" w14:textId="77777777" w:rsidR="006A41D9" w:rsidRPr="001961AA" w:rsidRDefault="006A41D9" w:rsidP="00BD6DD1">
            <w:pPr>
              <w:spacing w:after="0"/>
              <w:rPr>
                <w:rFonts w:ascii="Times New Roman" w:hAnsi="Times New Roman" w:cs="Times New Roman"/>
                <w:noProof/>
                <w:color w:val="006100"/>
                <w:lang w:val="en-GB"/>
              </w:rPr>
            </w:pPr>
            <w:r w:rsidRPr="001961AA">
              <w:rPr>
                <w:rFonts w:ascii="Times New Roman" w:hAnsi="Times New Roman"/>
                <w:noProof/>
                <w:color w:val="006100"/>
                <w:lang w:val="en-GB"/>
              </w:rPr>
              <w:t>Based on dialogue between social partners and the federal Government, adoption of the revision of the law of 5 March 2017 on feasible and manageable work introducing a pathway ensuring that from 2024, all workers are entitled to an average of 5 days of training per year.</w:t>
            </w:r>
          </w:p>
        </w:tc>
      </w:tr>
      <w:tr w:rsidR="00292220" w:rsidRPr="001961AA" w14:paraId="3D6EDFD9" w14:textId="77777777" w:rsidTr="00300C11">
        <w:trPr>
          <w:trHeight w:val="313"/>
        </w:trPr>
        <w:tc>
          <w:tcPr>
            <w:tcW w:w="709" w:type="dxa"/>
            <w:tcBorders>
              <w:top w:val="nil"/>
              <w:left w:val="single" w:sz="4" w:space="0" w:color="auto"/>
              <w:bottom w:val="single" w:sz="4" w:space="0" w:color="auto"/>
              <w:right w:val="single" w:sz="4" w:space="0" w:color="auto"/>
            </w:tcBorders>
            <w:shd w:val="clear" w:color="auto" w:fill="C6EFCE"/>
            <w:noWrap/>
            <w:vAlign w:val="center"/>
          </w:tcPr>
          <w:p w14:paraId="2EB1F19E"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173</w:t>
            </w:r>
          </w:p>
        </w:tc>
        <w:tc>
          <w:tcPr>
            <w:tcW w:w="1560" w:type="dxa"/>
            <w:tcBorders>
              <w:top w:val="nil"/>
              <w:left w:val="nil"/>
              <w:bottom w:val="single" w:sz="4" w:space="0" w:color="auto"/>
              <w:right w:val="single" w:sz="4" w:space="0" w:color="auto"/>
            </w:tcBorders>
            <w:shd w:val="clear" w:color="auto" w:fill="C6EFCE"/>
            <w:noWrap/>
            <w:vAlign w:val="center"/>
          </w:tcPr>
          <w:p w14:paraId="7B8EF477" w14:textId="77777777" w:rsidR="006A41D9" w:rsidRPr="001961AA" w:rsidRDefault="006A41D9" w:rsidP="00BD6DD1">
            <w:pPr>
              <w:spacing w:after="0"/>
              <w:rPr>
                <w:rFonts w:ascii="Times New Roman" w:hAnsi="Times New Roman" w:cs="Times New Roman"/>
                <w:noProof/>
                <w:color w:val="006100"/>
                <w:lang w:val="en-GB"/>
              </w:rPr>
            </w:pPr>
            <w:r w:rsidRPr="001961AA">
              <w:rPr>
                <w:rFonts w:ascii="Times New Roman" w:hAnsi="Times New Roman"/>
                <w:noProof/>
                <w:color w:val="006100"/>
                <w:lang w:val="en-GB"/>
              </w:rPr>
              <w:t>Learning account (R-5.03)</w:t>
            </w:r>
          </w:p>
        </w:tc>
        <w:tc>
          <w:tcPr>
            <w:tcW w:w="1134" w:type="dxa"/>
            <w:tcBorders>
              <w:top w:val="nil"/>
              <w:left w:val="nil"/>
              <w:bottom w:val="single" w:sz="4" w:space="0" w:color="auto"/>
              <w:right w:val="single" w:sz="4" w:space="0" w:color="auto"/>
            </w:tcBorders>
            <w:shd w:val="clear" w:color="auto" w:fill="C6EFCE"/>
            <w:noWrap/>
            <w:vAlign w:val="center"/>
          </w:tcPr>
          <w:p w14:paraId="364570AB" w14:textId="74E0E64B" w:rsidR="006A41D9" w:rsidRPr="001961AA" w:rsidRDefault="006A41D9" w:rsidP="00D875C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M</w:t>
            </w:r>
          </w:p>
        </w:tc>
        <w:tc>
          <w:tcPr>
            <w:tcW w:w="1559" w:type="dxa"/>
            <w:tcBorders>
              <w:top w:val="nil"/>
              <w:left w:val="nil"/>
              <w:bottom w:val="single" w:sz="4" w:space="0" w:color="auto"/>
              <w:right w:val="single" w:sz="4" w:space="0" w:color="auto"/>
            </w:tcBorders>
            <w:shd w:val="clear" w:color="auto" w:fill="C6EFCE"/>
            <w:noWrap/>
            <w:vAlign w:val="center"/>
          </w:tcPr>
          <w:p w14:paraId="21001847"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Federal reform creating incentives for companies to provide training</w:t>
            </w:r>
          </w:p>
        </w:tc>
        <w:tc>
          <w:tcPr>
            <w:tcW w:w="1418" w:type="dxa"/>
            <w:tcBorders>
              <w:top w:val="nil"/>
              <w:left w:val="nil"/>
              <w:bottom w:val="single" w:sz="4" w:space="0" w:color="auto"/>
              <w:right w:val="single" w:sz="4" w:space="0" w:color="auto"/>
            </w:tcBorders>
            <w:shd w:val="clear" w:color="auto" w:fill="C6EFCE"/>
            <w:noWrap/>
            <w:vAlign w:val="center"/>
          </w:tcPr>
          <w:p w14:paraId="1BB03290"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Publication in official journal</w:t>
            </w:r>
          </w:p>
        </w:tc>
        <w:tc>
          <w:tcPr>
            <w:tcW w:w="1311" w:type="dxa"/>
            <w:tcBorders>
              <w:top w:val="nil"/>
              <w:left w:val="nil"/>
              <w:bottom w:val="single" w:sz="4" w:space="0" w:color="auto"/>
              <w:right w:val="single" w:sz="4" w:space="0" w:color="auto"/>
            </w:tcBorders>
            <w:shd w:val="clear" w:color="auto" w:fill="C6EFCE"/>
            <w:noWrap/>
            <w:vAlign w:val="center"/>
          </w:tcPr>
          <w:p w14:paraId="51907ED3" w14:textId="55546C4F"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957" w:type="dxa"/>
            <w:tcBorders>
              <w:top w:val="nil"/>
              <w:left w:val="nil"/>
              <w:bottom w:val="single" w:sz="4" w:space="0" w:color="auto"/>
              <w:right w:val="single" w:sz="4" w:space="0" w:color="auto"/>
            </w:tcBorders>
            <w:shd w:val="clear" w:color="auto" w:fill="C6EFCE"/>
            <w:noWrap/>
            <w:vAlign w:val="center"/>
          </w:tcPr>
          <w:p w14:paraId="2F5E4D8E" w14:textId="2C92CC9B"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992" w:type="dxa"/>
            <w:tcBorders>
              <w:top w:val="nil"/>
              <w:left w:val="nil"/>
              <w:bottom w:val="single" w:sz="4" w:space="0" w:color="auto"/>
              <w:right w:val="single" w:sz="4" w:space="0" w:color="auto"/>
            </w:tcBorders>
            <w:shd w:val="clear" w:color="auto" w:fill="C6EFCE"/>
            <w:noWrap/>
            <w:vAlign w:val="center"/>
          </w:tcPr>
          <w:p w14:paraId="4FD1FF73" w14:textId="0F002155"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992" w:type="dxa"/>
            <w:tcBorders>
              <w:top w:val="nil"/>
              <w:left w:val="nil"/>
              <w:bottom w:val="single" w:sz="4" w:space="0" w:color="auto"/>
              <w:right w:val="single" w:sz="4" w:space="0" w:color="auto"/>
            </w:tcBorders>
            <w:shd w:val="clear" w:color="auto" w:fill="C6EFCE"/>
            <w:noWrap/>
            <w:vAlign w:val="center"/>
          </w:tcPr>
          <w:p w14:paraId="4641C7D4"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Q1</w:t>
            </w:r>
          </w:p>
        </w:tc>
        <w:tc>
          <w:tcPr>
            <w:tcW w:w="709" w:type="dxa"/>
            <w:tcBorders>
              <w:top w:val="nil"/>
              <w:left w:val="nil"/>
              <w:bottom w:val="single" w:sz="4" w:space="0" w:color="auto"/>
              <w:right w:val="single" w:sz="4" w:space="0" w:color="auto"/>
            </w:tcBorders>
            <w:shd w:val="clear" w:color="auto" w:fill="C6EFCE"/>
            <w:noWrap/>
            <w:vAlign w:val="center"/>
          </w:tcPr>
          <w:p w14:paraId="649BDCD1"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2021</w:t>
            </w:r>
          </w:p>
        </w:tc>
        <w:tc>
          <w:tcPr>
            <w:tcW w:w="4927" w:type="dxa"/>
            <w:tcBorders>
              <w:top w:val="nil"/>
              <w:left w:val="single" w:sz="4" w:space="0" w:color="auto"/>
              <w:bottom w:val="single" w:sz="4" w:space="0" w:color="auto"/>
              <w:right w:val="single" w:sz="4" w:space="0" w:color="auto"/>
            </w:tcBorders>
            <w:shd w:val="clear" w:color="auto" w:fill="C6EFCE"/>
            <w:noWrap/>
            <w:vAlign w:val="center"/>
          </w:tcPr>
          <w:p w14:paraId="4A731EBC" w14:textId="77777777" w:rsidR="006A41D9" w:rsidRPr="001961AA" w:rsidRDefault="006A41D9" w:rsidP="00BD6DD1">
            <w:pPr>
              <w:spacing w:after="0"/>
              <w:rPr>
                <w:rFonts w:ascii="Times New Roman" w:hAnsi="Times New Roman" w:cs="Times New Roman"/>
                <w:noProof/>
                <w:color w:val="006100"/>
                <w:lang w:val="en-GB"/>
              </w:rPr>
            </w:pPr>
            <w:r w:rsidRPr="001961AA">
              <w:rPr>
                <w:rFonts w:ascii="Times New Roman" w:hAnsi="Times New Roman"/>
                <w:noProof/>
                <w:color w:val="006100"/>
                <w:lang w:val="en-GB"/>
              </w:rPr>
              <w:t>Adoption of the Programme Law of 20 December 2020 by the Parliament, establishing a partial exemption (11,75%) from payment of withholding tax for workers following a training of at least 10 days.</w:t>
            </w:r>
          </w:p>
        </w:tc>
      </w:tr>
      <w:tr w:rsidR="00292220" w:rsidRPr="001961AA" w14:paraId="319D7432" w14:textId="77777777" w:rsidTr="00300C11">
        <w:trPr>
          <w:trHeight w:val="313"/>
        </w:trPr>
        <w:tc>
          <w:tcPr>
            <w:tcW w:w="709" w:type="dxa"/>
            <w:tcBorders>
              <w:top w:val="nil"/>
              <w:left w:val="single" w:sz="4" w:space="0" w:color="auto"/>
              <w:bottom w:val="single" w:sz="4" w:space="0" w:color="auto"/>
              <w:right w:val="single" w:sz="4" w:space="0" w:color="auto"/>
            </w:tcBorders>
            <w:shd w:val="clear" w:color="auto" w:fill="C6EFCE"/>
            <w:noWrap/>
            <w:vAlign w:val="center"/>
          </w:tcPr>
          <w:p w14:paraId="618E6198"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174</w:t>
            </w:r>
          </w:p>
        </w:tc>
        <w:tc>
          <w:tcPr>
            <w:tcW w:w="1560" w:type="dxa"/>
            <w:tcBorders>
              <w:top w:val="nil"/>
              <w:left w:val="nil"/>
              <w:bottom w:val="single" w:sz="4" w:space="0" w:color="auto"/>
              <w:right w:val="single" w:sz="4" w:space="0" w:color="auto"/>
            </w:tcBorders>
            <w:shd w:val="clear" w:color="auto" w:fill="C6EFCE"/>
            <w:noWrap/>
            <w:vAlign w:val="center"/>
          </w:tcPr>
          <w:p w14:paraId="2E42F549" w14:textId="77777777" w:rsidR="006A41D9" w:rsidRPr="001961AA" w:rsidRDefault="006A41D9" w:rsidP="00BD6DD1">
            <w:pPr>
              <w:spacing w:after="0"/>
              <w:rPr>
                <w:rFonts w:ascii="Times New Roman" w:hAnsi="Times New Roman" w:cs="Times New Roman"/>
                <w:noProof/>
                <w:color w:val="006100"/>
                <w:lang w:val="en-GB"/>
              </w:rPr>
            </w:pPr>
            <w:r w:rsidRPr="001961AA">
              <w:rPr>
                <w:rFonts w:ascii="Times New Roman" w:hAnsi="Times New Roman"/>
                <w:noProof/>
                <w:color w:val="006100"/>
                <w:lang w:val="en-GB"/>
              </w:rPr>
              <w:t>Learning account (R-5.03)</w:t>
            </w:r>
          </w:p>
        </w:tc>
        <w:tc>
          <w:tcPr>
            <w:tcW w:w="1134" w:type="dxa"/>
            <w:tcBorders>
              <w:top w:val="nil"/>
              <w:left w:val="nil"/>
              <w:bottom w:val="single" w:sz="4" w:space="0" w:color="auto"/>
              <w:right w:val="single" w:sz="4" w:space="0" w:color="auto"/>
            </w:tcBorders>
            <w:shd w:val="clear" w:color="auto" w:fill="C6EFCE"/>
            <w:noWrap/>
            <w:vAlign w:val="center"/>
          </w:tcPr>
          <w:p w14:paraId="59C8CF07" w14:textId="11F5E7DC" w:rsidR="006A41D9" w:rsidRPr="001961AA" w:rsidRDefault="006A41D9" w:rsidP="00D875C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M</w:t>
            </w:r>
          </w:p>
        </w:tc>
        <w:tc>
          <w:tcPr>
            <w:tcW w:w="1559" w:type="dxa"/>
            <w:tcBorders>
              <w:top w:val="nil"/>
              <w:left w:val="nil"/>
              <w:bottom w:val="single" w:sz="4" w:space="0" w:color="auto"/>
              <w:right w:val="single" w:sz="4" w:space="0" w:color="auto"/>
            </w:tcBorders>
            <w:shd w:val="clear" w:color="auto" w:fill="C6EFCE"/>
            <w:noWrap/>
            <w:vAlign w:val="center"/>
          </w:tcPr>
          <w:p w14:paraId="04686E56" w14:textId="057ECFDF" w:rsidR="006A41D9" w:rsidRPr="001961AA" w:rsidRDefault="007C7B6B"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Reform establishing compulsory registration in the public employment service</w:t>
            </w:r>
          </w:p>
        </w:tc>
        <w:tc>
          <w:tcPr>
            <w:tcW w:w="1418" w:type="dxa"/>
            <w:tcBorders>
              <w:top w:val="nil"/>
              <w:left w:val="nil"/>
              <w:bottom w:val="single" w:sz="4" w:space="0" w:color="auto"/>
              <w:right w:val="single" w:sz="4" w:space="0" w:color="auto"/>
            </w:tcBorders>
            <w:shd w:val="clear" w:color="auto" w:fill="C6EFCE"/>
            <w:noWrap/>
            <w:vAlign w:val="center"/>
          </w:tcPr>
          <w:p w14:paraId="355D91E4" w14:textId="0E344DC6" w:rsidR="006A41D9" w:rsidRPr="001961AA" w:rsidRDefault="007C7B6B"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Provisions in the decree indicating the entry into force</w:t>
            </w:r>
          </w:p>
        </w:tc>
        <w:tc>
          <w:tcPr>
            <w:tcW w:w="1311" w:type="dxa"/>
            <w:tcBorders>
              <w:top w:val="nil"/>
              <w:left w:val="nil"/>
              <w:bottom w:val="single" w:sz="4" w:space="0" w:color="auto"/>
              <w:right w:val="single" w:sz="4" w:space="0" w:color="auto"/>
            </w:tcBorders>
            <w:shd w:val="clear" w:color="auto" w:fill="C6EFCE"/>
            <w:noWrap/>
            <w:vAlign w:val="center"/>
          </w:tcPr>
          <w:p w14:paraId="61B29797" w14:textId="5F2A88A8"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957" w:type="dxa"/>
            <w:tcBorders>
              <w:top w:val="nil"/>
              <w:left w:val="nil"/>
              <w:bottom w:val="single" w:sz="4" w:space="0" w:color="auto"/>
              <w:right w:val="single" w:sz="4" w:space="0" w:color="auto"/>
            </w:tcBorders>
            <w:shd w:val="clear" w:color="auto" w:fill="C6EFCE"/>
            <w:noWrap/>
            <w:vAlign w:val="center"/>
          </w:tcPr>
          <w:p w14:paraId="1B6E6BCD" w14:textId="7DC98A24"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992" w:type="dxa"/>
            <w:tcBorders>
              <w:top w:val="nil"/>
              <w:left w:val="nil"/>
              <w:bottom w:val="single" w:sz="4" w:space="0" w:color="auto"/>
              <w:right w:val="single" w:sz="4" w:space="0" w:color="auto"/>
            </w:tcBorders>
            <w:shd w:val="clear" w:color="auto" w:fill="C6EFCE"/>
            <w:noWrap/>
            <w:vAlign w:val="center"/>
          </w:tcPr>
          <w:p w14:paraId="762A592F" w14:textId="37C5839C"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992" w:type="dxa"/>
            <w:tcBorders>
              <w:top w:val="nil"/>
              <w:left w:val="nil"/>
              <w:bottom w:val="single" w:sz="4" w:space="0" w:color="auto"/>
              <w:right w:val="single" w:sz="4" w:space="0" w:color="auto"/>
            </w:tcBorders>
            <w:shd w:val="clear" w:color="auto" w:fill="C6EFCE"/>
            <w:noWrap/>
            <w:vAlign w:val="center"/>
          </w:tcPr>
          <w:p w14:paraId="51AC4560"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Q4</w:t>
            </w:r>
          </w:p>
        </w:tc>
        <w:tc>
          <w:tcPr>
            <w:tcW w:w="709" w:type="dxa"/>
            <w:tcBorders>
              <w:top w:val="nil"/>
              <w:left w:val="nil"/>
              <w:bottom w:val="single" w:sz="4" w:space="0" w:color="auto"/>
              <w:right w:val="single" w:sz="4" w:space="0" w:color="auto"/>
            </w:tcBorders>
            <w:shd w:val="clear" w:color="auto" w:fill="C6EFCE"/>
            <w:noWrap/>
            <w:vAlign w:val="center"/>
          </w:tcPr>
          <w:p w14:paraId="58EE63E4"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2023</w:t>
            </w:r>
          </w:p>
        </w:tc>
        <w:tc>
          <w:tcPr>
            <w:tcW w:w="4927" w:type="dxa"/>
            <w:tcBorders>
              <w:top w:val="nil"/>
              <w:left w:val="single" w:sz="4" w:space="0" w:color="auto"/>
              <w:bottom w:val="single" w:sz="4" w:space="0" w:color="auto"/>
              <w:right w:val="single" w:sz="4" w:space="0" w:color="auto"/>
            </w:tcBorders>
            <w:shd w:val="clear" w:color="auto" w:fill="C6EFCE"/>
            <w:noWrap/>
            <w:vAlign w:val="center"/>
          </w:tcPr>
          <w:p w14:paraId="28431C32" w14:textId="46437C85"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Entry into force of the decree establishing the obligation for the workers in long-term or structural temporary unemployment to be registered in the competent regional service.</w:t>
            </w:r>
          </w:p>
        </w:tc>
      </w:tr>
      <w:tr w:rsidR="0040388B" w:rsidRPr="001961AA" w14:paraId="1168B76F" w14:textId="77777777" w:rsidTr="00300C11">
        <w:trPr>
          <w:trHeight w:val="313"/>
        </w:trPr>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07F6754" w14:textId="77777777" w:rsidR="006A41D9" w:rsidRPr="001961AA" w:rsidRDefault="006A41D9" w:rsidP="00BD6DD1">
            <w:pPr>
              <w:spacing w:after="0"/>
              <w:jc w:val="center"/>
              <w:rPr>
                <w:rFonts w:ascii="Times New Roman" w:hAnsi="Times New Roman" w:cs="Times New Roman"/>
                <w:noProof/>
                <w:color w:val="006100"/>
                <w:lang w:val="en-GB"/>
              </w:rPr>
            </w:pPr>
            <w:r w:rsidRPr="001961AA">
              <w:rPr>
                <w:rFonts w:ascii="Times New Roman" w:hAnsi="Times New Roman"/>
                <w:noProof/>
                <w:color w:val="006100"/>
                <w:lang w:val="en-GB"/>
              </w:rPr>
              <w:t>175</w:t>
            </w:r>
          </w:p>
        </w:tc>
        <w:tc>
          <w:tcPr>
            <w:tcW w:w="1560" w:type="dxa"/>
            <w:tcBorders>
              <w:top w:val="single" w:sz="4" w:space="0" w:color="auto"/>
              <w:left w:val="nil"/>
              <w:bottom w:val="single" w:sz="4" w:space="0" w:color="auto"/>
              <w:right w:val="single" w:sz="4" w:space="0" w:color="auto"/>
            </w:tcBorders>
            <w:shd w:val="clear" w:color="auto" w:fill="C6EFCE"/>
            <w:noWrap/>
            <w:vAlign w:val="center"/>
          </w:tcPr>
          <w:p w14:paraId="32ABA7BB" w14:textId="77777777" w:rsidR="006A41D9" w:rsidRPr="001961AA" w:rsidRDefault="006A41D9" w:rsidP="00BD6DD1">
            <w:pPr>
              <w:spacing w:after="0"/>
              <w:rPr>
                <w:rFonts w:ascii="Times New Roman" w:hAnsi="Times New Roman" w:cs="Times New Roman"/>
                <w:noProof/>
                <w:color w:val="006100"/>
                <w:lang w:val="en-GB"/>
              </w:rPr>
            </w:pPr>
            <w:r w:rsidRPr="001961AA">
              <w:rPr>
                <w:rFonts w:ascii="Times New Roman" w:hAnsi="Times New Roman"/>
                <w:noProof/>
                <w:color w:val="006100"/>
                <w:lang w:val="en-GB"/>
              </w:rPr>
              <w:t>Cumulation regime and mobility to sectors with shortages (R-5.01)</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14:paraId="7E4E7CD5" w14:textId="62AB6EF8" w:rsidR="006A41D9" w:rsidRPr="001961AA" w:rsidRDefault="006A41D9" w:rsidP="00D875C1">
            <w:pPr>
              <w:spacing w:after="0"/>
              <w:jc w:val="center"/>
              <w:rPr>
                <w:rFonts w:ascii="Times New Roman" w:hAnsi="Times New Roman" w:cs="Times New Roman"/>
                <w:noProof/>
                <w:color w:val="006100"/>
                <w:lang w:val="en-GB"/>
              </w:rPr>
            </w:pPr>
            <w:r w:rsidRPr="001961AA">
              <w:rPr>
                <w:rFonts w:ascii="Times New Roman" w:hAnsi="Times New Roman"/>
                <w:noProof/>
                <w:color w:val="006100"/>
                <w:lang w:val="en-GB"/>
              </w:rPr>
              <w:t>M</w:t>
            </w:r>
          </w:p>
        </w:tc>
        <w:tc>
          <w:tcPr>
            <w:tcW w:w="1559" w:type="dxa"/>
            <w:tcBorders>
              <w:top w:val="single" w:sz="4" w:space="0" w:color="auto"/>
              <w:left w:val="nil"/>
              <w:bottom w:val="single" w:sz="4" w:space="0" w:color="auto"/>
              <w:right w:val="single" w:sz="4" w:space="0" w:color="auto"/>
            </w:tcBorders>
            <w:shd w:val="clear" w:color="auto" w:fill="C6EFCE"/>
            <w:noWrap/>
            <w:vAlign w:val="center"/>
          </w:tcPr>
          <w:p w14:paraId="24180329" w14:textId="77777777" w:rsidR="006A41D9" w:rsidRPr="001961AA" w:rsidRDefault="006A41D9" w:rsidP="00BD6DD1">
            <w:pPr>
              <w:spacing w:after="0"/>
              <w:rPr>
                <w:rFonts w:ascii="Times New Roman" w:hAnsi="Times New Roman" w:cs="Times New Roman"/>
                <w:noProof/>
                <w:color w:val="006100"/>
                <w:lang w:val="en-GB"/>
              </w:rPr>
            </w:pPr>
            <w:r w:rsidRPr="001961AA">
              <w:rPr>
                <w:rFonts w:ascii="Times New Roman" w:hAnsi="Times New Roman"/>
                <w:noProof/>
                <w:color w:val="006100"/>
                <w:lang w:val="en-GB"/>
              </w:rPr>
              <w:t>Federal reform of cumulation regime</w:t>
            </w:r>
          </w:p>
        </w:tc>
        <w:tc>
          <w:tcPr>
            <w:tcW w:w="1418" w:type="dxa"/>
            <w:tcBorders>
              <w:top w:val="single" w:sz="4" w:space="0" w:color="auto"/>
              <w:left w:val="nil"/>
              <w:bottom w:val="single" w:sz="4" w:space="0" w:color="auto"/>
              <w:right w:val="single" w:sz="4" w:space="0" w:color="auto"/>
            </w:tcBorders>
            <w:shd w:val="clear" w:color="auto" w:fill="C6EFCE"/>
            <w:noWrap/>
            <w:vAlign w:val="center"/>
          </w:tcPr>
          <w:p w14:paraId="483DFCDB" w14:textId="77777777" w:rsidR="006A41D9" w:rsidRPr="001961AA" w:rsidRDefault="006A41D9" w:rsidP="00BD6DD1">
            <w:pPr>
              <w:spacing w:after="0"/>
              <w:rPr>
                <w:rFonts w:ascii="Times New Roman" w:hAnsi="Times New Roman" w:cs="Times New Roman"/>
                <w:noProof/>
                <w:color w:val="006100"/>
                <w:lang w:val="en-GB"/>
              </w:rPr>
            </w:pPr>
            <w:r w:rsidRPr="001961AA">
              <w:rPr>
                <w:rFonts w:ascii="Times New Roman" w:hAnsi="Times New Roman"/>
                <w:noProof/>
                <w:color w:val="006100"/>
                <w:lang w:val="en-GB"/>
              </w:rPr>
              <w:t>Decision of the federal government laying down how the reform shall enter into force</w:t>
            </w:r>
          </w:p>
        </w:tc>
        <w:tc>
          <w:tcPr>
            <w:tcW w:w="1311" w:type="dxa"/>
            <w:tcBorders>
              <w:top w:val="single" w:sz="4" w:space="0" w:color="auto"/>
              <w:left w:val="nil"/>
              <w:bottom w:val="single" w:sz="4" w:space="0" w:color="auto"/>
              <w:right w:val="single" w:sz="4" w:space="0" w:color="auto"/>
            </w:tcBorders>
            <w:shd w:val="clear" w:color="auto" w:fill="C6EFCE"/>
            <w:noWrap/>
            <w:vAlign w:val="center"/>
          </w:tcPr>
          <w:p w14:paraId="0D1A49E9" w14:textId="77777777" w:rsidR="006A41D9" w:rsidRPr="001961AA" w:rsidRDefault="006A41D9" w:rsidP="00BD6DD1">
            <w:pPr>
              <w:spacing w:after="0"/>
              <w:rPr>
                <w:rFonts w:ascii="Times New Roman" w:hAnsi="Times New Roman" w:cs="Times New Roman"/>
                <w:noProof/>
                <w:color w:val="006100"/>
                <w:lang w:val="en-GB"/>
              </w:rPr>
            </w:pPr>
          </w:p>
        </w:tc>
        <w:tc>
          <w:tcPr>
            <w:tcW w:w="957" w:type="dxa"/>
            <w:tcBorders>
              <w:top w:val="single" w:sz="4" w:space="0" w:color="auto"/>
              <w:left w:val="nil"/>
              <w:bottom w:val="single" w:sz="4" w:space="0" w:color="auto"/>
              <w:right w:val="single" w:sz="4" w:space="0" w:color="auto"/>
            </w:tcBorders>
            <w:shd w:val="clear" w:color="auto" w:fill="C6EFCE"/>
            <w:noWrap/>
            <w:vAlign w:val="center"/>
          </w:tcPr>
          <w:p w14:paraId="449215C8" w14:textId="77777777" w:rsidR="006A41D9" w:rsidRPr="001961AA" w:rsidRDefault="006A41D9" w:rsidP="00BD6DD1">
            <w:pPr>
              <w:spacing w:after="0"/>
              <w:rPr>
                <w:rFonts w:ascii="Times New Roman" w:hAnsi="Times New Roman" w:cs="Times New Roman"/>
                <w:noProof/>
                <w:color w:val="006100"/>
                <w:lang w:val="en-GB"/>
              </w:rPr>
            </w:pPr>
          </w:p>
        </w:tc>
        <w:tc>
          <w:tcPr>
            <w:tcW w:w="992" w:type="dxa"/>
            <w:tcBorders>
              <w:top w:val="single" w:sz="4" w:space="0" w:color="auto"/>
              <w:left w:val="nil"/>
              <w:bottom w:val="single" w:sz="4" w:space="0" w:color="auto"/>
              <w:right w:val="single" w:sz="4" w:space="0" w:color="auto"/>
            </w:tcBorders>
            <w:shd w:val="clear" w:color="auto" w:fill="C6EFCE"/>
            <w:noWrap/>
            <w:vAlign w:val="center"/>
          </w:tcPr>
          <w:p w14:paraId="335A84F4" w14:textId="77777777" w:rsidR="006A41D9" w:rsidRPr="001961AA" w:rsidRDefault="006A41D9" w:rsidP="00BD6DD1">
            <w:pPr>
              <w:spacing w:after="0"/>
              <w:rPr>
                <w:rFonts w:ascii="Times New Roman" w:hAnsi="Times New Roman" w:cs="Times New Roman"/>
                <w:noProof/>
                <w:color w:val="006100"/>
                <w:lang w:val="en-GB"/>
              </w:rPr>
            </w:pPr>
          </w:p>
        </w:tc>
        <w:tc>
          <w:tcPr>
            <w:tcW w:w="992" w:type="dxa"/>
            <w:tcBorders>
              <w:top w:val="single" w:sz="4" w:space="0" w:color="auto"/>
              <w:left w:val="nil"/>
              <w:bottom w:val="single" w:sz="4" w:space="0" w:color="auto"/>
              <w:right w:val="single" w:sz="4" w:space="0" w:color="auto"/>
            </w:tcBorders>
            <w:shd w:val="clear" w:color="auto" w:fill="C6EFCE"/>
            <w:noWrap/>
            <w:vAlign w:val="center"/>
          </w:tcPr>
          <w:p w14:paraId="32AB62AD" w14:textId="77777777" w:rsidR="006A41D9" w:rsidRPr="001961AA" w:rsidRDefault="006A41D9" w:rsidP="00BD6DD1">
            <w:pPr>
              <w:spacing w:after="0"/>
              <w:jc w:val="center"/>
              <w:rPr>
                <w:rFonts w:ascii="Times New Roman" w:hAnsi="Times New Roman" w:cs="Times New Roman"/>
                <w:noProof/>
                <w:color w:val="006100"/>
                <w:lang w:val="en-GB"/>
              </w:rPr>
            </w:pPr>
            <w:r w:rsidRPr="001961AA">
              <w:rPr>
                <w:rFonts w:ascii="Times New Roman" w:hAnsi="Times New Roman"/>
                <w:noProof/>
                <w:color w:val="006100"/>
                <w:lang w:val="en-GB"/>
              </w:rPr>
              <w:t>Q4</w:t>
            </w:r>
          </w:p>
        </w:tc>
        <w:tc>
          <w:tcPr>
            <w:tcW w:w="709" w:type="dxa"/>
            <w:tcBorders>
              <w:top w:val="single" w:sz="4" w:space="0" w:color="auto"/>
              <w:left w:val="nil"/>
              <w:bottom w:val="single" w:sz="4" w:space="0" w:color="auto"/>
              <w:right w:val="single" w:sz="4" w:space="0" w:color="auto"/>
            </w:tcBorders>
            <w:shd w:val="clear" w:color="auto" w:fill="C6EFCE"/>
            <w:noWrap/>
            <w:vAlign w:val="center"/>
          </w:tcPr>
          <w:p w14:paraId="73F55F1C" w14:textId="77777777" w:rsidR="006A41D9" w:rsidRPr="001961AA" w:rsidRDefault="006A41D9" w:rsidP="00BD6DD1">
            <w:pPr>
              <w:spacing w:after="0"/>
              <w:jc w:val="center"/>
              <w:rPr>
                <w:rFonts w:ascii="Times New Roman" w:hAnsi="Times New Roman" w:cs="Times New Roman"/>
                <w:noProof/>
                <w:color w:val="006100"/>
                <w:lang w:val="en-GB"/>
              </w:rPr>
            </w:pPr>
            <w:r w:rsidRPr="001961AA">
              <w:rPr>
                <w:rFonts w:ascii="Times New Roman" w:hAnsi="Times New Roman"/>
                <w:noProof/>
                <w:color w:val="006100"/>
                <w:lang w:val="en-GB"/>
              </w:rPr>
              <w:t>2023</w:t>
            </w:r>
          </w:p>
        </w:tc>
        <w:tc>
          <w:tcPr>
            <w:tcW w:w="4927" w:type="dxa"/>
            <w:tcBorders>
              <w:top w:val="nil"/>
              <w:left w:val="single" w:sz="4" w:space="0" w:color="auto"/>
              <w:bottom w:val="single" w:sz="4" w:space="0" w:color="auto"/>
              <w:right w:val="single" w:sz="4" w:space="0" w:color="auto"/>
            </w:tcBorders>
            <w:shd w:val="clear" w:color="auto" w:fill="C6EFCE"/>
            <w:noWrap/>
            <w:vAlign w:val="center"/>
          </w:tcPr>
          <w:p w14:paraId="274EB454" w14:textId="18F7435F" w:rsidR="006A41D9" w:rsidRPr="001961AA" w:rsidRDefault="006A41D9" w:rsidP="00BD6DD1">
            <w:pPr>
              <w:spacing w:after="0"/>
              <w:rPr>
                <w:rFonts w:ascii="Times New Roman" w:hAnsi="Times New Roman" w:cs="Times New Roman"/>
                <w:noProof/>
                <w:color w:val="006100"/>
                <w:lang w:val="en-GB"/>
              </w:rPr>
            </w:pPr>
            <w:r w:rsidRPr="001961AA">
              <w:rPr>
                <w:rFonts w:ascii="Times New Roman" w:hAnsi="Times New Roman"/>
                <w:noProof/>
                <w:color w:val="006100"/>
                <w:lang w:val="en-GB"/>
              </w:rPr>
              <w:t>After consultation with social partners, decision of the federal government on expanding the possibilities to combine temporarily or in a limited way wage and social benefits and to ensure, in line with the tax reform on labour tax, that the persons involved shall not be fiscally punished.</w:t>
            </w:r>
          </w:p>
        </w:tc>
      </w:tr>
      <w:tr w:rsidR="0040388B" w:rsidRPr="001961AA" w14:paraId="24BF0AEA" w14:textId="77777777" w:rsidTr="00300C11">
        <w:trPr>
          <w:trHeight w:val="313"/>
        </w:trPr>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951EAA6" w14:textId="77777777" w:rsidR="006A41D9" w:rsidRPr="001961AA" w:rsidRDefault="006A41D9" w:rsidP="00BD6DD1">
            <w:pPr>
              <w:spacing w:after="0"/>
              <w:jc w:val="center"/>
              <w:rPr>
                <w:rFonts w:ascii="Times New Roman" w:hAnsi="Times New Roman" w:cs="Times New Roman"/>
                <w:noProof/>
                <w:color w:val="006100"/>
                <w:lang w:val="en-GB"/>
              </w:rPr>
            </w:pPr>
            <w:r w:rsidRPr="001961AA">
              <w:rPr>
                <w:rFonts w:ascii="Times New Roman" w:hAnsi="Times New Roman"/>
                <w:noProof/>
                <w:color w:val="006100"/>
                <w:lang w:val="en-GB"/>
              </w:rPr>
              <w:t>176</w:t>
            </w:r>
          </w:p>
        </w:tc>
        <w:tc>
          <w:tcPr>
            <w:tcW w:w="1560" w:type="dxa"/>
            <w:tcBorders>
              <w:top w:val="single" w:sz="4" w:space="0" w:color="auto"/>
              <w:left w:val="nil"/>
              <w:bottom w:val="single" w:sz="4" w:space="0" w:color="auto"/>
              <w:right w:val="single" w:sz="4" w:space="0" w:color="auto"/>
            </w:tcBorders>
            <w:shd w:val="clear" w:color="auto" w:fill="C6EFCE"/>
            <w:noWrap/>
            <w:vAlign w:val="center"/>
          </w:tcPr>
          <w:p w14:paraId="56A3CD87" w14:textId="77777777" w:rsidR="006A41D9" w:rsidRPr="001961AA" w:rsidRDefault="006A41D9" w:rsidP="00BD6DD1">
            <w:pPr>
              <w:spacing w:after="0"/>
              <w:rPr>
                <w:rFonts w:ascii="Times New Roman" w:hAnsi="Times New Roman" w:cs="Times New Roman"/>
                <w:noProof/>
                <w:color w:val="006100"/>
                <w:lang w:val="en-GB"/>
              </w:rPr>
            </w:pPr>
            <w:r w:rsidRPr="001961AA">
              <w:rPr>
                <w:rFonts w:ascii="Times New Roman" w:hAnsi="Times New Roman"/>
                <w:noProof/>
                <w:color w:val="006100"/>
                <w:lang w:val="en-GB"/>
              </w:rPr>
              <w:t>Cumulation regime and mobility to sectors with shortages (R-5.01)</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14:paraId="65108B2F" w14:textId="50234DFF" w:rsidR="006A41D9" w:rsidRPr="001961AA" w:rsidRDefault="006A41D9" w:rsidP="00D875C1">
            <w:pPr>
              <w:spacing w:after="0"/>
              <w:jc w:val="center"/>
              <w:rPr>
                <w:rFonts w:ascii="Times New Roman" w:hAnsi="Times New Roman" w:cs="Times New Roman"/>
                <w:noProof/>
                <w:color w:val="006100"/>
                <w:highlight w:val="cyan"/>
                <w:lang w:val="en-GB"/>
              </w:rPr>
            </w:pPr>
            <w:r w:rsidRPr="001961AA">
              <w:rPr>
                <w:rFonts w:ascii="Times New Roman" w:hAnsi="Times New Roman"/>
                <w:noProof/>
                <w:color w:val="006100"/>
                <w:lang w:val="en-GB"/>
              </w:rPr>
              <w:t>M</w:t>
            </w:r>
          </w:p>
        </w:tc>
        <w:tc>
          <w:tcPr>
            <w:tcW w:w="1559" w:type="dxa"/>
            <w:tcBorders>
              <w:top w:val="single" w:sz="4" w:space="0" w:color="auto"/>
              <w:left w:val="nil"/>
              <w:bottom w:val="single" w:sz="4" w:space="0" w:color="auto"/>
              <w:right w:val="single" w:sz="4" w:space="0" w:color="auto"/>
            </w:tcBorders>
            <w:shd w:val="clear" w:color="auto" w:fill="C6EFCE"/>
            <w:noWrap/>
            <w:vAlign w:val="center"/>
          </w:tcPr>
          <w:p w14:paraId="46B86D6E" w14:textId="77777777" w:rsidR="006A41D9" w:rsidRPr="001961AA" w:rsidRDefault="006A41D9" w:rsidP="00BD6DD1">
            <w:pPr>
              <w:spacing w:after="0"/>
              <w:rPr>
                <w:rFonts w:ascii="Times New Roman" w:hAnsi="Times New Roman" w:cs="Times New Roman"/>
                <w:noProof/>
                <w:color w:val="006100"/>
                <w:lang w:val="en-GB"/>
              </w:rPr>
            </w:pPr>
            <w:r w:rsidRPr="001961AA">
              <w:rPr>
                <w:rFonts w:ascii="Times New Roman" w:hAnsi="Times New Roman"/>
                <w:noProof/>
                <w:color w:val="006100"/>
                <w:lang w:val="en-GB"/>
              </w:rPr>
              <w:t>Federal reform of mobility to sectors with shortages</w:t>
            </w:r>
          </w:p>
        </w:tc>
        <w:tc>
          <w:tcPr>
            <w:tcW w:w="1418" w:type="dxa"/>
            <w:tcBorders>
              <w:top w:val="single" w:sz="4" w:space="0" w:color="auto"/>
              <w:left w:val="nil"/>
              <w:bottom w:val="single" w:sz="4" w:space="0" w:color="auto"/>
              <w:right w:val="single" w:sz="4" w:space="0" w:color="auto"/>
            </w:tcBorders>
            <w:shd w:val="clear" w:color="auto" w:fill="C6EFCE"/>
            <w:noWrap/>
            <w:vAlign w:val="center"/>
          </w:tcPr>
          <w:p w14:paraId="2C4AE942" w14:textId="77777777" w:rsidR="006A41D9" w:rsidRPr="001961AA" w:rsidRDefault="006A41D9" w:rsidP="00BD6DD1">
            <w:pPr>
              <w:spacing w:after="0"/>
              <w:rPr>
                <w:rFonts w:ascii="Times New Roman" w:hAnsi="Times New Roman" w:cs="Times New Roman"/>
                <w:noProof/>
                <w:color w:val="006100"/>
                <w:lang w:val="en-GB"/>
              </w:rPr>
            </w:pPr>
            <w:r w:rsidRPr="001961AA">
              <w:rPr>
                <w:rFonts w:ascii="Times New Roman" w:hAnsi="Times New Roman"/>
                <w:noProof/>
                <w:color w:val="006100"/>
                <w:lang w:val="en-GB"/>
              </w:rPr>
              <w:t>Decision of the federal government laying down how the reform shall enter into force</w:t>
            </w:r>
          </w:p>
        </w:tc>
        <w:tc>
          <w:tcPr>
            <w:tcW w:w="1311" w:type="dxa"/>
            <w:tcBorders>
              <w:top w:val="single" w:sz="4" w:space="0" w:color="auto"/>
              <w:left w:val="nil"/>
              <w:bottom w:val="single" w:sz="4" w:space="0" w:color="auto"/>
              <w:right w:val="single" w:sz="4" w:space="0" w:color="auto"/>
            </w:tcBorders>
            <w:shd w:val="clear" w:color="auto" w:fill="C6EFCE"/>
            <w:noWrap/>
            <w:vAlign w:val="center"/>
          </w:tcPr>
          <w:p w14:paraId="50E349B7" w14:textId="77777777" w:rsidR="006A41D9" w:rsidRPr="001961AA" w:rsidRDefault="006A41D9" w:rsidP="00BD6DD1">
            <w:pPr>
              <w:spacing w:after="0"/>
              <w:rPr>
                <w:rFonts w:ascii="Times New Roman" w:hAnsi="Times New Roman" w:cs="Times New Roman"/>
                <w:noProof/>
                <w:color w:val="006100"/>
                <w:lang w:val="en-GB"/>
              </w:rPr>
            </w:pPr>
          </w:p>
        </w:tc>
        <w:tc>
          <w:tcPr>
            <w:tcW w:w="957" w:type="dxa"/>
            <w:tcBorders>
              <w:top w:val="single" w:sz="4" w:space="0" w:color="auto"/>
              <w:left w:val="nil"/>
              <w:bottom w:val="single" w:sz="4" w:space="0" w:color="auto"/>
              <w:right w:val="single" w:sz="4" w:space="0" w:color="auto"/>
            </w:tcBorders>
            <w:shd w:val="clear" w:color="auto" w:fill="C6EFCE"/>
            <w:noWrap/>
            <w:vAlign w:val="center"/>
          </w:tcPr>
          <w:p w14:paraId="3A8FC8EC" w14:textId="77777777" w:rsidR="006A41D9" w:rsidRPr="001961AA" w:rsidRDefault="006A41D9" w:rsidP="00BD6DD1">
            <w:pPr>
              <w:spacing w:after="0"/>
              <w:rPr>
                <w:rFonts w:ascii="Times New Roman" w:hAnsi="Times New Roman" w:cs="Times New Roman"/>
                <w:noProof/>
                <w:color w:val="006100"/>
                <w:lang w:val="en-GB"/>
              </w:rPr>
            </w:pPr>
          </w:p>
        </w:tc>
        <w:tc>
          <w:tcPr>
            <w:tcW w:w="992" w:type="dxa"/>
            <w:tcBorders>
              <w:top w:val="single" w:sz="4" w:space="0" w:color="auto"/>
              <w:left w:val="nil"/>
              <w:bottom w:val="single" w:sz="4" w:space="0" w:color="auto"/>
              <w:right w:val="single" w:sz="4" w:space="0" w:color="auto"/>
            </w:tcBorders>
            <w:shd w:val="clear" w:color="auto" w:fill="C6EFCE"/>
            <w:noWrap/>
            <w:vAlign w:val="center"/>
          </w:tcPr>
          <w:p w14:paraId="391BDE9A" w14:textId="77777777" w:rsidR="006A41D9" w:rsidRPr="001961AA" w:rsidRDefault="006A41D9" w:rsidP="00BD6DD1">
            <w:pPr>
              <w:spacing w:after="0"/>
              <w:rPr>
                <w:rFonts w:ascii="Times New Roman" w:hAnsi="Times New Roman" w:cs="Times New Roman"/>
                <w:noProof/>
                <w:color w:val="006100"/>
                <w:lang w:val="en-GB"/>
              </w:rPr>
            </w:pPr>
          </w:p>
        </w:tc>
        <w:tc>
          <w:tcPr>
            <w:tcW w:w="992" w:type="dxa"/>
            <w:tcBorders>
              <w:top w:val="single" w:sz="4" w:space="0" w:color="auto"/>
              <w:left w:val="nil"/>
              <w:bottom w:val="single" w:sz="4" w:space="0" w:color="auto"/>
              <w:right w:val="single" w:sz="4" w:space="0" w:color="auto"/>
            </w:tcBorders>
            <w:shd w:val="clear" w:color="auto" w:fill="C6EFCE"/>
            <w:noWrap/>
            <w:vAlign w:val="center"/>
          </w:tcPr>
          <w:p w14:paraId="7D377DC1" w14:textId="77777777" w:rsidR="006A41D9" w:rsidRPr="001961AA" w:rsidRDefault="006A41D9" w:rsidP="00BD6DD1">
            <w:pPr>
              <w:spacing w:after="0"/>
              <w:jc w:val="center"/>
              <w:rPr>
                <w:rFonts w:ascii="Times New Roman" w:hAnsi="Times New Roman" w:cs="Times New Roman"/>
                <w:noProof/>
                <w:color w:val="006100"/>
                <w:lang w:val="en-GB"/>
              </w:rPr>
            </w:pPr>
            <w:r w:rsidRPr="001961AA">
              <w:rPr>
                <w:rFonts w:ascii="Times New Roman" w:hAnsi="Times New Roman"/>
                <w:noProof/>
                <w:color w:val="006100"/>
                <w:lang w:val="en-GB"/>
              </w:rPr>
              <w:t>Q4</w:t>
            </w:r>
          </w:p>
        </w:tc>
        <w:tc>
          <w:tcPr>
            <w:tcW w:w="709" w:type="dxa"/>
            <w:tcBorders>
              <w:top w:val="single" w:sz="4" w:space="0" w:color="auto"/>
              <w:left w:val="nil"/>
              <w:bottom w:val="single" w:sz="4" w:space="0" w:color="auto"/>
              <w:right w:val="single" w:sz="4" w:space="0" w:color="auto"/>
            </w:tcBorders>
            <w:shd w:val="clear" w:color="auto" w:fill="C6EFCE"/>
            <w:noWrap/>
            <w:vAlign w:val="center"/>
          </w:tcPr>
          <w:p w14:paraId="54E03DB6" w14:textId="77777777" w:rsidR="006A41D9" w:rsidRPr="001961AA" w:rsidRDefault="006A41D9" w:rsidP="00BD6DD1">
            <w:pPr>
              <w:spacing w:after="0"/>
              <w:jc w:val="center"/>
              <w:rPr>
                <w:rFonts w:ascii="Times New Roman" w:hAnsi="Times New Roman" w:cs="Times New Roman"/>
                <w:noProof/>
                <w:color w:val="006100"/>
                <w:lang w:val="en-GB"/>
              </w:rPr>
            </w:pPr>
            <w:r w:rsidRPr="001961AA">
              <w:rPr>
                <w:rFonts w:ascii="Times New Roman" w:hAnsi="Times New Roman"/>
                <w:noProof/>
                <w:color w:val="006100"/>
                <w:lang w:val="en-GB"/>
              </w:rPr>
              <w:t>2023</w:t>
            </w:r>
          </w:p>
        </w:tc>
        <w:tc>
          <w:tcPr>
            <w:tcW w:w="4927" w:type="dxa"/>
            <w:tcBorders>
              <w:top w:val="nil"/>
              <w:left w:val="single" w:sz="4" w:space="0" w:color="auto"/>
              <w:bottom w:val="single" w:sz="4" w:space="0" w:color="auto"/>
              <w:right w:val="single" w:sz="4" w:space="0" w:color="auto"/>
            </w:tcBorders>
            <w:shd w:val="clear" w:color="auto" w:fill="C6EFCE"/>
            <w:noWrap/>
            <w:vAlign w:val="center"/>
          </w:tcPr>
          <w:p w14:paraId="39AC5ED6" w14:textId="7CEFDDD1" w:rsidR="006A41D9" w:rsidRPr="001961AA" w:rsidRDefault="006A41D9" w:rsidP="00BD6DD1">
            <w:pPr>
              <w:spacing w:after="0"/>
              <w:rPr>
                <w:rFonts w:ascii="Times New Roman" w:hAnsi="Times New Roman" w:cs="Times New Roman"/>
                <w:noProof/>
                <w:color w:val="006100"/>
                <w:lang w:val="en-GB"/>
              </w:rPr>
            </w:pPr>
            <w:r w:rsidRPr="001961AA">
              <w:rPr>
                <w:rFonts w:ascii="Times New Roman" w:hAnsi="Times New Roman"/>
                <w:noProof/>
                <w:color w:val="006100"/>
                <w:lang w:val="en-GB"/>
              </w:rPr>
              <w:t>After consultation of social partners, decision of the federal government to introduce an additional allowance for the long-term unemployed who return to work in another region or in a sector where there are shortages to ensure greater mobility of workers from one sector to another.</w:t>
            </w:r>
          </w:p>
        </w:tc>
      </w:tr>
      <w:tr w:rsidR="00292220" w:rsidRPr="001961AA" w14:paraId="49F1239A" w14:textId="77777777" w:rsidTr="00300C11">
        <w:trPr>
          <w:trHeight w:val="313"/>
        </w:trPr>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0127E4F" w14:textId="77777777" w:rsidR="006A41D9" w:rsidRPr="001961AA" w:rsidRDefault="006A41D9" w:rsidP="00BD6DD1">
            <w:pPr>
              <w:spacing w:after="0"/>
              <w:jc w:val="center"/>
              <w:rPr>
                <w:rFonts w:ascii="Times New Roman" w:hAnsi="Times New Roman" w:cs="Times New Roman"/>
                <w:noProof/>
                <w:color w:val="006100"/>
                <w:lang w:val="en-GB"/>
              </w:rPr>
            </w:pPr>
            <w:r w:rsidRPr="001961AA">
              <w:rPr>
                <w:rFonts w:ascii="Times New Roman" w:hAnsi="Times New Roman"/>
                <w:noProof/>
                <w:color w:val="006100"/>
                <w:lang w:val="en-GB"/>
              </w:rPr>
              <w:t>177</w:t>
            </w:r>
          </w:p>
        </w:tc>
        <w:tc>
          <w:tcPr>
            <w:tcW w:w="1560" w:type="dxa"/>
            <w:tcBorders>
              <w:top w:val="single" w:sz="4" w:space="0" w:color="auto"/>
              <w:left w:val="nil"/>
              <w:bottom w:val="single" w:sz="4" w:space="0" w:color="auto"/>
              <w:right w:val="single" w:sz="4" w:space="0" w:color="auto"/>
            </w:tcBorders>
            <w:shd w:val="clear" w:color="auto" w:fill="C6EFCE"/>
            <w:noWrap/>
            <w:vAlign w:val="center"/>
          </w:tcPr>
          <w:p w14:paraId="70848B97" w14:textId="77777777" w:rsidR="006A41D9" w:rsidRPr="001961AA" w:rsidRDefault="006A41D9" w:rsidP="00BD6DD1">
            <w:pPr>
              <w:spacing w:after="0"/>
              <w:rPr>
                <w:rFonts w:ascii="Times New Roman" w:hAnsi="Times New Roman" w:cs="Times New Roman"/>
                <w:noProof/>
                <w:color w:val="006100"/>
                <w:lang w:val="en-GB"/>
              </w:rPr>
            </w:pPr>
            <w:r w:rsidRPr="001961AA">
              <w:rPr>
                <w:rFonts w:ascii="Times New Roman" w:hAnsi="Times New Roman"/>
                <w:noProof/>
                <w:color w:val="006100"/>
                <w:lang w:val="en-GB"/>
              </w:rPr>
              <w:t>Reform of support to jobseekers in Wallonia (R-5.05)</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14:paraId="27EC1977" w14:textId="65A25041" w:rsidR="006A41D9" w:rsidRPr="001961AA" w:rsidRDefault="006A41D9" w:rsidP="00D875C1">
            <w:pPr>
              <w:spacing w:after="0"/>
              <w:jc w:val="center"/>
              <w:rPr>
                <w:rFonts w:ascii="Times New Roman" w:hAnsi="Times New Roman" w:cs="Times New Roman"/>
                <w:noProof/>
                <w:color w:val="006100"/>
                <w:lang w:val="en-GB"/>
              </w:rPr>
            </w:pPr>
            <w:r w:rsidRPr="001961AA">
              <w:rPr>
                <w:rFonts w:ascii="Times New Roman" w:hAnsi="Times New Roman"/>
                <w:noProof/>
                <w:color w:val="006100"/>
                <w:lang w:val="en-GB"/>
              </w:rPr>
              <w:t>M</w:t>
            </w:r>
          </w:p>
        </w:tc>
        <w:tc>
          <w:tcPr>
            <w:tcW w:w="1559" w:type="dxa"/>
            <w:tcBorders>
              <w:top w:val="single" w:sz="4" w:space="0" w:color="auto"/>
              <w:left w:val="nil"/>
              <w:bottom w:val="single" w:sz="4" w:space="0" w:color="auto"/>
              <w:right w:val="single" w:sz="4" w:space="0" w:color="auto"/>
            </w:tcBorders>
            <w:shd w:val="clear" w:color="auto" w:fill="C6EFCE"/>
            <w:noWrap/>
            <w:vAlign w:val="center"/>
          </w:tcPr>
          <w:p w14:paraId="2799BC94" w14:textId="77777777" w:rsidR="006A41D9" w:rsidRPr="001961AA" w:rsidRDefault="006A41D9" w:rsidP="00BD6DD1">
            <w:pPr>
              <w:spacing w:after="0"/>
              <w:rPr>
                <w:rFonts w:ascii="Times New Roman" w:hAnsi="Times New Roman" w:cs="Times New Roman"/>
                <w:noProof/>
                <w:color w:val="006100"/>
                <w:lang w:val="en-GB"/>
              </w:rPr>
            </w:pPr>
            <w:r w:rsidRPr="001961AA">
              <w:rPr>
                <w:rFonts w:ascii="Times New Roman" w:hAnsi="Times New Roman"/>
                <w:noProof/>
                <w:color w:val="006100"/>
                <w:lang w:val="en-GB"/>
              </w:rPr>
              <w:t>Reform of support for jobseekers in Wallonia</w:t>
            </w:r>
          </w:p>
        </w:tc>
        <w:tc>
          <w:tcPr>
            <w:tcW w:w="1418" w:type="dxa"/>
            <w:tcBorders>
              <w:top w:val="single" w:sz="4" w:space="0" w:color="auto"/>
              <w:left w:val="nil"/>
              <w:bottom w:val="single" w:sz="4" w:space="0" w:color="auto"/>
              <w:right w:val="single" w:sz="4" w:space="0" w:color="auto"/>
            </w:tcBorders>
            <w:shd w:val="clear" w:color="auto" w:fill="C6EFCE"/>
            <w:noWrap/>
            <w:vAlign w:val="center"/>
          </w:tcPr>
          <w:p w14:paraId="4FE44525" w14:textId="77777777" w:rsidR="006A41D9" w:rsidRPr="001961AA" w:rsidRDefault="006A41D9" w:rsidP="00BD6DD1">
            <w:pPr>
              <w:spacing w:after="0"/>
              <w:rPr>
                <w:rFonts w:ascii="Times New Roman" w:hAnsi="Times New Roman" w:cs="Times New Roman"/>
                <w:noProof/>
                <w:color w:val="006100"/>
                <w:lang w:val="en-GB"/>
              </w:rPr>
            </w:pPr>
            <w:r w:rsidRPr="001961AA">
              <w:rPr>
                <w:rFonts w:ascii="Times New Roman" w:hAnsi="Times New Roman"/>
                <w:noProof/>
                <w:color w:val="006100"/>
                <w:lang w:val="en-GB"/>
              </w:rPr>
              <w:t>Publication in official journal</w:t>
            </w:r>
          </w:p>
        </w:tc>
        <w:tc>
          <w:tcPr>
            <w:tcW w:w="1311" w:type="dxa"/>
            <w:tcBorders>
              <w:top w:val="single" w:sz="4" w:space="0" w:color="auto"/>
              <w:left w:val="nil"/>
              <w:bottom w:val="single" w:sz="4" w:space="0" w:color="auto"/>
              <w:right w:val="single" w:sz="4" w:space="0" w:color="auto"/>
            </w:tcBorders>
            <w:shd w:val="clear" w:color="auto" w:fill="C6EFCE"/>
            <w:noWrap/>
            <w:vAlign w:val="center"/>
          </w:tcPr>
          <w:p w14:paraId="033D6BF2" w14:textId="77777777" w:rsidR="006A41D9" w:rsidRPr="001961AA" w:rsidRDefault="006A41D9" w:rsidP="00BD6DD1">
            <w:pPr>
              <w:spacing w:after="0"/>
              <w:rPr>
                <w:rFonts w:ascii="Times New Roman" w:hAnsi="Times New Roman" w:cs="Times New Roman"/>
                <w:noProof/>
                <w:color w:val="006100"/>
                <w:lang w:val="en-GB"/>
              </w:rPr>
            </w:pPr>
          </w:p>
        </w:tc>
        <w:tc>
          <w:tcPr>
            <w:tcW w:w="957" w:type="dxa"/>
            <w:tcBorders>
              <w:top w:val="single" w:sz="4" w:space="0" w:color="auto"/>
              <w:left w:val="nil"/>
              <w:bottom w:val="single" w:sz="4" w:space="0" w:color="auto"/>
              <w:right w:val="single" w:sz="4" w:space="0" w:color="auto"/>
            </w:tcBorders>
            <w:shd w:val="clear" w:color="auto" w:fill="C6EFCE"/>
            <w:noWrap/>
            <w:vAlign w:val="center"/>
          </w:tcPr>
          <w:p w14:paraId="6662CBAC" w14:textId="77777777" w:rsidR="006A41D9" w:rsidRPr="001961AA" w:rsidRDefault="006A41D9" w:rsidP="00BD6DD1">
            <w:pPr>
              <w:spacing w:after="0"/>
              <w:rPr>
                <w:rFonts w:ascii="Times New Roman" w:hAnsi="Times New Roman" w:cs="Times New Roman"/>
                <w:noProof/>
                <w:color w:val="006100"/>
                <w:lang w:val="en-GB"/>
              </w:rPr>
            </w:pPr>
          </w:p>
        </w:tc>
        <w:tc>
          <w:tcPr>
            <w:tcW w:w="992" w:type="dxa"/>
            <w:tcBorders>
              <w:top w:val="single" w:sz="4" w:space="0" w:color="auto"/>
              <w:left w:val="nil"/>
              <w:bottom w:val="single" w:sz="4" w:space="0" w:color="auto"/>
              <w:right w:val="single" w:sz="4" w:space="0" w:color="auto"/>
            </w:tcBorders>
            <w:shd w:val="clear" w:color="auto" w:fill="C6EFCE"/>
            <w:noWrap/>
            <w:vAlign w:val="center"/>
          </w:tcPr>
          <w:p w14:paraId="772C7E7E" w14:textId="77777777" w:rsidR="006A41D9" w:rsidRPr="001961AA" w:rsidRDefault="006A41D9" w:rsidP="00BD6DD1">
            <w:pPr>
              <w:spacing w:after="0"/>
              <w:rPr>
                <w:rFonts w:ascii="Times New Roman" w:hAnsi="Times New Roman" w:cs="Times New Roman"/>
                <w:noProof/>
                <w:color w:val="006100"/>
                <w:lang w:val="en-GB"/>
              </w:rPr>
            </w:pPr>
          </w:p>
        </w:tc>
        <w:tc>
          <w:tcPr>
            <w:tcW w:w="992" w:type="dxa"/>
            <w:tcBorders>
              <w:top w:val="single" w:sz="4" w:space="0" w:color="auto"/>
              <w:left w:val="nil"/>
              <w:bottom w:val="single" w:sz="4" w:space="0" w:color="auto"/>
              <w:right w:val="single" w:sz="4" w:space="0" w:color="auto"/>
            </w:tcBorders>
            <w:shd w:val="clear" w:color="auto" w:fill="C6EFCE"/>
            <w:noWrap/>
            <w:vAlign w:val="center"/>
          </w:tcPr>
          <w:p w14:paraId="00FDA608" w14:textId="77777777" w:rsidR="006A41D9" w:rsidRPr="001961AA" w:rsidRDefault="006A41D9" w:rsidP="00BD6DD1">
            <w:pPr>
              <w:spacing w:after="0"/>
              <w:jc w:val="center"/>
              <w:rPr>
                <w:rFonts w:ascii="Times New Roman" w:hAnsi="Times New Roman" w:cs="Times New Roman"/>
                <w:noProof/>
                <w:color w:val="006100"/>
                <w:lang w:val="en-GB"/>
              </w:rPr>
            </w:pPr>
            <w:r w:rsidRPr="001961AA">
              <w:rPr>
                <w:rFonts w:ascii="Times New Roman" w:hAnsi="Times New Roman"/>
                <w:noProof/>
                <w:color w:val="006100"/>
                <w:lang w:val="en-GB"/>
              </w:rPr>
              <w:t>Q3</w:t>
            </w:r>
          </w:p>
        </w:tc>
        <w:tc>
          <w:tcPr>
            <w:tcW w:w="709" w:type="dxa"/>
            <w:tcBorders>
              <w:top w:val="single" w:sz="4" w:space="0" w:color="auto"/>
              <w:left w:val="nil"/>
              <w:bottom w:val="single" w:sz="4" w:space="0" w:color="auto"/>
              <w:right w:val="single" w:sz="4" w:space="0" w:color="auto"/>
            </w:tcBorders>
            <w:shd w:val="clear" w:color="auto" w:fill="C6EFCE"/>
            <w:noWrap/>
            <w:vAlign w:val="center"/>
          </w:tcPr>
          <w:p w14:paraId="1DD736EF" w14:textId="77777777" w:rsidR="006A41D9" w:rsidRPr="001961AA" w:rsidRDefault="006A41D9" w:rsidP="00BD6DD1">
            <w:pPr>
              <w:spacing w:after="0"/>
              <w:jc w:val="center"/>
              <w:rPr>
                <w:rFonts w:ascii="Times New Roman" w:hAnsi="Times New Roman" w:cs="Times New Roman"/>
                <w:noProof/>
                <w:color w:val="006100"/>
                <w:lang w:val="en-GB"/>
              </w:rPr>
            </w:pPr>
            <w:r w:rsidRPr="001961AA">
              <w:rPr>
                <w:rFonts w:ascii="Times New Roman" w:hAnsi="Times New Roman"/>
                <w:noProof/>
                <w:color w:val="006100"/>
                <w:lang w:val="en-GB"/>
              </w:rPr>
              <w:t>2021</w:t>
            </w:r>
          </w:p>
        </w:tc>
        <w:tc>
          <w:tcPr>
            <w:tcW w:w="492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46320E0" w14:textId="77777777" w:rsidR="006A41D9" w:rsidRPr="001961AA" w:rsidRDefault="006A41D9" w:rsidP="00BD6DD1">
            <w:pPr>
              <w:spacing w:after="0"/>
              <w:rPr>
                <w:rFonts w:ascii="Times New Roman" w:hAnsi="Times New Roman" w:cs="Times New Roman"/>
                <w:noProof/>
                <w:color w:val="006100"/>
                <w:lang w:val="en-GB"/>
              </w:rPr>
            </w:pPr>
            <w:r w:rsidRPr="001961AA">
              <w:rPr>
                <w:rFonts w:ascii="Times New Roman" w:hAnsi="Times New Roman"/>
                <w:noProof/>
                <w:color w:val="006100"/>
                <w:lang w:val="en-GB"/>
              </w:rPr>
              <w:t>Adoption by the Parliament of Wallonia of the decree relating to coaching and solutions-oriented support for job seekers.</w:t>
            </w:r>
          </w:p>
        </w:tc>
      </w:tr>
    </w:tbl>
    <w:p w14:paraId="42EFB498" w14:textId="77777777" w:rsidR="006A41D9" w:rsidRPr="001961AA" w:rsidRDefault="006A41D9" w:rsidP="00BD6DD1">
      <w:pPr>
        <w:ind w:left="709"/>
        <w:rPr>
          <w:rFonts w:ascii="Times New Roman" w:hAnsi="Times New Roman" w:cs="Times New Roman"/>
          <w:noProof/>
          <w:lang w:val="en-GB"/>
        </w:rPr>
        <w:sectPr w:rsidR="006A41D9" w:rsidRPr="001961AA" w:rsidSect="007F56C3">
          <w:headerReference w:type="even" r:id="rId204"/>
          <w:headerReference w:type="default" r:id="rId205"/>
          <w:footerReference w:type="even" r:id="rId206"/>
          <w:footerReference w:type="default" r:id="rId207"/>
          <w:headerReference w:type="first" r:id="rId208"/>
          <w:footerReference w:type="first" r:id="rId209"/>
          <w:pgSz w:w="16839" w:h="11907" w:orient="landscape"/>
          <w:pgMar w:top="1134" w:right="1134" w:bottom="1134" w:left="1134" w:header="567" w:footer="567" w:gutter="0"/>
          <w:cols w:space="720"/>
          <w:docGrid w:linePitch="360"/>
        </w:sectPr>
      </w:pPr>
    </w:p>
    <w:p w14:paraId="00F00968" w14:textId="77777777" w:rsidR="006A41D9" w:rsidRPr="001961AA" w:rsidRDefault="006A41D9" w:rsidP="00BD6DD1">
      <w:pPr>
        <w:pStyle w:val="ManualHeading1"/>
        <w:spacing w:before="120"/>
        <w:ind w:left="0" w:hanging="130"/>
        <w:rPr>
          <w:noProof/>
          <w:szCs w:val="24"/>
          <w:lang w:val="en-GB"/>
        </w:rPr>
      </w:pPr>
      <w:r w:rsidRPr="001961AA">
        <w:rPr>
          <w:noProof/>
          <w:lang w:val="en-GB"/>
        </w:rPr>
        <w:t>O. COMPONENT 5.2: Supporting economic activity</w:t>
      </w:r>
    </w:p>
    <w:p w14:paraId="13A59AA0" w14:textId="77777777" w:rsidR="006A41D9" w:rsidRPr="001961AA" w:rsidRDefault="006A41D9" w:rsidP="00BD6DD1">
      <w:pPr>
        <w:spacing w:before="120" w:after="120" w:line="240" w:lineRule="auto"/>
        <w:jc w:val="both"/>
        <w:rPr>
          <w:rFonts w:ascii="Times New Roman" w:hAnsi="Times New Roman" w:cs="Times New Roman"/>
          <w:noProof/>
          <w:sz w:val="24"/>
          <w:szCs w:val="24"/>
          <w:lang w:val="en-GB"/>
        </w:rPr>
      </w:pPr>
      <w:r w:rsidRPr="001961AA">
        <w:rPr>
          <w:rFonts w:ascii="Times New Roman" w:hAnsi="Times New Roman"/>
          <w:noProof/>
          <w:sz w:val="24"/>
          <w:lang w:val="en-GB"/>
        </w:rPr>
        <w:t>This component of the Belgian recovery and resilient plan is aimed at contributing to the economic recovery and facilitating the transition to a greener and more digitalised economy by focussing resources on innovation and support to promising sectors. The measures brought together under this component have three more specific objectives:</w:t>
      </w:r>
    </w:p>
    <w:p w14:paraId="5329964F" w14:textId="77777777" w:rsidR="006A41D9" w:rsidRPr="001961AA" w:rsidRDefault="006A41D9" w:rsidP="00300C11">
      <w:pPr>
        <w:pStyle w:val="ListParagraph"/>
        <w:numPr>
          <w:ilvl w:val="0"/>
          <w:numId w:val="58"/>
        </w:numPr>
        <w:tabs>
          <w:tab w:val="left" w:pos="426"/>
        </w:tabs>
        <w:spacing w:before="120" w:after="120" w:line="240" w:lineRule="auto"/>
        <w:jc w:val="both"/>
        <w:rPr>
          <w:rFonts w:ascii="Times New Roman" w:hAnsi="Times New Roman" w:cs="Times New Roman"/>
          <w:noProof/>
          <w:sz w:val="24"/>
          <w:szCs w:val="24"/>
          <w:lang w:val="en-GB"/>
        </w:rPr>
      </w:pPr>
      <w:r w:rsidRPr="001961AA">
        <w:rPr>
          <w:rFonts w:ascii="Times New Roman" w:hAnsi="Times New Roman"/>
          <w:noProof/>
          <w:sz w:val="24"/>
          <w:lang w:val="en-GB"/>
        </w:rPr>
        <w:t>supporting the development of activities which offer promising opportunities in terms of adding value to and enhancing the value of the territory;</w:t>
      </w:r>
    </w:p>
    <w:p w14:paraId="7D784427" w14:textId="77777777" w:rsidR="006A41D9" w:rsidRPr="001961AA" w:rsidRDefault="006A41D9" w:rsidP="00300C11">
      <w:pPr>
        <w:pStyle w:val="ListParagraph"/>
        <w:numPr>
          <w:ilvl w:val="0"/>
          <w:numId w:val="58"/>
        </w:numPr>
        <w:tabs>
          <w:tab w:val="left" w:pos="426"/>
        </w:tabs>
        <w:spacing w:before="120" w:after="120" w:line="240" w:lineRule="auto"/>
        <w:jc w:val="both"/>
        <w:rPr>
          <w:rFonts w:ascii="Times New Roman" w:hAnsi="Times New Roman" w:cs="Times New Roman"/>
          <w:noProof/>
          <w:sz w:val="24"/>
          <w:szCs w:val="24"/>
          <w:lang w:val="en-GB"/>
        </w:rPr>
      </w:pPr>
      <w:r w:rsidRPr="001961AA">
        <w:rPr>
          <w:rFonts w:ascii="Times New Roman" w:hAnsi="Times New Roman"/>
          <w:noProof/>
          <w:sz w:val="24"/>
          <w:lang w:val="en-GB"/>
        </w:rPr>
        <w:t>advancing and supporting research and innovation in order to develop the country’s future economic potential and to ensure its excellence and competitiveness;</w:t>
      </w:r>
    </w:p>
    <w:p w14:paraId="09DB8076" w14:textId="77777777" w:rsidR="006A41D9" w:rsidRPr="001961AA" w:rsidRDefault="006A41D9" w:rsidP="00300C11">
      <w:pPr>
        <w:pStyle w:val="ListParagraph"/>
        <w:numPr>
          <w:ilvl w:val="0"/>
          <w:numId w:val="58"/>
        </w:numPr>
        <w:tabs>
          <w:tab w:val="left" w:pos="426"/>
        </w:tabs>
        <w:spacing w:before="120" w:after="120" w:line="240" w:lineRule="auto"/>
        <w:jc w:val="both"/>
        <w:rPr>
          <w:rFonts w:ascii="Times New Roman" w:hAnsi="Times New Roman" w:cs="Times New Roman"/>
          <w:noProof/>
          <w:sz w:val="24"/>
          <w:szCs w:val="24"/>
          <w:lang w:val="en-GB"/>
        </w:rPr>
      </w:pPr>
      <w:r w:rsidRPr="001961AA">
        <w:rPr>
          <w:rFonts w:ascii="Times New Roman" w:hAnsi="Times New Roman"/>
          <w:noProof/>
          <w:sz w:val="24"/>
          <w:lang w:val="en-GB"/>
        </w:rPr>
        <w:t>encouraging the implementation of more efficient production processes based in particular on emerging technologies.</w:t>
      </w:r>
    </w:p>
    <w:p w14:paraId="44DBDEBF" w14:textId="77777777" w:rsidR="006A41D9" w:rsidRPr="001961AA" w:rsidRDefault="006A41D9" w:rsidP="00BD6DD1">
      <w:pPr>
        <w:spacing w:before="120" w:after="120" w:line="240" w:lineRule="auto"/>
        <w:jc w:val="both"/>
        <w:rPr>
          <w:rFonts w:ascii="Times New Roman" w:hAnsi="Times New Roman" w:cs="Times New Roman"/>
          <w:noProof/>
          <w:sz w:val="24"/>
          <w:szCs w:val="24"/>
          <w:lang w:val="en-GB"/>
        </w:rPr>
      </w:pPr>
      <w:r w:rsidRPr="001961AA">
        <w:rPr>
          <w:rFonts w:ascii="Times New Roman" w:hAnsi="Times New Roman"/>
          <w:noProof/>
          <w:sz w:val="24"/>
          <w:lang w:val="en-GB"/>
        </w:rPr>
        <w:t>In this component, particular attention is dedicated to SMEs, which make up the bulk of Belgium’s economic fabric and have been particularly affected by the economic crisis.</w:t>
      </w:r>
    </w:p>
    <w:p w14:paraId="41FD21D9" w14:textId="77777777" w:rsidR="006A41D9" w:rsidRPr="001961AA" w:rsidRDefault="006A41D9" w:rsidP="00BD6DD1">
      <w:pPr>
        <w:spacing w:before="120" w:after="120" w:line="240" w:lineRule="auto"/>
        <w:jc w:val="both"/>
        <w:rPr>
          <w:rFonts w:ascii="Times New Roman" w:hAnsi="Times New Roman" w:cs="Times New Roman"/>
          <w:noProof/>
          <w:sz w:val="24"/>
          <w:szCs w:val="24"/>
          <w:lang w:val="en-GB"/>
        </w:rPr>
      </w:pPr>
      <w:r w:rsidRPr="001961AA">
        <w:rPr>
          <w:rFonts w:ascii="Times New Roman" w:hAnsi="Times New Roman"/>
          <w:noProof/>
          <w:sz w:val="24"/>
          <w:lang w:val="en-GB"/>
        </w:rPr>
        <w:t>The component contributes to addressing Country Specific Recommendation 2019.3 in that it calls for focusing on research and innovation and on the low carbon and energy transition and to Country Specific Recommendation 2020.3 calling for improving the business environment, front-loading public investment projects and promoting private investment to foster economic recovery.</w:t>
      </w:r>
    </w:p>
    <w:p w14:paraId="27086138" w14:textId="77777777" w:rsidR="006A41D9" w:rsidRPr="001961AA" w:rsidRDefault="006A41D9" w:rsidP="00BD6DD1">
      <w:pPr>
        <w:spacing w:before="120" w:after="120" w:line="240" w:lineRule="auto"/>
        <w:jc w:val="both"/>
        <w:rPr>
          <w:rFonts w:ascii="Times New Roman" w:hAnsi="Times New Roman" w:cs="Times New Roman"/>
          <w:noProof/>
          <w:sz w:val="24"/>
          <w:szCs w:val="24"/>
          <w:lang w:val="en-GB"/>
        </w:rPr>
      </w:pPr>
      <w:r w:rsidRPr="001961AA">
        <w:rPr>
          <w:rFonts w:ascii="Times New Roman" w:hAnsi="Times New Roman"/>
          <w:noProof/>
          <w:sz w:val="24"/>
          <w:lang w:val="en-GB"/>
        </w:rPr>
        <w:t>It is expected that no measure in this component does significant harm to environmental objectives within the meaning of Article 17 of Regulation (EU) 2020/852, taking into account the description of the measures and the mitigating steps set out in the recovery and resilience plan in accordance with the DNSH Technical Guidance (2021/C58/01).</w:t>
      </w:r>
    </w:p>
    <w:p w14:paraId="07865D97" w14:textId="77777777" w:rsidR="006A41D9" w:rsidRPr="001961AA" w:rsidRDefault="006A41D9" w:rsidP="00BD6DD1">
      <w:pPr>
        <w:spacing w:before="120" w:after="120" w:line="240" w:lineRule="auto"/>
        <w:jc w:val="both"/>
        <w:rPr>
          <w:rFonts w:ascii="Times New Roman" w:hAnsi="Times New Roman" w:cs="Times New Roman"/>
          <w:b/>
          <w:bCs/>
          <w:noProof/>
          <w:sz w:val="24"/>
          <w:szCs w:val="24"/>
          <w:u w:val="single"/>
          <w:lang w:val="en-GB"/>
        </w:rPr>
      </w:pPr>
      <w:r w:rsidRPr="001961AA">
        <w:rPr>
          <w:rFonts w:ascii="Times New Roman" w:hAnsi="Times New Roman"/>
          <w:b/>
          <w:noProof/>
          <w:sz w:val="24"/>
          <w:u w:val="single"/>
          <w:lang w:val="en-GB"/>
        </w:rPr>
        <w:t xml:space="preserve">O.1. </w:t>
      </w:r>
      <w:r w:rsidRPr="001961AA">
        <w:rPr>
          <w:noProof/>
          <w:lang w:val="en-GB"/>
        </w:rPr>
        <w:tab/>
      </w:r>
      <w:r w:rsidRPr="001961AA">
        <w:rPr>
          <w:rFonts w:ascii="Times New Roman" w:hAnsi="Times New Roman"/>
          <w:b/>
          <w:noProof/>
          <w:sz w:val="24"/>
          <w:u w:val="single"/>
          <w:lang w:val="en-GB"/>
        </w:rPr>
        <w:t>Description of the reforms and investments for non-repayable financial support</w:t>
      </w:r>
    </w:p>
    <w:p w14:paraId="48C11ED4" w14:textId="298D099A" w:rsidR="006A41D9" w:rsidRPr="001961AA" w:rsidRDefault="006A41D9" w:rsidP="00BD6DD1">
      <w:pPr>
        <w:pStyle w:val="Text1"/>
        <w:ind w:left="0"/>
        <w:rPr>
          <w:noProof/>
          <w:u w:val="single"/>
          <w:lang w:val="en-GB"/>
        </w:rPr>
      </w:pPr>
      <w:r w:rsidRPr="001961AA">
        <w:rPr>
          <w:noProof/>
          <w:u w:val="single"/>
          <w:lang w:val="en-GB"/>
        </w:rPr>
        <w:t>Investment I-5.08: ‘Nuclear medicine’ of the Federal State</w:t>
      </w:r>
    </w:p>
    <w:p w14:paraId="0BE27A52" w14:textId="067B308C" w:rsidR="006A41D9" w:rsidRPr="001961AA" w:rsidRDefault="006A41D9" w:rsidP="00BD6DD1">
      <w:pPr>
        <w:spacing w:before="120" w:after="120" w:line="240" w:lineRule="auto"/>
        <w:jc w:val="both"/>
        <w:rPr>
          <w:rFonts w:ascii="Times New Roman" w:hAnsi="Times New Roman" w:cs="Times New Roman"/>
          <w:noProof/>
          <w:sz w:val="24"/>
          <w:szCs w:val="24"/>
          <w:lang w:val="en-GB"/>
        </w:rPr>
      </w:pPr>
      <w:r w:rsidRPr="001961AA">
        <w:rPr>
          <w:rFonts w:ascii="Times New Roman" w:hAnsi="Times New Roman"/>
          <w:noProof/>
          <w:sz w:val="24"/>
          <w:lang w:val="en-GB"/>
        </w:rPr>
        <w:t>This investment addresses two challenges related to ensuring future sufficient availability of two of the most promising radioisotopes within nuclear medicine for cancer treatment – 177Lu and 225Ac. The first action addresses the need for new infrastructure at SCK CEN (</w:t>
      </w:r>
      <w:r w:rsidRPr="001961AA">
        <w:rPr>
          <w:rFonts w:ascii="Times New Roman" w:hAnsi="Times New Roman"/>
          <w:noProof/>
          <w:color w:val="202122"/>
          <w:sz w:val="24"/>
          <w:shd w:val="clear" w:color="auto" w:fill="FFFFFF"/>
          <w:lang w:val="en-GB"/>
        </w:rPr>
        <w:t xml:space="preserve">the Belgian </w:t>
      </w:r>
      <w:r w:rsidRPr="001961AA">
        <w:rPr>
          <w:rFonts w:ascii="Times New Roman" w:hAnsi="Times New Roman"/>
          <w:noProof/>
          <w:sz w:val="24"/>
          <w:shd w:val="clear" w:color="auto" w:fill="FFFFFF"/>
          <w:lang w:val="en-GB"/>
        </w:rPr>
        <w:t>nuclear res</w:t>
      </w:r>
      <w:r w:rsidRPr="001961AA">
        <w:rPr>
          <w:rFonts w:ascii="Times New Roman" w:hAnsi="Times New Roman"/>
          <w:noProof/>
          <w:color w:val="202122"/>
          <w:sz w:val="24"/>
          <w:shd w:val="clear" w:color="auto" w:fill="FFFFFF"/>
          <w:lang w:val="en-GB"/>
        </w:rPr>
        <w:t>earch centre)</w:t>
      </w:r>
      <w:r w:rsidRPr="001961AA">
        <w:rPr>
          <w:rFonts w:ascii="Times New Roman" w:hAnsi="Times New Roman"/>
          <w:noProof/>
          <w:sz w:val="24"/>
          <w:lang w:val="en-GB"/>
        </w:rPr>
        <w:t>, which is necessary to ensure an increase in the supply of 177Lu, taking into account projected future needs, expected to grow from 16 000 patients in 2020 to 138 000 patients in 2026 in the EU. The main objective of the second action is to carry out a study with the aim to close the gap between existing technologies and the needs identified for enabling a large-scale production of radioisotope 225Ac.The implementation of the investment shall be finalised within 30 June 2026.</w:t>
      </w:r>
    </w:p>
    <w:p w14:paraId="050CE2D8" w14:textId="7F41BB4F" w:rsidR="006A41D9" w:rsidRPr="001961AA" w:rsidRDefault="006A41D9" w:rsidP="00BD6DD1">
      <w:pPr>
        <w:pStyle w:val="Text1"/>
        <w:ind w:left="0"/>
        <w:rPr>
          <w:noProof/>
          <w:szCs w:val="24"/>
          <w:u w:val="single"/>
          <w:lang w:val="en-GB"/>
        </w:rPr>
      </w:pPr>
      <w:r w:rsidRPr="001961AA">
        <w:rPr>
          <w:noProof/>
          <w:u w:val="single"/>
          <w:lang w:val="en-GB"/>
        </w:rPr>
        <w:t>Investment I-5.08bis: ‘Nuclear medicine – the theranostic approach’ of the Federal State</w:t>
      </w:r>
    </w:p>
    <w:p w14:paraId="755FA336" w14:textId="68C9B63D" w:rsidR="006A41D9" w:rsidRPr="001961AA" w:rsidRDefault="006A41D9" w:rsidP="7D2DE183">
      <w:pPr>
        <w:pStyle w:val="paragraph"/>
        <w:spacing w:before="0" w:beforeAutospacing="0" w:after="0" w:afterAutospacing="0"/>
        <w:jc w:val="both"/>
        <w:textAlignment w:val="baseline"/>
        <w:rPr>
          <w:noProof/>
          <w:lang w:val="en-GB"/>
        </w:rPr>
      </w:pPr>
      <w:r w:rsidRPr="001961AA">
        <w:rPr>
          <w:rStyle w:val="normaltextrun"/>
          <w:noProof/>
          <w:lang w:val="en-GB"/>
        </w:rPr>
        <w:t>The purpose of this investment is to support security of the medical isotopes supply through development of innovative target technology for cyclotrons (sub-project 1) and optimizing the production process for low enriched uranium (LEU) targets (sub-project 2). This investment comprises two R&amp;D sub-projects, which shall focus on: 1) developing an innovative target technology for cyclotron isotope production. As a result of the R&amp;D activities, a new design is ready and allows to make prototype targets and have them irradiated for validation of the process in a new project; and 2) optimising e the LEU-based production process. As a result of the R&amp;D activities, opportunities for improvement have been evaluated and/or tested and the most relevant shall be listed in a report. For each sub-projects a report shall be produced by mid-2026. The implementation of the investment shall be completed by 30 June 2026.</w:t>
      </w:r>
    </w:p>
    <w:p w14:paraId="74F8313C" w14:textId="1B3B314F" w:rsidR="006A41D9" w:rsidRPr="001961AA" w:rsidRDefault="006A41D9" w:rsidP="00BD6DD1">
      <w:pPr>
        <w:pStyle w:val="Text1"/>
        <w:ind w:left="0"/>
        <w:rPr>
          <w:noProof/>
          <w:szCs w:val="24"/>
          <w:u w:val="single"/>
          <w:lang w:val="en-GB"/>
        </w:rPr>
      </w:pPr>
      <w:r w:rsidRPr="001961AA">
        <w:rPr>
          <w:noProof/>
          <w:u w:val="single"/>
          <w:lang w:val="en-GB"/>
        </w:rPr>
        <w:t>Investment I-5.10: ‘R&amp;D: Minimization of waste during dismantling’ of the Federal State</w:t>
      </w:r>
    </w:p>
    <w:p w14:paraId="57C990BF" w14:textId="652A7196" w:rsidR="006A41D9" w:rsidRPr="001961AA" w:rsidRDefault="006A41D9" w:rsidP="00BD6DD1">
      <w:pPr>
        <w:spacing w:before="120" w:after="120" w:line="240" w:lineRule="auto"/>
        <w:jc w:val="both"/>
        <w:rPr>
          <w:rFonts w:ascii="Times New Roman" w:hAnsi="Times New Roman" w:cs="Times New Roman"/>
          <w:noProof/>
          <w:sz w:val="24"/>
          <w:szCs w:val="24"/>
          <w:lang w:val="en-GB"/>
        </w:rPr>
      </w:pPr>
      <w:r w:rsidRPr="001961AA">
        <w:rPr>
          <w:rFonts w:ascii="Times New Roman" w:hAnsi="Times New Roman"/>
          <w:noProof/>
          <w:sz w:val="24"/>
          <w:lang w:val="en-GB"/>
        </w:rPr>
        <w:t>This investment aims at funding the necessary investments that shall allow the scaling up to industrialisation of Belgian expertise in radiological characterisation and decontamination techniques and methodologies towards their application during the decommissioning of the Belgian nuclear power plants, to be carried out in the framework of the planned phase-out of nuclear power generation in Belgium and the possible valorisation in other decommissioning and site remediation projects. The project’s aim is to minimise the amount of waste that shall be produced during the eventual decommissioning of the Belgian nuclear power plants. For example, it shall maximise the re-use and recycling of metals and concrete. All the activities shall take place in highly secured SCK CEN facilities and shall comply with the environmental permit obtained. Finally, cradle to grave solutions shall be provided, not leading to secondary waste that cannot be managed. The project shall only focus on the re-use, recycling and final disposal of non-nuclear waste, while the disposal of radioactive waste issued from decommissioning operations is outside of the scope of the project. The implementation of the investment shall be completed by 30 June 2026.</w:t>
      </w:r>
    </w:p>
    <w:p w14:paraId="6AC2CFD1" w14:textId="48DF5647" w:rsidR="006A41D9" w:rsidRPr="001961AA" w:rsidRDefault="006A41D9" w:rsidP="00BD6DD1">
      <w:pPr>
        <w:pStyle w:val="Text1"/>
        <w:ind w:left="0"/>
        <w:rPr>
          <w:noProof/>
          <w:szCs w:val="24"/>
          <w:u w:val="single"/>
          <w:lang w:val="en-GB"/>
        </w:rPr>
      </w:pPr>
      <w:r w:rsidRPr="001961AA">
        <w:rPr>
          <w:noProof/>
          <w:u w:val="single"/>
          <w:lang w:val="en-GB"/>
        </w:rPr>
        <w:t>Investment I-5.11: ‘Strengthen R&amp;D’ of the Flemish Region</w:t>
      </w:r>
    </w:p>
    <w:p w14:paraId="4EAB7C5C" w14:textId="6C2504CF" w:rsidR="006A41D9" w:rsidRPr="001961AA" w:rsidRDefault="2DF8951B" w:rsidP="00BD6DD1">
      <w:pPr>
        <w:spacing w:before="120" w:after="120" w:line="240" w:lineRule="auto"/>
        <w:jc w:val="both"/>
        <w:rPr>
          <w:rFonts w:ascii="Times New Roman" w:hAnsi="Times New Roman" w:cs="Times New Roman"/>
          <w:noProof/>
          <w:sz w:val="24"/>
          <w:szCs w:val="24"/>
          <w:lang w:val="en-GB"/>
        </w:rPr>
      </w:pPr>
      <w:r w:rsidRPr="001961AA">
        <w:rPr>
          <w:rFonts w:ascii="Times New Roman" w:hAnsi="Times New Roman"/>
          <w:noProof/>
          <w:sz w:val="24"/>
          <w:lang w:val="en-GB"/>
        </w:rPr>
        <w:t>This investment aims at boosting innovation of Flanders’ economic operators through R&amp;D&amp;I, with a particular focus on three areas: digitalisation, sustainability and health. Two different axes are foreseen. A first axis shall target R&amp;D&amp;I projects with a focus on sustainable, digital and health related activities involving companies or institutions not focused on business activities (for example hospitals, universities, research centers). The second axis shall focus on targeting R&amp;D&amp;I support to companies. Under this axis R&amp;D&amp;I projects can for example relate to the pharmaceutical sector, and to 3D printing technology. The support for the participation to the planned IPCEI on micro-electronic is also foreseen. Under the measure at least 200 projects shall be awarded covering all areas of intervention of the measure. The RRF shall support part of the costs of this investment. This investment may also receive support from other Union programmes or instruments for costs that are not supported by the RRF.</w:t>
      </w:r>
    </w:p>
    <w:p w14:paraId="4E3A0B93" w14:textId="75F048B0" w:rsidR="006A41D9" w:rsidRPr="001961AA" w:rsidRDefault="006A41D9" w:rsidP="00BD6DD1">
      <w:pPr>
        <w:pStyle w:val="Text1"/>
        <w:ind w:left="0"/>
        <w:rPr>
          <w:noProof/>
          <w:szCs w:val="24"/>
          <w:lang w:val="en-GB"/>
        </w:rPr>
      </w:pPr>
      <w:r w:rsidRPr="001961AA">
        <w:rPr>
          <w:noProof/>
          <w:lang w:val="en-GB"/>
        </w:rPr>
        <w:t>In order to ensure that the measure complies with the ‘Do no significant harm’ Technical Guidance (2021/C58/01), the eligibility criteria contained in terms of reference for upcoming calls for projects shall exclude the following list of activities: (i) activities related to fossil fuels, including downstream use; (ii) activities under the EU Emission Trading System achieving projected greenhouse gas emissions that are not lower than the relevant benchmarks</w:t>
      </w:r>
      <w:r w:rsidRPr="001961AA">
        <w:rPr>
          <w:rStyle w:val="FootnoteReference"/>
          <w:noProof/>
          <w:lang w:val="en-GB"/>
        </w:rPr>
        <w:footnoteReference w:id="12"/>
      </w:r>
      <w:r w:rsidRPr="001961AA">
        <w:rPr>
          <w:noProof/>
          <w:lang w:val="en-GB"/>
        </w:rPr>
        <w:t>; (iii) activities related to waste landfills, incinerators</w:t>
      </w:r>
      <w:r w:rsidRPr="001961AA">
        <w:rPr>
          <w:rStyle w:val="FootnoteReference"/>
          <w:noProof/>
          <w:lang w:val="en-GB"/>
        </w:rPr>
        <w:footnoteReference w:id="13"/>
      </w:r>
      <w:r w:rsidRPr="001961AA">
        <w:rPr>
          <w:noProof/>
          <w:lang w:val="en-GB"/>
        </w:rPr>
        <w:t xml:space="preserve"> and mechanical biological treatment plants</w:t>
      </w:r>
      <w:r w:rsidRPr="001961AA">
        <w:rPr>
          <w:rStyle w:val="FootnoteReference"/>
          <w:noProof/>
          <w:lang w:val="en-GB"/>
        </w:rPr>
        <w:footnoteReference w:id="14"/>
      </w:r>
      <w:r w:rsidRPr="001961AA">
        <w:rPr>
          <w:noProof/>
          <w:lang w:val="en-GB"/>
        </w:rPr>
        <w:t>; and (iv) activities where the long-term disposal of waste may cause harm to the environment. The terms of reference shall additionally require that only activities that comply with relevant EU and national environmental legislation may be selected. The implementation of the investment shall be completed by 31 August 2026.</w:t>
      </w:r>
    </w:p>
    <w:p w14:paraId="23DAF586" w14:textId="3AFDAC92" w:rsidR="006A41D9" w:rsidRPr="001961AA" w:rsidRDefault="006A41D9" w:rsidP="00BD6DD1">
      <w:pPr>
        <w:pStyle w:val="Text1"/>
        <w:ind w:left="0"/>
        <w:rPr>
          <w:noProof/>
          <w:u w:val="single"/>
          <w:lang w:val="en-GB"/>
        </w:rPr>
      </w:pPr>
      <w:r w:rsidRPr="001961AA">
        <w:rPr>
          <w:noProof/>
          <w:u w:val="single"/>
          <w:lang w:val="en-GB"/>
        </w:rPr>
        <w:t>Investment I-5.12: ‘Relocation of food and development of logistics platforms’ of the Walloon Region</w:t>
      </w:r>
    </w:p>
    <w:p w14:paraId="2209D778" w14:textId="77777777" w:rsidR="006A41D9" w:rsidRPr="001961AA" w:rsidRDefault="006A41D9" w:rsidP="00BD6DD1">
      <w:pPr>
        <w:spacing w:before="120" w:after="120" w:line="240" w:lineRule="auto"/>
        <w:jc w:val="both"/>
        <w:rPr>
          <w:rFonts w:ascii="Times New Roman" w:hAnsi="Times New Roman" w:cs="Times New Roman"/>
          <w:noProof/>
          <w:sz w:val="24"/>
          <w:szCs w:val="24"/>
          <w:lang w:val="en-GB"/>
        </w:rPr>
      </w:pPr>
      <w:r w:rsidRPr="001961AA">
        <w:rPr>
          <w:rFonts w:ascii="Times New Roman" w:hAnsi="Times New Roman"/>
          <w:noProof/>
          <w:sz w:val="24"/>
          <w:lang w:val="en-GB"/>
        </w:rPr>
        <w:t>The objective of this investment is to support the development of new agricultural sectors based on the principle of short supply chains and the development of missing tools (“links”) within the existing supply chain. It is divided into two sub-measures:</w:t>
      </w:r>
    </w:p>
    <w:p w14:paraId="6E9BDC80" w14:textId="18CC9293" w:rsidR="006A41D9" w:rsidRPr="001961AA" w:rsidRDefault="006A41D9" w:rsidP="00300C11">
      <w:pPr>
        <w:pStyle w:val="ListParagraph"/>
        <w:numPr>
          <w:ilvl w:val="0"/>
          <w:numId w:val="59"/>
        </w:numPr>
        <w:tabs>
          <w:tab w:val="left" w:pos="426"/>
        </w:tabs>
        <w:spacing w:before="120" w:after="120" w:line="240" w:lineRule="auto"/>
        <w:jc w:val="both"/>
        <w:rPr>
          <w:rFonts w:ascii="Times New Roman" w:hAnsi="Times New Roman" w:cs="Times New Roman"/>
          <w:noProof/>
          <w:sz w:val="24"/>
          <w:szCs w:val="24"/>
          <w:lang w:val="en-GB"/>
        </w:rPr>
      </w:pPr>
      <w:r w:rsidRPr="001961AA">
        <w:rPr>
          <w:rFonts w:ascii="Times New Roman" w:hAnsi="Times New Roman"/>
          <w:noProof/>
          <w:sz w:val="24"/>
          <w:lang w:val="en-GB"/>
        </w:rPr>
        <w:t>the creation of 30 small-scale pieces of infrastructure to support the production, the storage, the transport and the small-scale processing of products coming from four food chains (fruit, vegetables, cereals and vegetable proteins). It shall also include four projects, one for each food chain, to support the development and the production of seeds, seedlings and techniques adapted to climate change and cultivation without phytosanitary inputs;</w:t>
      </w:r>
    </w:p>
    <w:p w14:paraId="6C670665" w14:textId="191D9BBB" w:rsidR="006A41D9" w:rsidRPr="001961AA" w:rsidRDefault="006A41D9" w:rsidP="00300C11">
      <w:pPr>
        <w:pStyle w:val="ListParagraph"/>
        <w:numPr>
          <w:ilvl w:val="0"/>
          <w:numId w:val="59"/>
        </w:numPr>
        <w:tabs>
          <w:tab w:val="left" w:pos="426"/>
        </w:tabs>
        <w:spacing w:before="120" w:after="120" w:line="240" w:lineRule="auto"/>
        <w:jc w:val="both"/>
        <w:rPr>
          <w:rFonts w:ascii="Times New Roman" w:hAnsi="Times New Roman" w:cs="Times New Roman"/>
          <w:noProof/>
          <w:sz w:val="24"/>
          <w:szCs w:val="24"/>
          <w:lang w:val="en-GB"/>
        </w:rPr>
      </w:pPr>
      <w:r w:rsidRPr="001961AA">
        <w:rPr>
          <w:rFonts w:ascii="Times New Roman" w:hAnsi="Times New Roman"/>
          <w:noProof/>
          <w:sz w:val="24"/>
          <w:lang w:val="en-GB"/>
        </w:rPr>
        <w:t>the construction of two logistic hubs dedicated to the activities of wholesalers, food processing of primary products and incubator of cooperatives, including the installation of 1700 solar panels, 15 charging points for electric vehicles and of a 200kW energy storage system. It shall be complemented by the construction of critical infrastructure (at least five pieces of infrastructure of which one storage hall, one mill, one fruit/vegetables transformation unit and one BtoB storage hall and market place) which shall contribute to the deployment of the sustainable agri-food chain throughout the Walloon Region.</w:t>
      </w:r>
    </w:p>
    <w:p w14:paraId="45414FE8" w14:textId="309CA4AC" w:rsidR="006A41D9" w:rsidRPr="001961AA" w:rsidRDefault="006A41D9" w:rsidP="00BD6DD1">
      <w:pPr>
        <w:spacing w:before="120" w:after="120" w:line="240" w:lineRule="auto"/>
        <w:jc w:val="both"/>
        <w:rPr>
          <w:rFonts w:ascii="Times New Roman" w:hAnsi="Times New Roman" w:cs="Times New Roman"/>
          <w:noProof/>
          <w:sz w:val="24"/>
          <w:szCs w:val="24"/>
          <w:lang w:val="en-GB"/>
        </w:rPr>
      </w:pPr>
      <w:r w:rsidRPr="001961AA">
        <w:rPr>
          <w:rFonts w:ascii="Times New Roman" w:hAnsi="Times New Roman"/>
          <w:noProof/>
          <w:sz w:val="24"/>
          <w:lang w:val="en-GB"/>
        </w:rPr>
        <w:t>In order to ensure that the measure complies with the ‘Do no significant harm’ Technical Guidance (2021/C58/01), the eligibility criteria contained in terms of reference for upcoming calls for projects shall exclude the following list of activities: (i) activities related to fossil fuels, including downstream use; (ii) activities related to waste landfills, incinerators and mechanical biological treatment plants</w:t>
      </w:r>
      <w:r w:rsidRPr="001961AA">
        <w:rPr>
          <w:rFonts w:ascii="Times New Roman" w:hAnsi="Times New Roman" w:cs="Times New Roman"/>
          <w:noProof/>
          <w:sz w:val="24"/>
          <w:szCs w:val="24"/>
          <w:vertAlign w:val="superscript"/>
          <w:lang w:val="en-GB"/>
        </w:rPr>
        <w:footnoteReference w:id="15"/>
      </w:r>
      <w:r w:rsidRPr="001961AA">
        <w:rPr>
          <w:rFonts w:ascii="Times New Roman" w:hAnsi="Times New Roman"/>
          <w:noProof/>
          <w:sz w:val="24"/>
          <w:lang w:val="en-GB"/>
        </w:rPr>
        <w:t>; and (iii) activities where the long-term disposal of waste may cause harm to the environment. The terms of reference shall additionally require that only activities that comply with relevant EU and national environmental legislation may be selected. The implementation of the investment shall be completed by 30 June 2026.</w:t>
      </w:r>
    </w:p>
    <w:p w14:paraId="75A35A09" w14:textId="77777777" w:rsidR="006A41D9" w:rsidRPr="001961AA" w:rsidRDefault="006A41D9" w:rsidP="00BD6DD1">
      <w:pPr>
        <w:pStyle w:val="Text1"/>
        <w:ind w:left="0"/>
        <w:rPr>
          <w:noProof/>
          <w:szCs w:val="24"/>
          <w:lang w:val="en-GB"/>
        </w:rPr>
      </w:pPr>
      <w:r w:rsidRPr="001961AA">
        <w:rPr>
          <w:noProof/>
          <w:u w:val="single"/>
          <w:lang w:val="en-GB"/>
        </w:rPr>
        <w:t>Investment I-5.13: ‘Digitisation of the Walloon tourism sector’ of the Walloon Region</w:t>
      </w:r>
    </w:p>
    <w:p w14:paraId="29CF5A47" w14:textId="3BFC3C84" w:rsidR="006A41D9" w:rsidRPr="001961AA" w:rsidRDefault="006A41D9" w:rsidP="00BD6DD1">
      <w:pPr>
        <w:spacing w:before="120" w:after="120" w:line="240" w:lineRule="auto"/>
        <w:jc w:val="both"/>
        <w:rPr>
          <w:rFonts w:ascii="Times New Roman" w:hAnsi="Times New Roman" w:cs="Times New Roman"/>
          <w:noProof/>
          <w:sz w:val="24"/>
          <w:szCs w:val="24"/>
          <w:lang w:val="en-GB"/>
        </w:rPr>
      </w:pPr>
      <w:r w:rsidRPr="001961AA">
        <w:rPr>
          <w:rFonts w:ascii="Times New Roman" w:hAnsi="Times New Roman"/>
          <w:noProof/>
          <w:sz w:val="24"/>
          <w:lang w:val="en-GB"/>
        </w:rPr>
        <w:t>The objective of this investment is to make the tourism industry in the Walloon Region more resilient. The project shall focus on the digitalisation of the sector, by implementing actions to increase the on-line presence of touristic operators (SMEs, self-employed persons, and non-profit associations) and their independence from third party platforms. The implementation of the investment shall be completed by 31 December 2025.</w:t>
      </w:r>
    </w:p>
    <w:p w14:paraId="12C73135" w14:textId="77777777" w:rsidR="006A41D9" w:rsidRPr="001961AA" w:rsidRDefault="006A41D9" w:rsidP="00BD6DD1">
      <w:pPr>
        <w:spacing w:before="120" w:after="120" w:line="240" w:lineRule="auto"/>
        <w:jc w:val="both"/>
        <w:rPr>
          <w:rFonts w:ascii="Times New Roman" w:hAnsi="Times New Roman" w:cs="Times New Roman"/>
          <w:noProof/>
          <w:sz w:val="24"/>
          <w:szCs w:val="24"/>
          <w:u w:val="single"/>
          <w:lang w:val="en-GB"/>
        </w:rPr>
      </w:pPr>
      <w:r w:rsidRPr="001961AA">
        <w:rPr>
          <w:rFonts w:ascii="Times New Roman" w:hAnsi="Times New Roman"/>
          <w:noProof/>
          <w:sz w:val="24"/>
          <w:u w:val="single"/>
          <w:lang w:val="en-GB"/>
        </w:rPr>
        <w:t>Reform R-5.06: ‘Optimisation of procedures: Faster permit and appeal procedures’ of the Flemish Region</w:t>
      </w:r>
    </w:p>
    <w:p w14:paraId="62083CC5" w14:textId="72E9C058" w:rsidR="006A41D9" w:rsidRPr="001961AA" w:rsidRDefault="006A41D9" w:rsidP="00BD6DD1">
      <w:pPr>
        <w:spacing w:before="120" w:after="120" w:line="240" w:lineRule="auto"/>
        <w:jc w:val="both"/>
        <w:rPr>
          <w:rFonts w:ascii="Times New Roman" w:hAnsi="Times New Roman" w:cs="Times New Roman"/>
          <w:noProof/>
          <w:sz w:val="24"/>
          <w:szCs w:val="24"/>
          <w:lang w:val="en-GB"/>
        </w:rPr>
      </w:pPr>
      <w:r w:rsidRPr="001961AA">
        <w:rPr>
          <w:rFonts w:ascii="Times New Roman" w:hAnsi="Times New Roman"/>
          <w:noProof/>
          <w:sz w:val="24"/>
          <w:lang w:val="en-GB"/>
        </w:rPr>
        <w:t>This reform aims at the simplification of the environmental permit procedures, including by introducing conditions on the possibility to appeal decisions. It shall consist in a review of the existing regulation, with the objective to reduce the time needed to process a case and to provide greater legal certainty. At the end of the review, a report shall be published providing an overview of new and reviewed measures. The implementation of the reform shall be completed by 31 December 2022.</w:t>
      </w:r>
    </w:p>
    <w:p w14:paraId="71104E2B" w14:textId="77777777" w:rsidR="006A41D9" w:rsidRPr="001961AA" w:rsidRDefault="006A41D9" w:rsidP="00BD6DD1">
      <w:pPr>
        <w:spacing w:before="120" w:after="120" w:line="240" w:lineRule="auto"/>
        <w:jc w:val="both"/>
        <w:rPr>
          <w:rFonts w:ascii="Times New Roman" w:hAnsi="Times New Roman" w:cs="Times New Roman"/>
          <w:noProof/>
          <w:sz w:val="24"/>
          <w:szCs w:val="24"/>
          <w:u w:val="single"/>
          <w:lang w:val="en-GB"/>
        </w:rPr>
      </w:pPr>
      <w:r w:rsidRPr="001961AA">
        <w:rPr>
          <w:rFonts w:ascii="Times New Roman" w:hAnsi="Times New Roman"/>
          <w:noProof/>
          <w:sz w:val="24"/>
          <w:u w:val="single"/>
          <w:lang w:val="en-GB"/>
        </w:rPr>
        <w:t>Reform R-5.07: ‘Widening the innovation base’ of the Flemish Region</w:t>
      </w:r>
    </w:p>
    <w:p w14:paraId="55CA56F2" w14:textId="72C9BE9E" w:rsidR="006A41D9" w:rsidRPr="001961AA" w:rsidRDefault="006A41D9" w:rsidP="00BD6DD1">
      <w:pPr>
        <w:spacing w:before="120" w:after="120" w:line="240" w:lineRule="auto"/>
        <w:jc w:val="both"/>
        <w:rPr>
          <w:rFonts w:ascii="Times New Roman" w:hAnsi="Times New Roman" w:cs="Times New Roman"/>
          <w:noProof/>
          <w:sz w:val="24"/>
          <w:szCs w:val="24"/>
          <w:lang w:val="en-GB"/>
        </w:rPr>
      </w:pPr>
      <w:r w:rsidRPr="001961AA">
        <w:rPr>
          <w:rFonts w:ascii="Times New Roman" w:hAnsi="Times New Roman"/>
          <w:noProof/>
          <w:sz w:val="24"/>
          <w:lang w:val="en-GB"/>
        </w:rPr>
        <w:t>This reform aims at ensuring that the existing instruments do not put constraints on the access to innovation subsidies by SMEs. It shall consist in a review of the existing instruments aimed at stimulating innovation that is more easily accessible and adapted to the needs of SMEs. At the end of the review, a report shall be published providing an overview of new and reviewed measures. The implementation of the reform shall be completed by 31 December 2022.</w:t>
      </w:r>
    </w:p>
    <w:p w14:paraId="4E767275" w14:textId="4D1D2C9B" w:rsidR="006A41D9" w:rsidRPr="001961AA" w:rsidRDefault="006A41D9" w:rsidP="00BD6DD1">
      <w:pPr>
        <w:pStyle w:val="Text1"/>
        <w:ind w:left="0"/>
        <w:rPr>
          <w:noProof/>
          <w:szCs w:val="24"/>
          <w:lang w:val="en-GB"/>
        </w:rPr>
      </w:pPr>
      <w:r w:rsidRPr="001961AA">
        <w:rPr>
          <w:noProof/>
          <w:u w:val="single"/>
          <w:lang w:val="en-GB"/>
        </w:rPr>
        <w:t>Investment I-5.18: ‘SMELD: State-of-the-art MEtal MElting Limiting waste during D&amp;D’ of the Federal State</w:t>
      </w:r>
    </w:p>
    <w:p w14:paraId="79BBC2C8" w14:textId="495C4965" w:rsidR="0071084B" w:rsidRPr="001961AA" w:rsidRDefault="006A41D9" w:rsidP="00AB2BFA">
      <w:pPr>
        <w:spacing w:before="120" w:after="120" w:line="240" w:lineRule="auto"/>
        <w:jc w:val="both"/>
        <w:rPr>
          <w:rStyle w:val="normaltextrun"/>
          <w:rFonts w:ascii="Times New Roman" w:hAnsi="Times New Roman" w:cs="Times New Roman"/>
          <w:noProof/>
          <w:sz w:val="24"/>
          <w:szCs w:val="24"/>
          <w:lang w:val="en-GB"/>
        </w:rPr>
        <w:sectPr w:rsidR="0071084B" w:rsidRPr="001961AA" w:rsidSect="0071084B">
          <w:headerReference w:type="even" r:id="rId210"/>
          <w:headerReference w:type="default" r:id="rId211"/>
          <w:footerReference w:type="even" r:id="rId212"/>
          <w:footerReference w:type="default" r:id="rId213"/>
          <w:headerReference w:type="first" r:id="rId214"/>
          <w:footerReference w:type="first" r:id="rId215"/>
          <w:pgSz w:w="11907" w:h="16839"/>
          <w:pgMar w:top="1134" w:right="1134" w:bottom="1134" w:left="1134" w:header="567" w:footer="567" w:gutter="0"/>
          <w:cols w:space="720"/>
          <w:docGrid w:linePitch="360"/>
        </w:sectPr>
      </w:pPr>
      <w:r w:rsidRPr="001961AA">
        <w:rPr>
          <w:rStyle w:val="normaltextrun"/>
          <w:rFonts w:ascii="Times New Roman" w:hAnsi="Times New Roman"/>
          <w:noProof/>
          <w:sz w:val="24"/>
          <w:lang w:val="en-GB"/>
        </w:rPr>
        <w:t>This investment aims at contributing to maximising the recycling of metals resulting from future nuclear decommissioning operations. It consists of fundamental R&amp;D to improve the knowledge of metal smelting process and shall be followed by industrial R&amp;D to fully explore practical applications. The investment aims also to expand the capacity for processing metals recycled from nuclear decommissioning operations. In that context, the investment shall consist in setting-up a melting furnace, usable with non-radioactive mode. This investment is intended to be followed by subsequent steps leading to the operation of the melting furnace with radioactive material, which is foreseen to occur only in 2027. The implementation of this investment shall be completed by 30 June 2026</w:t>
      </w:r>
    </w:p>
    <w:p w14:paraId="16DEC713" w14:textId="332C6646" w:rsidR="006A41D9" w:rsidRPr="001961AA" w:rsidRDefault="0071084B" w:rsidP="0071084B">
      <w:pPr>
        <w:pStyle w:val="Text1"/>
        <w:ind w:left="0"/>
        <w:rPr>
          <w:b/>
          <w:bCs/>
          <w:noProof/>
          <w:szCs w:val="24"/>
          <w:u w:val="single"/>
          <w:lang w:val="en-GB"/>
        </w:rPr>
      </w:pPr>
      <w:r w:rsidRPr="001961AA">
        <w:rPr>
          <w:b/>
          <w:noProof/>
          <w:u w:val="single"/>
          <w:lang w:val="en-GB"/>
        </w:rPr>
        <w:t xml:space="preserve">O.2. </w:t>
      </w:r>
      <w:r w:rsidRPr="001961AA">
        <w:rPr>
          <w:noProof/>
          <w:lang w:val="en-GB"/>
        </w:rPr>
        <w:tab/>
      </w:r>
      <w:r w:rsidRPr="001961AA">
        <w:rPr>
          <w:b/>
          <w:noProof/>
          <w:u w:val="single"/>
          <w:lang w:val="en-GB"/>
        </w:rPr>
        <w:t>Milestones, targets, indicators, and timetable for monitoring and implementation for non-repayable financial support</w:t>
      </w:r>
    </w:p>
    <w:tbl>
      <w:tblPr>
        <w:tblW w:w="15898" w:type="dxa"/>
        <w:tblInd w:w="-572" w:type="dxa"/>
        <w:tblLayout w:type="fixed"/>
        <w:tblLook w:val="04A0" w:firstRow="1" w:lastRow="0" w:firstColumn="1" w:lastColumn="0" w:noHBand="0" w:noVBand="1"/>
      </w:tblPr>
      <w:tblGrid>
        <w:gridCol w:w="681"/>
        <w:gridCol w:w="1446"/>
        <w:gridCol w:w="1200"/>
        <w:gridCol w:w="1800"/>
        <w:gridCol w:w="2280"/>
        <w:gridCol w:w="1200"/>
        <w:gridCol w:w="1080"/>
        <w:gridCol w:w="720"/>
        <w:gridCol w:w="1080"/>
        <w:gridCol w:w="720"/>
        <w:gridCol w:w="3691"/>
      </w:tblGrid>
      <w:tr w:rsidR="004868CC" w:rsidRPr="001961AA" w14:paraId="6FFA1D56" w14:textId="77777777" w:rsidTr="00300C11">
        <w:trPr>
          <w:trHeight w:val="927"/>
          <w:tblHeader/>
        </w:trPr>
        <w:tc>
          <w:tcPr>
            <w:tcW w:w="681"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7103EEEF" w14:textId="3CB0E3CE" w:rsidR="006A41D9" w:rsidRPr="001961AA" w:rsidRDefault="006A41D9" w:rsidP="00BD6DD1">
            <w:pPr>
              <w:spacing w:after="0"/>
              <w:jc w:val="center"/>
              <w:rPr>
                <w:rFonts w:ascii="Times New Roman" w:eastAsia="Times New Roman" w:hAnsi="Times New Roman" w:cs="Times New Roman"/>
                <w:b/>
                <w:bCs/>
                <w:noProof/>
                <w:lang w:val="en-GB"/>
              </w:rPr>
            </w:pPr>
            <w:r w:rsidRPr="001961AA">
              <w:rPr>
                <w:rFonts w:ascii="Times New Roman" w:hAnsi="Times New Roman"/>
                <w:b/>
                <w:noProof/>
                <w:lang w:val="en-GB"/>
              </w:rPr>
              <w:t>Seq. Nb.</w:t>
            </w:r>
          </w:p>
        </w:tc>
        <w:tc>
          <w:tcPr>
            <w:tcW w:w="144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EF24D8C" w14:textId="77777777" w:rsidR="006A41D9" w:rsidRPr="001961AA" w:rsidRDefault="006A41D9" w:rsidP="00BD6DD1">
            <w:pPr>
              <w:spacing w:after="0"/>
              <w:jc w:val="center"/>
              <w:rPr>
                <w:rFonts w:ascii="Times New Roman" w:eastAsia="Times New Roman" w:hAnsi="Times New Roman" w:cs="Times New Roman"/>
                <w:b/>
                <w:bCs/>
                <w:noProof/>
                <w:lang w:val="en-GB"/>
              </w:rPr>
            </w:pPr>
            <w:r w:rsidRPr="001961AA">
              <w:rPr>
                <w:rFonts w:ascii="Times New Roman" w:hAnsi="Times New Roman"/>
                <w:b/>
                <w:noProof/>
                <w:lang w:val="en-GB"/>
              </w:rPr>
              <w:t>Related Measure (Reform or Investment)</w:t>
            </w:r>
          </w:p>
        </w:tc>
        <w:tc>
          <w:tcPr>
            <w:tcW w:w="120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7095BE1C" w14:textId="77777777" w:rsidR="006A41D9" w:rsidRPr="001961AA" w:rsidRDefault="006A41D9" w:rsidP="00BD6DD1">
            <w:pPr>
              <w:spacing w:after="0"/>
              <w:jc w:val="center"/>
              <w:rPr>
                <w:rFonts w:ascii="Times New Roman" w:eastAsia="Times New Roman" w:hAnsi="Times New Roman" w:cs="Times New Roman"/>
                <w:b/>
                <w:bCs/>
                <w:noProof/>
                <w:lang w:val="en-GB"/>
              </w:rPr>
            </w:pPr>
            <w:r w:rsidRPr="001961AA">
              <w:rPr>
                <w:rFonts w:ascii="Times New Roman" w:hAnsi="Times New Roman"/>
                <w:b/>
                <w:noProof/>
                <w:lang w:val="en-GB"/>
              </w:rPr>
              <w:t>Milestone / Target</w:t>
            </w:r>
          </w:p>
        </w:tc>
        <w:tc>
          <w:tcPr>
            <w:tcW w:w="180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BAB3899" w14:textId="77777777" w:rsidR="006A41D9" w:rsidRPr="001961AA" w:rsidRDefault="006A41D9" w:rsidP="00BD6DD1">
            <w:pPr>
              <w:spacing w:after="0"/>
              <w:jc w:val="center"/>
              <w:rPr>
                <w:rFonts w:ascii="Times New Roman" w:eastAsia="Times New Roman" w:hAnsi="Times New Roman" w:cs="Times New Roman"/>
                <w:b/>
                <w:bCs/>
                <w:noProof/>
                <w:lang w:val="en-GB"/>
              </w:rPr>
            </w:pPr>
            <w:r w:rsidRPr="001961AA">
              <w:rPr>
                <w:rFonts w:ascii="Times New Roman" w:hAnsi="Times New Roman"/>
                <w:b/>
                <w:noProof/>
                <w:lang w:val="en-GB"/>
              </w:rPr>
              <w:t>Name</w:t>
            </w:r>
          </w:p>
        </w:tc>
        <w:tc>
          <w:tcPr>
            <w:tcW w:w="228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2A72C4F" w14:textId="77777777" w:rsidR="006A41D9" w:rsidRPr="001961AA" w:rsidRDefault="006A41D9" w:rsidP="00BD6DD1">
            <w:pPr>
              <w:spacing w:after="0"/>
              <w:jc w:val="center"/>
              <w:rPr>
                <w:rFonts w:ascii="Times New Roman" w:eastAsia="Times New Roman" w:hAnsi="Times New Roman" w:cs="Times New Roman"/>
                <w:b/>
                <w:bCs/>
                <w:noProof/>
                <w:lang w:val="en-GB"/>
              </w:rPr>
            </w:pPr>
            <w:r w:rsidRPr="001961AA">
              <w:rPr>
                <w:rFonts w:ascii="Times New Roman" w:hAnsi="Times New Roman"/>
                <w:b/>
                <w:noProof/>
                <w:lang w:val="en-GB"/>
              </w:rPr>
              <w:t xml:space="preserve">Qualitative indicators </w:t>
            </w:r>
            <w:r w:rsidRPr="001961AA">
              <w:rPr>
                <w:noProof/>
                <w:lang w:val="en-GB"/>
              </w:rPr>
              <w:t xml:space="preserve"> </w:t>
            </w:r>
            <w:r w:rsidRPr="001961AA">
              <w:rPr>
                <w:noProof/>
                <w:lang w:val="en-GB"/>
              </w:rPr>
              <w:br/>
            </w:r>
            <w:r w:rsidRPr="001961AA">
              <w:rPr>
                <w:rFonts w:ascii="Times New Roman" w:hAnsi="Times New Roman"/>
                <w:b/>
                <w:noProof/>
                <w:lang w:val="en-GB"/>
              </w:rPr>
              <w:t>(for milestones)</w:t>
            </w:r>
          </w:p>
        </w:tc>
        <w:tc>
          <w:tcPr>
            <w:tcW w:w="3000" w:type="dxa"/>
            <w:gridSpan w:val="3"/>
            <w:tcBorders>
              <w:top w:val="single" w:sz="4" w:space="0" w:color="auto"/>
              <w:left w:val="single" w:sz="4" w:space="0" w:color="auto"/>
              <w:bottom w:val="single" w:sz="4" w:space="0" w:color="auto"/>
              <w:right w:val="single" w:sz="4" w:space="0" w:color="auto"/>
            </w:tcBorders>
            <w:shd w:val="clear" w:color="auto" w:fill="BDD7EE"/>
            <w:vAlign w:val="center"/>
            <w:hideMark/>
          </w:tcPr>
          <w:p w14:paraId="525BADA9" w14:textId="77777777" w:rsidR="006A41D9" w:rsidRPr="001961AA" w:rsidRDefault="006A41D9" w:rsidP="00BD6DD1">
            <w:pPr>
              <w:spacing w:after="0"/>
              <w:jc w:val="center"/>
              <w:rPr>
                <w:rFonts w:ascii="Times New Roman" w:eastAsia="Times New Roman" w:hAnsi="Times New Roman" w:cs="Times New Roman"/>
                <w:b/>
                <w:bCs/>
                <w:noProof/>
                <w:lang w:val="en-GB"/>
              </w:rPr>
            </w:pPr>
            <w:r w:rsidRPr="001961AA">
              <w:rPr>
                <w:rFonts w:ascii="Times New Roman" w:hAnsi="Times New Roman"/>
                <w:b/>
                <w:noProof/>
                <w:lang w:val="en-GB"/>
              </w:rPr>
              <w:t xml:space="preserve">Quantitative indicators </w:t>
            </w:r>
            <w:r w:rsidRPr="001961AA">
              <w:rPr>
                <w:noProof/>
                <w:lang w:val="en-GB"/>
              </w:rPr>
              <w:t xml:space="preserve"> </w:t>
            </w:r>
            <w:r w:rsidRPr="001961AA">
              <w:rPr>
                <w:noProof/>
                <w:lang w:val="en-GB"/>
              </w:rPr>
              <w:br/>
            </w:r>
            <w:r w:rsidRPr="001961AA">
              <w:rPr>
                <w:rFonts w:ascii="Times New Roman" w:hAnsi="Times New Roman"/>
                <w:b/>
                <w:noProof/>
                <w:lang w:val="en-GB"/>
              </w:rPr>
              <w:t>(for targets)</w:t>
            </w:r>
          </w:p>
        </w:tc>
        <w:tc>
          <w:tcPr>
            <w:tcW w:w="1800" w:type="dxa"/>
            <w:gridSpan w:val="2"/>
            <w:tcBorders>
              <w:top w:val="single" w:sz="4" w:space="0" w:color="auto"/>
              <w:left w:val="nil"/>
              <w:bottom w:val="single" w:sz="4" w:space="0" w:color="auto"/>
              <w:right w:val="single" w:sz="4" w:space="0" w:color="auto"/>
            </w:tcBorders>
            <w:shd w:val="clear" w:color="auto" w:fill="BDD7EE"/>
            <w:vAlign w:val="center"/>
            <w:hideMark/>
          </w:tcPr>
          <w:p w14:paraId="222219DE" w14:textId="77777777" w:rsidR="006A41D9" w:rsidRPr="001961AA" w:rsidRDefault="006A41D9" w:rsidP="00BD6DD1">
            <w:pPr>
              <w:spacing w:after="0"/>
              <w:jc w:val="center"/>
              <w:rPr>
                <w:rFonts w:ascii="Times New Roman" w:eastAsia="Times New Roman" w:hAnsi="Times New Roman" w:cs="Times New Roman"/>
                <w:b/>
                <w:bCs/>
                <w:noProof/>
                <w:lang w:val="en-GB"/>
              </w:rPr>
            </w:pPr>
            <w:r w:rsidRPr="001961AA">
              <w:rPr>
                <w:rFonts w:ascii="Times New Roman" w:hAnsi="Times New Roman"/>
                <w:b/>
                <w:noProof/>
                <w:lang w:val="en-GB"/>
              </w:rPr>
              <w:t xml:space="preserve">Indicative timeline for completion </w:t>
            </w:r>
          </w:p>
        </w:tc>
        <w:tc>
          <w:tcPr>
            <w:tcW w:w="3691"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1471B97" w14:textId="77777777" w:rsidR="006A41D9" w:rsidRPr="001961AA" w:rsidRDefault="006A41D9" w:rsidP="00BD6DD1">
            <w:pPr>
              <w:spacing w:after="0"/>
              <w:jc w:val="center"/>
              <w:rPr>
                <w:rFonts w:ascii="Times New Roman" w:eastAsia="Times New Roman" w:hAnsi="Times New Roman" w:cs="Times New Roman"/>
                <w:b/>
                <w:bCs/>
                <w:noProof/>
                <w:lang w:val="en-GB"/>
              </w:rPr>
            </w:pPr>
            <w:r w:rsidRPr="001961AA">
              <w:rPr>
                <w:rFonts w:ascii="Times New Roman" w:hAnsi="Times New Roman"/>
                <w:b/>
                <w:noProof/>
                <w:lang w:val="en-GB"/>
              </w:rPr>
              <w:t>Description of each milestone and target</w:t>
            </w:r>
          </w:p>
        </w:tc>
      </w:tr>
      <w:tr w:rsidR="004868CC" w:rsidRPr="001961AA" w14:paraId="20470D8F" w14:textId="77777777" w:rsidTr="00300C11">
        <w:trPr>
          <w:trHeight w:val="1013"/>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69444FE5" w14:textId="77777777" w:rsidR="006A41D9" w:rsidRPr="001961AA" w:rsidRDefault="006A41D9" w:rsidP="00BD6DD1">
            <w:pPr>
              <w:spacing w:after="0"/>
              <w:rPr>
                <w:rFonts w:ascii="Times New Roman" w:eastAsia="Times New Roman" w:hAnsi="Times New Roman" w:cs="Times New Roman"/>
                <w:b/>
                <w:bCs/>
                <w:noProof/>
                <w:szCs w:val="24"/>
                <w:lang w:val="en-GB" w:eastAsia="en-GB"/>
              </w:rPr>
            </w:pPr>
          </w:p>
        </w:tc>
        <w:tc>
          <w:tcPr>
            <w:tcW w:w="1446" w:type="dxa"/>
            <w:vMerge/>
            <w:tcBorders>
              <w:top w:val="single" w:sz="4" w:space="0" w:color="auto"/>
              <w:left w:val="single" w:sz="4" w:space="0" w:color="auto"/>
              <w:bottom w:val="single" w:sz="4" w:space="0" w:color="auto"/>
              <w:right w:val="single" w:sz="4" w:space="0" w:color="auto"/>
            </w:tcBorders>
            <w:vAlign w:val="center"/>
            <w:hideMark/>
          </w:tcPr>
          <w:p w14:paraId="7CB9F481" w14:textId="77777777" w:rsidR="006A41D9" w:rsidRPr="001961AA" w:rsidRDefault="006A41D9" w:rsidP="00BD6DD1">
            <w:pPr>
              <w:spacing w:after="0"/>
              <w:rPr>
                <w:rFonts w:ascii="Times New Roman" w:eastAsia="Times New Roman" w:hAnsi="Times New Roman" w:cs="Times New Roman"/>
                <w:b/>
                <w:bCs/>
                <w:noProof/>
                <w:szCs w:val="24"/>
                <w:lang w:val="en-GB" w:eastAsia="en-GB"/>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14:paraId="04E603C9" w14:textId="77777777" w:rsidR="006A41D9" w:rsidRPr="001961AA" w:rsidRDefault="006A41D9" w:rsidP="00BD6DD1">
            <w:pPr>
              <w:spacing w:after="0"/>
              <w:rPr>
                <w:rFonts w:ascii="Times New Roman" w:eastAsia="Times New Roman" w:hAnsi="Times New Roman" w:cs="Times New Roman"/>
                <w:b/>
                <w:bCs/>
                <w:noProof/>
                <w:szCs w:val="24"/>
                <w:lang w:val="en-GB" w:eastAsia="en-GB"/>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14:paraId="072BE082" w14:textId="77777777" w:rsidR="006A41D9" w:rsidRPr="001961AA" w:rsidRDefault="006A41D9" w:rsidP="00BD6DD1">
            <w:pPr>
              <w:spacing w:after="0"/>
              <w:rPr>
                <w:rFonts w:ascii="Times New Roman" w:eastAsia="Times New Roman" w:hAnsi="Times New Roman" w:cs="Times New Roman"/>
                <w:b/>
                <w:bCs/>
                <w:noProof/>
                <w:szCs w:val="24"/>
                <w:lang w:val="en-GB" w:eastAsia="en-GB"/>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14:paraId="39508E54" w14:textId="77777777" w:rsidR="006A41D9" w:rsidRPr="001961AA" w:rsidRDefault="006A41D9" w:rsidP="00BD6DD1">
            <w:pPr>
              <w:spacing w:after="0"/>
              <w:rPr>
                <w:rFonts w:ascii="Times New Roman" w:eastAsia="Times New Roman" w:hAnsi="Times New Roman" w:cs="Times New Roman"/>
                <w:b/>
                <w:bCs/>
                <w:noProof/>
                <w:szCs w:val="24"/>
                <w:lang w:val="en-GB" w:eastAsia="en-GB"/>
              </w:rPr>
            </w:pPr>
          </w:p>
        </w:tc>
        <w:tc>
          <w:tcPr>
            <w:tcW w:w="1200" w:type="dxa"/>
            <w:tcBorders>
              <w:top w:val="nil"/>
              <w:left w:val="single" w:sz="4" w:space="0" w:color="auto"/>
              <w:bottom w:val="single" w:sz="4" w:space="0" w:color="auto"/>
              <w:right w:val="single" w:sz="4" w:space="0" w:color="auto"/>
            </w:tcBorders>
            <w:shd w:val="clear" w:color="auto" w:fill="BDD7EE"/>
            <w:vAlign w:val="center"/>
            <w:hideMark/>
          </w:tcPr>
          <w:p w14:paraId="627101B5" w14:textId="77777777" w:rsidR="006A41D9" w:rsidRPr="001961AA" w:rsidRDefault="006A41D9" w:rsidP="00BD6DD1">
            <w:pPr>
              <w:spacing w:after="0"/>
              <w:jc w:val="center"/>
              <w:rPr>
                <w:rFonts w:ascii="Times New Roman" w:eastAsia="Times New Roman" w:hAnsi="Times New Roman" w:cs="Times New Roman"/>
                <w:b/>
                <w:noProof/>
                <w:lang w:val="en-GB"/>
              </w:rPr>
            </w:pPr>
            <w:r w:rsidRPr="001961AA">
              <w:rPr>
                <w:rFonts w:ascii="Times New Roman" w:hAnsi="Times New Roman"/>
                <w:b/>
                <w:noProof/>
                <w:lang w:val="en-GB"/>
              </w:rPr>
              <w:t>Unit of measure</w:t>
            </w:r>
          </w:p>
        </w:tc>
        <w:tc>
          <w:tcPr>
            <w:tcW w:w="1080" w:type="dxa"/>
            <w:tcBorders>
              <w:top w:val="nil"/>
              <w:left w:val="nil"/>
              <w:bottom w:val="single" w:sz="4" w:space="0" w:color="auto"/>
              <w:right w:val="single" w:sz="4" w:space="0" w:color="auto"/>
            </w:tcBorders>
            <w:shd w:val="clear" w:color="auto" w:fill="BDD7EE"/>
            <w:vAlign w:val="center"/>
            <w:hideMark/>
          </w:tcPr>
          <w:p w14:paraId="245B6AC0" w14:textId="77777777" w:rsidR="006A41D9" w:rsidRPr="001961AA" w:rsidRDefault="006A41D9" w:rsidP="00BD6DD1">
            <w:pPr>
              <w:spacing w:after="0"/>
              <w:jc w:val="center"/>
              <w:rPr>
                <w:rFonts w:ascii="Times New Roman" w:eastAsia="Times New Roman" w:hAnsi="Times New Roman" w:cs="Times New Roman"/>
                <w:b/>
                <w:noProof/>
                <w:lang w:val="en-GB"/>
              </w:rPr>
            </w:pPr>
            <w:r w:rsidRPr="001961AA">
              <w:rPr>
                <w:rFonts w:ascii="Times New Roman" w:hAnsi="Times New Roman"/>
                <w:b/>
                <w:noProof/>
                <w:lang w:val="en-GB"/>
              </w:rPr>
              <w:t xml:space="preserve">Baseline </w:t>
            </w:r>
          </w:p>
        </w:tc>
        <w:tc>
          <w:tcPr>
            <w:tcW w:w="720" w:type="dxa"/>
            <w:tcBorders>
              <w:top w:val="nil"/>
              <w:left w:val="nil"/>
              <w:bottom w:val="single" w:sz="4" w:space="0" w:color="auto"/>
              <w:right w:val="single" w:sz="4" w:space="0" w:color="auto"/>
            </w:tcBorders>
            <w:shd w:val="clear" w:color="auto" w:fill="BDD7EE"/>
            <w:vAlign w:val="center"/>
            <w:hideMark/>
          </w:tcPr>
          <w:p w14:paraId="621B141A" w14:textId="77777777" w:rsidR="006A41D9" w:rsidRPr="001961AA" w:rsidRDefault="006A41D9" w:rsidP="00BD6DD1">
            <w:pPr>
              <w:spacing w:after="0"/>
              <w:jc w:val="center"/>
              <w:rPr>
                <w:rFonts w:ascii="Times New Roman" w:eastAsia="Times New Roman" w:hAnsi="Times New Roman" w:cs="Times New Roman"/>
                <w:b/>
                <w:noProof/>
                <w:lang w:val="en-GB"/>
              </w:rPr>
            </w:pPr>
            <w:r w:rsidRPr="001961AA">
              <w:rPr>
                <w:rFonts w:ascii="Times New Roman" w:hAnsi="Times New Roman"/>
                <w:b/>
                <w:noProof/>
                <w:lang w:val="en-GB"/>
              </w:rPr>
              <w:t xml:space="preserve">Goal </w:t>
            </w:r>
          </w:p>
        </w:tc>
        <w:tc>
          <w:tcPr>
            <w:tcW w:w="1080" w:type="dxa"/>
            <w:tcBorders>
              <w:top w:val="nil"/>
              <w:left w:val="nil"/>
              <w:bottom w:val="single" w:sz="4" w:space="0" w:color="auto"/>
              <w:right w:val="single" w:sz="4" w:space="0" w:color="auto"/>
            </w:tcBorders>
            <w:shd w:val="clear" w:color="auto" w:fill="BDD7EE"/>
            <w:vAlign w:val="center"/>
            <w:hideMark/>
          </w:tcPr>
          <w:p w14:paraId="43DF06CE" w14:textId="77777777" w:rsidR="006A41D9" w:rsidRPr="001961AA" w:rsidRDefault="006A41D9" w:rsidP="00BD6DD1">
            <w:pPr>
              <w:spacing w:after="0"/>
              <w:jc w:val="center"/>
              <w:rPr>
                <w:rFonts w:ascii="Times New Roman" w:eastAsia="Times New Roman" w:hAnsi="Times New Roman" w:cs="Times New Roman"/>
                <w:b/>
                <w:noProof/>
                <w:lang w:val="en-GB"/>
              </w:rPr>
            </w:pPr>
            <w:r w:rsidRPr="001961AA">
              <w:rPr>
                <w:rFonts w:ascii="Times New Roman" w:hAnsi="Times New Roman"/>
                <w:b/>
                <w:noProof/>
                <w:lang w:val="en-GB"/>
              </w:rPr>
              <w:t>Quarter</w:t>
            </w:r>
          </w:p>
        </w:tc>
        <w:tc>
          <w:tcPr>
            <w:tcW w:w="720" w:type="dxa"/>
            <w:tcBorders>
              <w:top w:val="nil"/>
              <w:left w:val="nil"/>
              <w:bottom w:val="single" w:sz="4" w:space="0" w:color="auto"/>
              <w:right w:val="single" w:sz="4" w:space="0" w:color="auto"/>
            </w:tcBorders>
            <w:shd w:val="clear" w:color="auto" w:fill="BDD7EE"/>
            <w:vAlign w:val="center"/>
            <w:hideMark/>
          </w:tcPr>
          <w:p w14:paraId="5E14F31D" w14:textId="77777777" w:rsidR="006A41D9" w:rsidRPr="001961AA" w:rsidRDefault="006A41D9" w:rsidP="00BD6DD1">
            <w:pPr>
              <w:spacing w:after="0"/>
              <w:jc w:val="center"/>
              <w:rPr>
                <w:rFonts w:ascii="Times New Roman" w:eastAsia="Times New Roman" w:hAnsi="Times New Roman" w:cs="Times New Roman"/>
                <w:b/>
                <w:noProof/>
                <w:lang w:val="en-GB"/>
              </w:rPr>
            </w:pPr>
            <w:r w:rsidRPr="001961AA">
              <w:rPr>
                <w:rFonts w:ascii="Times New Roman" w:hAnsi="Times New Roman"/>
                <w:b/>
                <w:noProof/>
                <w:lang w:val="en-GB"/>
              </w:rPr>
              <w:t>Year</w:t>
            </w:r>
          </w:p>
        </w:tc>
        <w:tc>
          <w:tcPr>
            <w:tcW w:w="3691" w:type="dxa"/>
            <w:vMerge/>
            <w:tcBorders>
              <w:top w:val="single" w:sz="4" w:space="0" w:color="auto"/>
              <w:bottom w:val="single" w:sz="4" w:space="0" w:color="auto"/>
              <w:right w:val="single" w:sz="4" w:space="0" w:color="auto"/>
            </w:tcBorders>
            <w:vAlign w:val="center"/>
            <w:hideMark/>
          </w:tcPr>
          <w:p w14:paraId="64BF770D" w14:textId="77777777" w:rsidR="006A41D9" w:rsidRPr="001961AA" w:rsidRDefault="006A41D9" w:rsidP="00BD6DD1">
            <w:pPr>
              <w:spacing w:after="0"/>
              <w:rPr>
                <w:rFonts w:ascii="Times New Roman" w:eastAsia="Times New Roman" w:hAnsi="Times New Roman" w:cs="Times New Roman"/>
                <w:b/>
                <w:bCs/>
                <w:noProof/>
                <w:szCs w:val="24"/>
                <w:lang w:val="en-GB" w:eastAsia="en-GB"/>
              </w:rPr>
            </w:pPr>
          </w:p>
        </w:tc>
      </w:tr>
      <w:tr w:rsidR="004868CC" w:rsidRPr="001961AA" w14:paraId="19636527" w14:textId="77777777" w:rsidTr="00300C11">
        <w:trPr>
          <w:trHeight w:val="309"/>
        </w:trPr>
        <w:tc>
          <w:tcPr>
            <w:tcW w:w="68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5043822"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179</w:t>
            </w:r>
          </w:p>
        </w:tc>
        <w:tc>
          <w:tcPr>
            <w:tcW w:w="1446" w:type="dxa"/>
            <w:tcBorders>
              <w:top w:val="single" w:sz="4" w:space="0" w:color="auto"/>
              <w:left w:val="nil"/>
              <w:bottom w:val="single" w:sz="4" w:space="0" w:color="auto"/>
              <w:right w:val="single" w:sz="4" w:space="0" w:color="auto"/>
            </w:tcBorders>
            <w:shd w:val="clear" w:color="auto" w:fill="C6EFCE"/>
            <w:noWrap/>
            <w:vAlign w:val="center"/>
          </w:tcPr>
          <w:p w14:paraId="7DEA36B5"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Nuclear medicine (I-5.08)</w:t>
            </w:r>
          </w:p>
        </w:tc>
        <w:tc>
          <w:tcPr>
            <w:tcW w:w="1200" w:type="dxa"/>
            <w:tcBorders>
              <w:top w:val="single" w:sz="4" w:space="0" w:color="auto"/>
              <w:left w:val="nil"/>
              <w:bottom w:val="single" w:sz="4" w:space="0" w:color="auto"/>
              <w:right w:val="single" w:sz="4" w:space="0" w:color="auto"/>
            </w:tcBorders>
            <w:shd w:val="clear" w:color="auto" w:fill="C6EFCE"/>
            <w:noWrap/>
            <w:vAlign w:val="center"/>
          </w:tcPr>
          <w:p w14:paraId="1D41AD1A" w14:textId="3A889CE2"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M</w:t>
            </w:r>
          </w:p>
        </w:tc>
        <w:tc>
          <w:tcPr>
            <w:tcW w:w="1800" w:type="dxa"/>
            <w:tcBorders>
              <w:top w:val="single" w:sz="4" w:space="0" w:color="auto"/>
              <w:left w:val="nil"/>
              <w:bottom w:val="single" w:sz="4" w:space="0" w:color="auto"/>
              <w:right w:val="single" w:sz="4" w:space="0" w:color="auto"/>
            </w:tcBorders>
            <w:shd w:val="clear" w:color="auto" w:fill="C6EFCE"/>
            <w:noWrap/>
            <w:vAlign w:val="center"/>
          </w:tcPr>
          <w:p w14:paraId="7B9A6EEC"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Radioisotope facility constructed and commissioned (FANC and FAGG)</w:t>
            </w:r>
          </w:p>
        </w:tc>
        <w:tc>
          <w:tcPr>
            <w:tcW w:w="2280" w:type="dxa"/>
            <w:tcBorders>
              <w:top w:val="single" w:sz="4" w:space="0" w:color="auto"/>
              <w:left w:val="nil"/>
              <w:bottom w:val="single" w:sz="4" w:space="0" w:color="auto"/>
              <w:right w:val="single" w:sz="4" w:space="0" w:color="auto"/>
            </w:tcBorders>
            <w:shd w:val="clear" w:color="auto" w:fill="C6EFCE"/>
            <w:noWrap/>
            <w:vAlign w:val="center"/>
          </w:tcPr>
          <w:p w14:paraId="6E9E4194"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Facility constructed and operational.</w:t>
            </w:r>
          </w:p>
        </w:tc>
        <w:tc>
          <w:tcPr>
            <w:tcW w:w="1200" w:type="dxa"/>
            <w:tcBorders>
              <w:top w:val="nil"/>
              <w:left w:val="nil"/>
              <w:bottom w:val="single" w:sz="4" w:space="0" w:color="auto"/>
              <w:right w:val="single" w:sz="4" w:space="0" w:color="auto"/>
            </w:tcBorders>
            <w:shd w:val="clear" w:color="auto" w:fill="C6EFCE"/>
            <w:noWrap/>
            <w:vAlign w:val="center"/>
          </w:tcPr>
          <w:p w14:paraId="4846AFB2" w14:textId="77777777" w:rsidR="006A41D9" w:rsidRPr="001961AA" w:rsidRDefault="006A41D9" w:rsidP="00BD6DD1">
            <w:pPr>
              <w:spacing w:after="0"/>
              <w:jc w:val="center"/>
              <w:rPr>
                <w:rFonts w:ascii="Times New Roman" w:eastAsia="Times New Roman" w:hAnsi="Times New Roman" w:cs="Times New Roman"/>
                <w:noProof/>
                <w:color w:val="006100"/>
                <w:lang w:val="en-GB" w:eastAsia="en-GB"/>
              </w:rPr>
            </w:pPr>
          </w:p>
        </w:tc>
        <w:tc>
          <w:tcPr>
            <w:tcW w:w="1080" w:type="dxa"/>
            <w:tcBorders>
              <w:top w:val="nil"/>
              <w:left w:val="nil"/>
              <w:bottom w:val="single" w:sz="4" w:space="0" w:color="auto"/>
              <w:right w:val="single" w:sz="4" w:space="0" w:color="auto"/>
            </w:tcBorders>
            <w:shd w:val="clear" w:color="auto" w:fill="C6EFCE"/>
            <w:noWrap/>
            <w:vAlign w:val="center"/>
          </w:tcPr>
          <w:p w14:paraId="5ACF0CEA" w14:textId="77777777" w:rsidR="006A41D9" w:rsidRPr="001961AA" w:rsidRDefault="006A41D9" w:rsidP="00BD6DD1">
            <w:pPr>
              <w:spacing w:after="0"/>
              <w:jc w:val="center"/>
              <w:rPr>
                <w:rFonts w:ascii="Times New Roman" w:eastAsia="Times New Roman" w:hAnsi="Times New Roman" w:cs="Times New Roman"/>
                <w:noProof/>
                <w:color w:val="006100"/>
                <w:lang w:val="en-GB" w:eastAsia="en-GB"/>
              </w:rPr>
            </w:pPr>
          </w:p>
        </w:tc>
        <w:tc>
          <w:tcPr>
            <w:tcW w:w="720" w:type="dxa"/>
            <w:tcBorders>
              <w:top w:val="nil"/>
              <w:left w:val="nil"/>
              <w:bottom w:val="single" w:sz="4" w:space="0" w:color="auto"/>
              <w:right w:val="single" w:sz="4" w:space="0" w:color="auto"/>
            </w:tcBorders>
            <w:shd w:val="clear" w:color="auto" w:fill="C6EFCE"/>
            <w:noWrap/>
            <w:vAlign w:val="center"/>
          </w:tcPr>
          <w:p w14:paraId="542F5143" w14:textId="77777777" w:rsidR="006A41D9" w:rsidRPr="001961AA" w:rsidRDefault="006A41D9" w:rsidP="00BD6DD1">
            <w:pPr>
              <w:spacing w:after="0"/>
              <w:jc w:val="center"/>
              <w:rPr>
                <w:rFonts w:ascii="Times New Roman" w:eastAsia="Times New Roman" w:hAnsi="Times New Roman" w:cs="Times New Roman"/>
                <w:noProof/>
                <w:color w:val="006100"/>
                <w:lang w:val="en-GB" w:eastAsia="en-GB"/>
              </w:rPr>
            </w:pPr>
          </w:p>
        </w:tc>
        <w:tc>
          <w:tcPr>
            <w:tcW w:w="1080" w:type="dxa"/>
            <w:tcBorders>
              <w:top w:val="nil"/>
              <w:left w:val="nil"/>
              <w:bottom w:val="single" w:sz="4" w:space="0" w:color="auto"/>
              <w:right w:val="single" w:sz="4" w:space="0" w:color="auto"/>
            </w:tcBorders>
            <w:shd w:val="clear" w:color="auto" w:fill="C6EFCE"/>
            <w:noWrap/>
            <w:vAlign w:val="center"/>
          </w:tcPr>
          <w:p w14:paraId="364D5287"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Q2</w:t>
            </w:r>
          </w:p>
        </w:tc>
        <w:tc>
          <w:tcPr>
            <w:tcW w:w="720" w:type="dxa"/>
            <w:tcBorders>
              <w:top w:val="nil"/>
              <w:left w:val="nil"/>
              <w:bottom w:val="single" w:sz="4" w:space="0" w:color="auto"/>
              <w:right w:val="single" w:sz="4" w:space="0" w:color="auto"/>
            </w:tcBorders>
            <w:shd w:val="clear" w:color="auto" w:fill="C6EFCE"/>
            <w:noWrap/>
            <w:vAlign w:val="center"/>
          </w:tcPr>
          <w:p w14:paraId="4F63E10E" w14:textId="639B74FB"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2026</w:t>
            </w:r>
          </w:p>
        </w:tc>
        <w:tc>
          <w:tcPr>
            <w:tcW w:w="3691" w:type="dxa"/>
            <w:tcBorders>
              <w:top w:val="single" w:sz="4" w:space="0" w:color="auto"/>
              <w:left w:val="nil"/>
              <w:bottom w:val="single" w:sz="4" w:space="0" w:color="auto"/>
              <w:right w:val="single" w:sz="4" w:space="0" w:color="auto"/>
            </w:tcBorders>
            <w:shd w:val="clear" w:color="auto" w:fill="C6EFCE"/>
            <w:noWrap/>
            <w:vAlign w:val="center"/>
          </w:tcPr>
          <w:p w14:paraId="45BDB206" w14:textId="41C64740"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The 177Lu radioisotope facility has been constructed and is operational, having obtained all the necessary licenses from the Agence fédérale de Contrôle nucléaire (FANC) and the Federal Agency for Medicines and Health Products (FAGG) and in compliance with all the applicable legislation on the Federal and Flemish level related to Directive 2011/92.</w:t>
            </w:r>
          </w:p>
        </w:tc>
      </w:tr>
      <w:tr w:rsidR="004868CC" w:rsidRPr="001961AA" w14:paraId="6F2ED2D5" w14:textId="77777777" w:rsidTr="00300C11">
        <w:trPr>
          <w:trHeight w:val="309"/>
        </w:trPr>
        <w:tc>
          <w:tcPr>
            <w:tcW w:w="68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52C3BE6"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180</w:t>
            </w:r>
          </w:p>
        </w:tc>
        <w:tc>
          <w:tcPr>
            <w:tcW w:w="1446" w:type="dxa"/>
            <w:tcBorders>
              <w:top w:val="single" w:sz="4" w:space="0" w:color="auto"/>
              <w:left w:val="nil"/>
              <w:bottom w:val="single" w:sz="4" w:space="0" w:color="auto"/>
              <w:right w:val="single" w:sz="4" w:space="0" w:color="auto"/>
            </w:tcBorders>
            <w:shd w:val="clear" w:color="auto" w:fill="C6EFCE"/>
            <w:noWrap/>
            <w:vAlign w:val="center"/>
          </w:tcPr>
          <w:p w14:paraId="5D0298E8"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Nuclear medicine (I-5.08)</w:t>
            </w:r>
          </w:p>
        </w:tc>
        <w:tc>
          <w:tcPr>
            <w:tcW w:w="1200" w:type="dxa"/>
            <w:tcBorders>
              <w:top w:val="single" w:sz="4" w:space="0" w:color="auto"/>
              <w:left w:val="nil"/>
              <w:bottom w:val="single" w:sz="4" w:space="0" w:color="auto"/>
              <w:right w:val="single" w:sz="4" w:space="0" w:color="auto"/>
            </w:tcBorders>
            <w:shd w:val="clear" w:color="auto" w:fill="C6EFCE"/>
            <w:noWrap/>
            <w:vAlign w:val="center"/>
          </w:tcPr>
          <w:p w14:paraId="47B0D885" w14:textId="58627095"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M</w:t>
            </w:r>
          </w:p>
        </w:tc>
        <w:tc>
          <w:tcPr>
            <w:tcW w:w="1800" w:type="dxa"/>
            <w:tcBorders>
              <w:top w:val="single" w:sz="4" w:space="0" w:color="auto"/>
              <w:left w:val="nil"/>
              <w:bottom w:val="single" w:sz="4" w:space="0" w:color="auto"/>
              <w:right w:val="single" w:sz="4" w:space="0" w:color="auto"/>
            </w:tcBorders>
            <w:shd w:val="clear" w:color="auto" w:fill="C6EFCE"/>
            <w:noWrap/>
            <w:vAlign w:val="center"/>
          </w:tcPr>
          <w:p w14:paraId="666F30CB"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Technology package finalised</w:t>
            </w:r>
          </w:p>
        </w:tc>
        <w:tc>
          <w:tcPr>
            <w:tcW w:w="2280" w:type="dxa"/>
            <w:tcBorders>
              <w:top w:val="single" w:sz="4" w:space="0" w:color="auto"/>
              <w:left w:val="nil"/>
              <w:bottom w:val="single" w:sz="4" w:space="0" w:color="auto"/>
              <w:right w:val="single" w:sz="4" w:space="0" w:color="auto"/>
            </w:tcBorders>
            <w:shd w:val="clear" w:color="auto" w:fill="C6EFCE"/>
            <w:noWrap/>
            <w:vAlign w:val="center"/>
          </w:tcPr>
          <w:p w14:paraId="52AFCAB7"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Feasibility report describing the technological package needed for investors to proceed to the large-scale production of 225Ac from 226Ra published</w:t>
            </w:r>
          </w:p>
        </w:tc>
        <w:tc>
          <w:tcPr>
            <w:tcW w:w="1200" w:type="dxa"/>
            <w:tcBorders>
              <w:top w:val="single" w:sz="4" w:space="0" w:color="auto"/>
              <w:left w:val="nil"/>
              <w:bottom w:val="single" w:sz="4" w:space="0" w:color="auto"/>
              <w:right w:val="single" w:sz="4" w:space="0" w:color="auto"/>
            </w:tcBorders>
            <w:shd w:val="clear" w:color="auto" w:fill="C6EFCE"/>
            <w:noWrap/>
            <w:vAlign w:val="center"/>
          </w:tcPr>
          <w:p w14:paraId="3D00A8B2" w14:textId="77777777" w:rsidR="006A41D9" w:rsidRPr="001961AA" w:rsidRDefault="006A41D9" w:rsidP="00BD6DD1">
            <w:pPr>
              <w:spacing w:after="0"/>
              <w:jc w:val="center"/>
              <w:rPr>
                <w:rFonts w:ascii="Times New Roman" w:eastAsia="Times New Roman" w:hAnsi="Times New Roman" w:cs="Times New Roman"/>
                <w:noProof/>
                <w:color w:val="006100"/>
                <w:lang w:val="en-GB" w:eastAsia="en-GB"/>
              </w:rPr>
            </w:pPr>
          </w:p>
        </w:tc>
        <w:tc>
          <w:tcPr>
            <w:tcW w:w="1080" w:type="dxa"/>
            <w:tcBorders>
              <w:top w:val="single" w:sz="4" w:space="0" w:color="auto"/>
              <w:left w:val="nil"/>
              <w:bottom w:val="single" w:sz="4" w:space="0" w:color="auto"/>
              <w:right w:val="single" w:sz="4" w:space="0" w:color="auto"/>
            </w:tcBorders>
            <w:shd w:val="clear" w:color="auto" w:fill="C6EFCE"/>
            <w:noWrap/>
            <w:vAlign w:val="center"/>
          </w:tcPr>
          <w:p w14:paraId="5D5482D0" w14:textId="77777777" w:rsidR="006A41D9" w:rsidRPr="001961AA" w:rsidRDefault="006A41D9" w:rsidP="00BD6DD1">
            <w:pPr>
              <w:spacing w:after="0"/>
              <w:jc w:val="center"/>
              <w:rPr>
                <w:rFonts w:ascii="Times New Roman" w:eastAsia="Times New Roman" w:hAnsi="Times New Roman" w:cs="Times New Roman"/>
                <w:noProof/>
                <w:color w:val="006100"/>
                <w:lang w:val="en-GB" w:eastAsia="en-GB"/>
              </w:rPr>
            </w:pPr>
          </w:p>
        </w:tc>
        <w:tc>
          <w:tcPr>
            <w:tcW w:w="720" w:type="dxa"/>
            <w:tcBorders>
              <w:top w:val="single" w:sz="4" w:space="0" w:color="auto"/>
              <w:left w:val="nil"/>
              <w:bottom w:val="single" w:sz="4" w:space="0" w:color="auto"/>
              <w:right w:val="single" w:sz="4" w:space="0" w:color="auto"/>
            </w:tcBorders>
            <w:shd w:val="clear" w:color="auto" w:fill="C6EFCE"/>
            <w:noWrap/>
            <w:vAlign w:val="center"/>
          </w:tcPr>
          <w:p w14:paraId="0E2B50B7" w14:textId="77777777" w:rsidR="006A41D9" w:rsidRPr="001961AA" w:rsidRDefault="006A41D9" w:rsidP="00BD6DD1">
            <w:pPr>
              <w:spacing w:after="0"/>
              <w:jc w:val="center"/>
              <w:rPr>
                <w:rFonts w:ascii="Times New Roman" w:eastAsia="Times New Roman" w:hAnsi="Times New Roman" w:cs="Times New Roman"/>
                <w:noProof/>
                <w:color w:val="006100"/>
                <w:lang w:val="en-GB" w:eastAsia="en-GB"/>
              </w:rPr>
            </w:pPr>
          </w:p>
        </w:tc>
        <w:tc>
          <w:tcPr>
            <w:tcW w:w="1080" w:type="dxa"/>
            <w:tcBorders>
              <w:top w:val="single" w:sz="4" w:space="0" w:color="auto"/>
              <w:left w:val="nil"/>
              <w:bottom w:val="single" w:sz="4" w:space="0" w:color="auto"/>
              <w:right w:val="single" w:sz="4" w:space="0" w:color="auto"/>
            </w:tcBorders>
            <w:shd w:val="clear" w:color="auto" w:fill="C6EFCE"/>
            <w:noWrap/>
            <w:vAlign w:val="center"/>
          </w:tcPr>
          <w:p w14:paraId="2EC42638"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Q4</w:t>
            </w:r>
          </w:p>
        </w:tc>
        <w:tc>
          <w:tcPr>
            <w:tcW w:w="720" w:type="dxa"/>
            <w:tcBorders>
              <w:top w:val="single" w:sz="4" w:space="0" w:color="auto"/>
              <w:left w:val="nil"/>
              <w:bottom w:val="single" w:sz="4" w:space="0" w:color="auto"/>
              <w:right w:val="single" w:sz="4" w:space="0" w:color="auto"/>
            </w:tcBorders>
            <w:shd w:val="clear" w:color="auto" w:fill="C6EFCE"/>
            <w:noWrap/>
            <w:vAlign w:val="center"/>
          </w:tcPr>
          <w:p w14:paraId="35FAEC7D"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2024</w:t>
            </w:r>
          </w:p>
        </w:tc>
        <w:tc>
          <w:tcPr>
            <w:tcW w:w="3691" w:type="dxa"/>
            <w:tcBorders>
              <w:top w:val="single" w:sz="4" w:space="0" w:color="auto"/>
              <w:left w:val="nil"/>
              <w:bottom w:val="single" w:sz="4" w:space="0" w:color="auto"/>
              <w:right w:val="single" w:sz="4" w:space="0" w:color="auto"/>
            </w:tcBorders>
            <w:shd w:val="clear" w:color="auto" w:fill="C6EFCE"/>
            <w:noWrap/>
            <w:vAlign w:val="center"/>
          </w:tcPr>
          <w:p w14:paraId="764F4F73"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 xml:space="preserve">A feasibility report describing the technological package needed for investors to proceed to the large-scale production of 225Ac from 226Ra has been published. </w:t>
            </w:r>
          </w:p>
          <w:p w14:paraId="5BA7D906"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The report shall include the following elements:</w:t>
            </w:r>
          </w:p>
          <w:p w14:paraId="513DAAE6"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1) Operational hot cell installation at SCK CEN to handle 226Ra sources</w:t>
            </w:r>
          </w:p>
          <w:p w14:paraId="45D20CBA" w14:textId="18098619"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 Electron-to-gamma converter design to be built for large scale production</w:t>
            </w:r>
          </w:p>
          <w:p w14:paraId="263F06E0"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3) Target and irradiation module design to be built for large scale production</w:t>
            </w:r>
          </w:p>
          <w:p w14:paraId="5AF787E7"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4) A fully scaled-up radiochemical separation method and 226Ra recycling process - ready for large-scale implementation</w:t>
            </w:r>
          </w:p>
          <w:p w14:paraId="6525A286"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 xml:space="preserve">5) A conceptual design of the 225Ac production facility </w:t>
            </w:r>
          </w:p>
          <w:p w14:paraId="6FD8E750" w14:textId="406A1C23"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6) Roadmap on licensing of the building for handling of radioactivity (FANC) and GMP licensing (FAGG).</w:t>
            </w:r>
          </w:p>
        </w:tc>
      </w:tr>
      <w:tr w:rsidR="004868CC" w:rsidRPr="001961AA" w14:paraId="1032D78A" w14:textId="77777777" w:rsidTr="00300C11">
        <w:trPr>
          <w:trHeight w:val="309"/>
        </w:trPr>
        <w:tc>
          <w:tcPr>
            <w:tcW w:w="68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390181C"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184</w:t>
            </w:r>
          </w:p>
        </w:tc>
        <w:tc>
          <w:tcPr>
            <w:tcW w:w="1446" w:type="dxa"/>
            <w:tcBorders>
              <w:top w:val="single" w:sz="4" w:space="0" w:color="auto"/>
              <w:left w:val="nil"/>
              <w:bottom w:val="single" w:sz="4" w:space="0" w:color="auto"/>
              <w:right w:val="single" w:sz="4" w:space="0" w:color="auto"/>
            </w:tcBorders>
            <w:shd w:val="clear" w:color="auto" w:fill="C6EFCE"/>
            <w:noWrap/>
            <w:vAlign w:val="center"/>
          </w:tcPr>
          <w:p w14:paraId="09F9B2B5"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R&amp;D: Minimization of waste during dismantling (I-5.10)</w:t>
            </w:r>
          </w:p>
        </w:tc>
        <w:tc>
          <w:tcPr>
            <w:tcW w:w="1200" w:type="dxa"/>
            <w:tcBorders>
              <w:top w:val="single" w:sz="4" w:space="0" w:color="auto"/>
              <w:left w:val="nil"/>
              <w:bottom w:val="single" w:sz="4" w:space="0" w:color="auto"/>
              <w:right w:val="single" w:sz="4" w:space="0" w:color="auto"/>
            </w:tcBorders>
            <w:shd w:val="clear" w:color="auto" w:fill="C6EFCE"/>
            <w:noWrap/>
            <w:vAlign w:val="center"/>
          </w:tcPr>
          <w:p w14:paraId="4B4976A3" w14:textId="44E1F640"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M</w:t>
            </w:r>
          </w:p>
        </w:tc>
        <w:tc>
          <w:tcPr>
            <w:tcW w:w="1800" w:type="dxa"/>
            <w:tcBorders>
              <w:top w:val="single" w:sz="4" w:space="0" w:color="auto"/>
              <w:left w:val="nil"/>
              <w:bottom w:val="single" w:sz="4" w:space="0" w:color="auto"/>
              <w:right w:val="single" w:sz="4" w:space="0" w:color="auto"/>
            </w:tcBorders>
            <w:shd w:val="clear" w:color="auto" w:fill="C6EFCE"/>
            <w:noWrap/>
            <w:vAlign w:val="center"/>
          </w:tcPr>
          <w:p w14:paraId="5C591D7C"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 xml:space="preserve">Award of public contract for the construction of a Material Treatment facility </w:t>
            </w:r>
          </w:p>
          <w:p w14:paraId="61CD08D1"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(MaT)</w:t>
            </w:r>
          </w:p>
        </w:tc>
        <w:tc>
          <w:tcPr>
            <w:tcW w:w="2280" w:type="dxa"/>
            <w:tcBorders>
              <w:top w:val="single" w:sz="4" w:space="0" w:color="auto"/>
              <w:left w:val="nil"/>
              <w:bottom w:val="single" w:sz="4" w:space="0" w:color="auto"/>
              <w:right w:val="single" w:sz="4" w:space="0" w:color="auto"/>
            </w:tcBorders>
            <w:shd w:val="clear" w:color="auto" w:fill="C6EFCE"/>
            <w:noWrap/>
            <w:vAlign w:val="center"/>
          </w:tcPr>
          <w:p w14:paraId="11D833EA"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Written notification of the award of the public contract for the construction of a Material Treatment facility (MaT)</w:t>
            </w:r>
          </w:p>
        </w:tc>
        <w:tc>
          <w:tcPr>
            <w:tcW w:w="1200" w:type="dxa"/>
            <w:tcBorders>
              <w:top w:val="single" w:sz="4" w:space="0" w:color="auto"/>
              <w:left w:val="nil"/>
              <w:bottom w:val="single" w:sz="4" w:space="0" w:color="auto"/>
              <w:right w:val="single" w:sz="4" w:space="0" w:color="auto"/>
            </w:tcBorders>
            <w:shd w:val="clear" w:color="auto" w:fill="C6EFCE"/>
            <w:noWrap/>
            <w:vAlign w:val="center"/>
          </w:tcPr>
          <w:p w14:paraId="2E4C4065" w14:textId="77777777" w:rsidR="006A41D9" w:rsidRPr="001961AA" w:rsidRDefault="006A41D9" w:rsidP="00BD6DD1">
            <w:pPr>
              <w:spacing w:after="0"/>
              <w:jc w:val="center"/>
              <w:rPr>
                <w:rFonts w:ascii="Times New Roman" w:eastAsia="Times New Roman" w:hAnsi="Times New Roman" w:cs="Times New Roman"/>
                <w:noProof/>
                <w:color w:val="006100"/>
                <w:lang w:val="en-GB" w:eastAsia="en-GB"/>
              </w:rPr>
            </w:pPr>
          </w:p>
        </w:tc>
        <w:tc>
          <w:tcPr>
            <w:tcW w:w="1080" w:type="dxa"/>
            <w:tcBorders>
              <w:top w:val="single" w:sz="4" w:space="0" w:color="auto"/>
              <w:left w:val="nil"/>
              <w:bottom w:val="single" w:sz="4" w:space="0" w:color="auto"/>
              <w:right w:val="single" w:sz="4" w:space="0" w:color="auto"/>
            </w:tcBorders>
            <w:shd w:val="clear" w:color="auto" w:fill="C6EFCE"/>
            <w:noWrap/>
            <w:vAlign w:val="center"/>
          </w:tcPr>
          <w:p w14:paraId="3E4F38DC" w14:textId="77777777" w:rsidR="006A41D9" w:rsidRPr="001961AA" w:rsidRDefault="006A41D9" w:rsidP="00BD6DD1">
            <w:pPr>
              <w:spacing w:after="0"/>
              <w:jc w:val="center"/>
              <w:rPr>
                <w:rFonts w:ascii="Times New Roman" w:eastAsia="Times New Roman" w:hAnsi="Times New Roman" w:cs="Times New Roman"/>
                <w:noProof/>
                <w:color w:val="006100"/>
                <w:lang w:val="en-GB" w:eastAsia="en-GB"/>
              </w:rPr>
            </w:pPr>
          </w:p>
        </w:tc>
        <w:tc>
          <w:tcPr>
            <w:tcW w:w="720" w:type="dxa"/>
            <w:tcBorders>
              <w:top w:val="single" w:sz="4" w:space="0" w:color="auto"/>
              <w:left w:val="nil"/>
              <w:bottom w:val="single" w:sz="4" w:space="0" w:color="auto"/>
              <w:right w:val="single" w:sz="4" w:space="0" w:color="auto"/>
            </w:tcBorders>
            <w:shd w:val="clear" w:color="auto" w:fill="C6EFCE"/>
            <w:noWrap/>
            <w:vAlign w:val="center"/>
          </w:tcPr>
          <w:p w14:paraId="0045256B" w14:textId="77777777" w:rsidR="006A41D9" w:rsidRPr="001961AA" w:rsidRDefault="006A41D9" w:rsidP="00BD6DD1">
            <w:pPr>
              <w:spacing w:after="0"/>
              <w:jc w:val="center"/>
              <w:rPr>
                <w:rFonts w:ascii="Times New Roman" w:eastAsia="Times New Roman" w:hAnsi="Times New Roman" w:cs="Times New Roman"/>
                <w:noProof/>
                <w:color w:val="006100"/>
                <w:lang w:val="en-GB" w:eastAsia="en-GB"/>
              </w:rPr>
            </w:pPr>
          </w:p>
        </w:tc>
        <w:tc>
          <w:tcPr>
            <w:tcW w:w="1080" w:type="dxa"/>
            <w:tcBorders>
              <w:top w:val="single" w:sz="4" w:space="0" w:color="auto"/>
              <w:left w:val="nil"/>
              <w:bottom w:val="single" w:sz="4" w:space="0" w:color="auto"/>
              <w:right w:val="single" w:sz="4" w:space="0" w:color="auto"/>
            </w:tcBorders>
            <w:shd w:val="clear" w:color="auto" w:fill="C6EFCE"/>
            <w:noWrap/>
            <w:vAlign w:val="center"/>
          </w:tcPr>
          <w:p w14:paraId="77B93702"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Q4</w:t>
            </w:r>
          </w:p>
        </w:tc>
        <w:tc>
          <w:tcPr>
            <w:tcW w:w="720" w:type="dxa"/>
            <w:tcBorders>
              <w:top w:val="single" w:sz="4" w:space="0" w:color="auto"/>
              <w:left w:val="nil"/>
              <w:bottom w:val="single" w:sz="4" w:space="0" w:color="auto"/>
              <w:right w:val="single" w:sz="4" w:space="0" w:color="auto"/>
            </w:tcBorders>
            <w:shd w:val="clear" w:color="auto" w:fill="C6EFCE"/>
            <w:noWrap/>
            <w:vAlign w:val="center"/>
          </w:tcPr>
          <w:p w14:paraId="17805053"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2023</w:t>
            </w:r>
          </w:p>
        </w:tc>
        <w:tc>
          <w:tcPr>
            <w:tcW w:w="3691" w:type="dxa"/>
            <w:tcBorders>
              <w:top w:val="single" w:sz="4" w:space="0" w:color="auto"/>
              <w:left w:val="nil"/>
              <w:bottom w:val="single" w:sz="4" w:space="0" w:color="auto"/>
              <w:right w:val="single" w:sz="4" w:space="0" w:color="auto"/>
            </w:tcBorders>
            <w:shd w:val="clear" w:color="auto" w:fill="C6EFCE"/>
            <w:noWrap/>
            <w:vAlign w:val="center"/>
          </w:tcPr>
          <w:p w14:paraId="3096471C"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Notification of the award of the contract by the Federal Minister of Economics and Labour for the construction of a Material Treatment facility (MaT), which is needed to perform cold tests and demonstrations of the technologies to be developed</w:t>
            </w:r>
            <w:r w:rsidRPr="001961AA">
              <w:rPr>
                <w:rFonts w:ascii="Times New Roman" w:hAnsi="Times New Roman"/>
                <w:noProof/>
                <w:lang w:val="en-GB"/>
              </w:rPr>
              <w:t xml:space="preserve"> </w:t>
            </w:r>
            <w:r w:rsidRPr="001961AA">
              <w:rPr>
                <w:rFonts w:ascii="Times New Roman" w:hAnsi="Times New Roman"/>
                <w:noProof/>
                <w:color w:val="006100"/>
                <w:lang w:val="en-GB"/>
              </w:rPr>
              <w:t>for the re-use, recycling and final disposal of non-nuclear waste from the decommissioning operations of nuclear plants; necessary building permits and the license from the Agence fédérale de Contrôle nucléaire (FANC) shall be obtained. Building shall be compliant with all the applicable legislation on the Federal and Flemish level related to Directive 2011/92.</w:t>
            </w:r>
          </w:p>
        </w:tc>
      </w:tr>
      <w:tr w:rsidR="004868CC" w:rsidRPr="001961AA" w14:paraId="1860B16B" w14:textId="77777777" w:rsidTr="00300C11">
        <w:trPr>
          <w:trHeight w:val="309"/>
        </w:trPr>
        <w:tc>
          <w:tcPr>
            <w:tcW w:w="68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9837EDC"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185</w:t>
            </w:r>
          </w:p>
        </w:tc>
        <w:tc>
          <w:tcPr>
            <w:tcW w:w="1446" w:type="dxa"/>
            <w:tcBorders>
              <w:top w:val="single" w:sz="4" w:space="0" w:color="auto"/>
              <w:left w:val="nil"/>
              <w:bottom w:val="single" w:sz="4" w:space="0" w:color="auto"/>
              <w:right w:val="single" w:sz="4" w:space="0" w:color="auto"/>
            </w:tcBorders>
            <w:shd w:val="clear" w:color="auto" w:fill="C6EFCE"/>
            <w:noWrap/>
            <w:vAlign w:val="center"/>
          </w:tcPr>
          <w:p w14:paraId="14A67A78"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R&amp;D: Minimization of waste during dismantling (I-5.10)</w:t>
            </w:r>
          </w:p>
        </w:tc>
        <w:tc>
          <w:tcPr>
            <w:tcW w:w="1200" w:type="dxa"/>
            <w:tcBorders>
              <w:top w:val="single" w:sz="4" w:space="0" w:color="auto"/>
              <w:left w:val="nil"/>
              <w:bottom w:val="single" w:sz="4" w:space="0" w:color="auto"/>
              <w:right w:val="single" w:sz="4" w:space="0" w:color="auto"/>
            </w:tcBorders>
            <w:shd w:val="clear" w:color="auto" w:fill="C6EFCE"/>
            <w:noWrap/>
            <w:vAlign w:val="center"/>
          </w:tcPr>
          <w:p w14:paraId="51B4F814" w14:textId="68942519"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M</w:t>
            </w:r>
          </w:p>
        </w:tc>
        <w:tc>
          <w:tcPr>
            <w:tcW w:w="1800" w:type="dxa"/>
            <w:tcBorders>
              <w:top w:val="single" w:sz="4" w:space="0" w:color="auto"/>
              <w:left w:val="nil"/>
              <w:bottom w:val="single" w:sz="4" w:space="0" w:color="auto"/>
              <w:right w:val="single" w:sz="4" w:space="0" w:color="auto"/>
            </w:tcBorders>
            <w:shd w:val="clear" w:color="auto" w:fill="C6EFCE"/>
            <w:noWrap/>
            <w:vAlign w:val="center"/>
          </w:tcPr>
          <w:p w14:paraId="269DF0BB"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Material Treatment facility (MaT) constructed and commissioned; desk top study finalised</w:t>
            </w:r>
          </w:p>
        </w:tc>
        <w:tc>
          <w:tcPr>
            <w:tcW w:w="2280" w:type="dxa"/>
            <w:tcBorders>
              <w:top w:val="single" w:sz="4" w:space="0" w:color="auto"/>
              <w:left w:val="nil"/>
              <w:bottom w:val="single" w:sz="4" w:space="0" w:color="auto"/>
              <w:right w:val="single" w:sz="4" w:space="0" w:color="auto"/>
            </w:tcBorders>
            <w:shd w:val="clear" w:color="auto" w:fill="C6EFCE"/>
            <w:noWrap/>
            <w:vAlign w:val="center"/>
          </w:tcPr>
          <w:p w14:paraId="14290B21"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Material Treatment facility (MaT) operational</w:t>
            </w:r>
          </w:p>
        </w:tc>
        <w:tc>
          <w:tcPr>
            <w:tcW w:w="1200" w:type="dxa"/>
            <w:tcBorders>
              <w:top w:val="single" w:sz="4" w:space="0" w:color="auto"/>
              <w:left w:val="nil"/>
              <w:bottom w:val="single" w:sz="4" w:space="0" w:color="auto"/>
              <w:right w:val="single" w:sz="4" w:space="0" w:color="auto"/>
            </w:tcBorders>
            <w:shd w:val="clear" w:color="auto" w:fill="C6EFCE"/>
            <w:noWrap/>
            <w:vAlign w:val="center"/>
          </w:tcPr>
          <w:p w14:paraId="059CB8A0" w14:textId="77777777" w:rsidR="006A41D9" w:rsidRPr="001961AA" w:rsidRDefault="006A41D9" w:rsidP="00BD6DD1">
            <w:pPr>
              <w:spacing w:after="0"/>
              <w:jc w:val="center"/>
              <w:rPr>
                <w:rFonts w:ascii="Times New Roman" w:eastAsia="Times New Roman" w:hAnsi="Times New Roman" w:cs="Times New Roman"/>
                <w:noProof/>
                <w:color w:val="006100"/>
                <w:lang w:val="en-GB" w:eastAsia="en-GB"/>
              </w:rPr>
            </w:pPr>
          </w:p>
        </w:tc>
        <w:tc>
          <w:tcPr>
            <w:tcW w:w="1080" w:type="dxa"/>
            <w:tcBorders>
              <w:top w:val="single" w:sz="4" w:space="0" w:color="auto"/>
              <w:left w:val="nil"/>
              <w:bottom w:val="single" w:sz="4" w:space="0" w:color="auto"/>
              <w:right w:val="single" w:sz="4" w:space="0" w:color="auto"/>
            </w:tcBorders>
            <w:shd w:val="clear" w:color="auto" w:fill="C6EFCE"/>
            <w:noWrap/>
            <w:vAlign w:val="center"/>
          </w:tcPr>
          <w:p w14:paraId="6863781D" w14:textId="77777777" w:rsidR="006A41D9" w:rsidRPr="001961AA" w:rsidRDefault="006A41D9" w:rsidP="00BD6DD1">
            <w:pPr>
              <w:spacing w:after="0"/>
              <w:jc w:val="center"/>
              <w:rPr>
                <w:rFonts w:ascii="Times New Roman" w:eastAsia="Times New Roman" w:hAnsi="Times New Roman" w:cs="Times New Roman"/>
                <w:noProof/>
                <w:color w:val="006100"/>
                <w:lang w:val="en-GB" w:eastAsia="en-GB"/>
              </w:rPr>
            </w:pPr>
          </w:p>
        </w:tc>
        <w:tc>
          <w:tcPr>
            <w:tcW w:w="720" w:type="dxa"/>
            <w:tcBorders>
              <w:top w:val="single" w:sz="4" w:space="0" w:color="auto"/>
              <w:left w:val="nil"/>
              <w:bottom w:val="single" w:sz="4" w:space="0" w:color="auto"/>
              <w:right w:val="single" w:sz="4" w:space="0" w:color="auto"/>
            </w:tcBorders>
            <w:shd w:val="clear" w:color="auto" w:fill="C6EFCE"/>
            <w:noWrap/>
            <w:vAlign w:val="center"/>
          </w:tcPr>
          <w:p w14:paraId="4B03CDE5" w14:textId="77777777" w:rsidR="006A41D9" w:rsidRPr="001961AA" w:rsidRDefault="006A41D9" w:rsidP="00BD6DD1">
            <w:pPr>
              <w:spacing w:after="0"/>
              <w:jc w:val="center"/>
              <w:rPr>
                <w:rFonts w:ascii="Times New Roman" w:eastAsia="Times New Roman" w:hAnsi="Times New Roman" w:cs="Times New Roman"/>
                <w:noProof/>
                <w:color w:val="006100"/>
                <w:lang w:val="en-GB" w:eastAsia="en-GB"/>
              </w:rPr>
            </w:pPr>
          </w:p>
        </w:tc>
        <w:tc>
          <w:tcPr>
            <w:tcW w:w="1080" w:type="dxa"/>
            <w:tcBorders>
              <w:top w:val="single" w:sz="4" w:space="0" w:color="auto"/>
              <w:left w:val="nil"/>
              <w:bottom w:val="single" w:sz="4" w:space="0" w:color="auto"/>
              <w:right w:val="single" w:sz="4" w:space="0" w:color="auto"/>
            </w:tcBorders>
            <w:shd w:val="clear" w:color="auto" w:fill="C6EFCE"/>
            <w:noWrap/>
            <w:vAlign w:val="center"/>
          </w:tcPr>
          <w:p w14:paraId="6BFEB077"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Q2</w:t>
            </w:r>
          </w:p>
        </w:tc>
        <w:tc>
          <w:tcPr>
            <w:tcW w:w="720" w:type="dxa"/>
            <w:tcBorders>
              <w:top w:val="single" w:sz="4" w:space="0" w:color="auto"/>
              <w:left w:val="nil"/>
              <w:bottom w:val="single" w:sz="4" w:space="0" w:color="auto"/>
              <w:right w:val="single" w:sz="4" w:space="0" w:color="auto"/>
            </w:tcBorders>
            <w:shd w:val="clear" w:color="auto" w:fill="C6EFCE"/>
            <w:noWrap/>
            <w:vAlign w:val="center"/>
          </w:tcPr>
          <w:p w14:paraId="24C4C31D"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2026</w:t>
            </w:r>
          </w:p>
        </w:tc>
        <w:tc>
          <w:tcPr>
            <w:tcW w:w="3691" w:type="dxa"/>
            <w:tcBorders>
              <w:top w:val="single" w:sz="4" w:space="0" w:color="auto"/>
              <w:left w:val="nil"/>
              <w:bottom w:val="single" w:sz="4" w:space="0" w:color="auto"/>
              <w:right w:val="single" w:sz="4" w:space="0" w:color="auto"/>
            </w:tcBorders>
            <w:shd w:val="clear" w:color="auto" w:fill="C6EFCE"/>
            <w:noWrap/>
            <w:vAlign w:val="center"/>
          </w:tcPr>
          <w:p w14:paraId="2B7DE902"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The Material Treatment facility (MaT), which is needed to perform cold tests and demonstrations of the technologies to be developed technologies</w:t>
            </w:r>
            <w:r w:rsidRPr="001961AA">
              <w:rPr>
                <w:rFonts w:ascii="Times New Roman" w:hAnsi="Times New Roman"/>
                <w:noProof/>
                <w:lang w:val="en-GB"/>
              </w:rPr>
              <w:t xml:space="preserve"> </w:t>
            </w:r>
            <w:r w:rsidRPr="001961AA">
              <w:rPr>
                <w:rFonts w:ascii="Times New Roman" w:hAnsi="Times New Roman"/>
                <w:noProof/>
                <w:color w:val="006100"/>
                <w:lang w:val="en-GB"/>
              </w:rPr>
              <w:t>for the re-use, recycling and final disposal of non-nuclear waste from the decommissioning operations of nuclear plants, is constructed, equipped and operational, following the completion of the selection process of the needed infrastructures and equipment. A (desktop) case study shall be finalised within the project for the complete (cradle to grave) decommissioning of a particular component (such as a steam generator) of the Belgian nuclear power plants.</w:t>
            </w:r>
          </w:p>
        </w:tc>
      </w:tr>
      <w:tr w:rsidR="004868CC" w:rsidRPr="001961AA" w14:paraId="683DE24D" w14:textId="77777777" w:rsidTr="00300C11">
        <w:trPr>
          <w:trHeight w:val="309"/>
        </w:trPr>
        <w:tc>
          <w:tcPr>
            <w:tcW w:w="68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083187B"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186</w:t>
            </w:r>
          </w:p>
        </w:tc>
        <w:tc>
          <w:tcPr>
            <w:tcW w:w="1446" w:type="dxa"/>
            <w:tcBorders>
              <w:top w:val="single" w:sz="4" w:space="0" w:color="auto"/>
              <w:left w:val="nil"/>
              <w:bottom w:val="single" w:sz="4" w:space="0" w:color="auto"/>
              <w:right w:val="single" w:sz="4" w:space="0" w:color="auto"/>
            </w:tcBorders>
            <w:shd w:val="clear" w:color="auto" w:fill="C6EFCE"/>
            <w:noWrap/>
            <w:vAlign w:val="center"/>
          </w:tcPr>
          <w:p w14:paraId="504F12E1"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Strengthen R&amp;D (I-5.11)</w:t>
            </w:r>
          </w:p>
        </w:tc>
        <w:tc>
          <w:tcPr>
            <w:tcW w:w="1200" w:type="dxa"/>
            <w:tcBorders>
              <w:top w:val="single" w:sz="4" w:space="0" w:color="auto"/>
              <w:left w:val="nil"/>
              <w:bottom w:val="single" w:sz="4" w:space="0" w:color="auto"/>
              <w:right w:val="single" w:sz="4" w:space="0" w:color="auto"/>
            </w:tcBorders>
            <w:shd w:val="clear" w:color="auto" w:fill="C6EFCE"/>
            <w:noWrap/>
            <w:vAlign w:val="center"/>
          </w:tcPr>
          <w:p w14:paraId="049426AC" w14:textId="5E9818B0"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M</w:t>
            </w:r>
          </w:p>
        </w:tc>
        <w:tc>
          <w:tcPr>
            <w:tcW w:w="1800" w:type="dxa"/>
            <w:tcBorders>
              <w:top w:val="single" w:sz="4" w:space="0" w:color="auto"/>
              <w:left w:val="nil"/>
              <w:bottom w:val="single" w:sz="4" w:space="0" w:color="auto"/>
              <w:right w:val="single" w:sz="4" w:space="0" w:color="auto"/>
            </w:tcBorders>
            <w:shd w:val="clear" w:color="auto" w:fill="C6EFCE"/>
            <w:noWrap/>
            <w:vAlign w:val="center"/>
          </w:tcPr>
          <w:p w14:paraId="429C3B4C"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Award of public contracts for R&amp;D and infrastructure projects</w:t>
            </w:r>
          </w:p>
        </w:tc>
        <w:tc>
          <w:tcPr>
            <w:tcW w:w="2280" w:type="dxa"/>
            <w:tcBorders>
              <w:top w:val="single" w:sz="4" w:space="0" w:color="auto"/>
              <w:left w:val="nil"/>
              <w:bottom w:val="single" w:sz="4" w:space="0" w:color="auto"/>
              <w:right w:val="single" w:sz="4" w:space="0" w:color="auto"/>
            </w:tcBorders>
            <w:shd w:val="clear" w:color="auto" w:fill="C6EFCE"/>
            <w:noWrap/>
            <w:vAlign w:val="center"/>
          </w:tcPr>
          <w:p w14:paraId="7E9BAFE4"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 xml:space="preserve">Notification of the award projects </w:t>
            </w:r>
          </w:p>
        </w:tc>
        <w:tc>
          <w:tcPr>
            <w:tcW w:w="1200" w:type="dxa"/>
            <w:tcBorders>
              <w:top w:val="single" w:sz="4" w:space="0" w:color="auto"/>
              <w:left w:val="nil"/>
              <w:bottom w:val="single" w:sz="4" w:space="0" w:color="auto"/>
              <w:right w:val="single" w:sz="4" w:space="0" w:color="auto"/>
            </w:tcBorders>
            <w:shd w:val="clear" w:color="auto" w:fill="C6EFCE"/>
            <w:noWrap/>
            <w:vAlign w:val="center"/>
          </w:tcPr>
          <w:p w14:paraId="35B7C380" w14:textId="77777777" w:rsidR="006A41D9" w:rsidRPr="001961AA" w:rsidRDefault="006A41D9" w:rsidP="00BD6DD1">
            <w:pPr>
              <w:spacing w:after="0"/>
              <w:jc w:val="center"/>
              <w:rPr>
                <w:rFonts w:ascii="Times New Roman" w:eastAsia="Times New Roman" w:hAnsi="Times New Roman" w:cs="Times New Roman"/>
                <w:noProof/>
                <w:color w:val="006100"/>
                <w:lang w:val="en-GB" w:eastAsia="en-GB"/>
              </w:rPr>
            </w:pPr>
          </w:p>
        </w:tc>
        <w:tc>
          <w:tcPr>
            <w:tcW w:w="1080" w:type="dxa"/>
            <w:tcBorders>
              <w:top w:val="single" w:sz="4" w:space="0" w:color="auto"/>
              <w:left w:val="nil"/>
              <w:bottom w:val="single" w:sz="4" w:space="0" w:color="auto"/>
              <w:right w:val="single" w:sz="4" w:space="0" w:color="auto"/>
            </w:tcBorders>
            <w:shd w:val="clear" w:color="auto" w:fill="C6EFCE"/>
            <w:noWrap/>
            <w:vAlign w:val="center"/>
          </w:tcPr>
          <w:p w14:paraId="65D3E123" w14:textId="77777777" w:rsidR="006A41D9" w:rsidRPr="001961AA" w:rsidRDefault="006A41D9" w:rsidP="00BD6DD1">
            <w:pPr>
              <w:spacing w:after="0"/>
              <w:jc w:val="center"/>
              <w:rPr>
                <w:rFonts w:ascii="Times New Roman" w:eastAsia="Times New Roman" w:hAnsi="Times New Roman" w:cs="Times New Roman"/>
                <w:noProof/>
                <w:color w:val="006100"/>
                <w:lang w:val="en-GB" w:eastAsia="en-GB"/>
              </w:rPr>
            </w:pPr>
          </w:p>
        </w:tc>
        <w:tc>
          <w:tcPr>
            <w:tcW w:w="720" w:type="dxa"/>
            <w:tcBorders>
              <w:top w:val="single" w:sz="4" w:space="0" w:color="auto"/>
              <w:left w:val="nil"/>
              <w:bottom w:val="single" w:sz="4" w:space="0" w:color="auto"/>
              <w:right w:val="single" w:sz="4" w:space="0" w:color="auto"/>
            </w:tcBorders>
            <w:shd w:val="clear" w:color="auto" w:fill="C6EFCE"/>
            <w:noWrap/>
            <w:vAlign w:val="center"/>
          </w:tcPr>
          <w:p w14:paraId="0C70DB2D" w14:textId="77777777" w:rsidR="006A41D9" w:rsidRPr="001961AA" w:rsidRDefault="006A41D9" w:rsidP="00BD6DD1">
            <w:pPr>
              <w:spacing w:after="0"/>
              <w:jc w:val="center"/>
              <w:rPr>
                <w:rFonts w:ascii="Times New Roman" w:eastAsia="Times New Roman" w:hAnsi="Times New Roman" w:cs="Times New Roman"/>
                <w:noProof/>
                <w:color w:val="006100"/>
                <w:lang w:val="en-GB" w:eastAsia="en-GB"/>
              </w:rPr>
            </w:pPr>
          </w:p>
        </w:tc>
        <w:tc>
          <w:tcPr>
            <w:tcW w:w="1080" w:type="dxa"/>
            <w:tcBorders>
              <w:top w:val="single" w:sz="4" w:space="0" w:color="auto"/>
              <w:left w:val="nil"/>
              <w:bottom w:val="single" w:sz="4" w:space="0" w:color="auto"/>
              <w:right w:val="single" w:sz="4" w:space="0" w:color="auto"/>
            </w:tcBorders>
            <w:shd w:val="clear" w:color="auto" w:fill="C6EFCE"/>
            <w:noWrap/>
            <w:vAlign w:val="center"/>
          </w:tcPr>
          <w:p w14:paraId="6095108F"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Q4</w:t>
            </w:r>
          </w:p>
        </w:tc>
        <w:tc>
          <w:tcPr>
            <w:tcW w:w="720" w:type="dxa"/>
            <w:tcBorders>
              <w:top w:val="single" w:sz="4" w:space="0" w:color="auto"/>
              <w:left w:val="nil"/>
              <w:bottom w:val="single" w:sz="4" w:space="0" w:color="auto"/>
              <w:right w:val="single" w:sz="4" w:space="0" w:color="auto"/>
            </w:tcBorders>
            <w:shd w:val="clear" w:color="auto" w:fill="C6EFCE"/>
            <w:noWrap/>
            <w:vAlign w:val="center"/>
          </w:tcPr>
          <w:p w14:paraId="51A9152A"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2022</w:t>
            </w:r>
          </w:p>
        </w:tc>
        <w:tc>
          <w:tcPr>
            <w:tcW w:w="3691" w:type="dxa"/>
            <w:tcBorders>
              <w:top w:val="single" w:sz="4" w:space="0" w:color="auto"/>
              <w:left w:val="nil"/>
              <w:bottom w:val="single" w:sz="4" w:space="0" w:color="auto"/>
              <w:right w:val="single" w:sz="4" w:space="0" w:color="auto"/>
            </w:tcBorders>
            <w:shd w:val="clear" w:color="auto" w:fill="C6EFCE"/>
            <w:noWrap/>
            <w:vAlign w:val="center"/>
          </w:tcPr>
          <w:p w14:paraId="5E9DD694" w14:textId="7072C729"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Notification, by VLAIO and the ‘Departement Economie, Wetenschap en Innovatie’ (EWI), of the award of 200 projects to the successful candidates following the call for proposals, with terms of reference including eligibility criteria that ensure that the selected projects comply with the ‘Do no significant harm’ Technical Guidance (2021/C58/01) through the use of an exclusion list and the requirement of compliance with the relevant EU and national environmental legislation. EUR 20 000 000 will be awarded to project ‘PREVAIL’ For projects awarded through grant schemes that do not work with calls for projects, compliance with the technical guidelines "do no significant harm" (2021/C58/01) is also enforced through an eligibility criterion based on the same exclusion list and the requirement of compliance with relevant EU and national environmental legislation.</w:t>
            </w:r>
          </w:p>
        </w:tc>
      </w:tr>
      <w:tr w:rsidR="004868CC" w:rsidRPr="001961AA" w14:paraId="2B735020" w14:textId="77777777" w:rsidTr="00300C11">
        <w:trPr>
          <w:trHeight w:val="309"/>
        </w:trPr>
        <w:tc>
          <w:tcPr>
            <w:tcW w:w="68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91F8B73"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187</w:t>
            </w:r>
          </w:p>
        </w:tc>
        <w:tc>
          <w:tcPr>
            <w:tcW w:w="1446" w:type="dxa"/>
            <w:tcBorders>
              <w:top w:val="single" w:sz="4" w:space="0" w:color="auto"/>
              <w:left w:val="nil"/>
              <w:bottom w:val="single" w:sz="4" w:space="0" w:color="auto"/>
              <w:right w:val="single" w:sz="4" w:space="0" w:color="auto"/>
            </w:tcBorders>
            <w:shd w:val="clear" w:color="auto" w:fill="C6EFCE"/>
            <w:noWrap/>
            <w:vAlign w:val="center"/>
          </w:tcPr>
          <w:p w14:paraId="3A358EB3"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Strengthen R&amp;D (I-5.11)</w:t>
            </w:r>
          </w:p>
        </w:tc>
        <w:tc>
          <w:tcPr>
            <w:tcW w:w="1200" w:type="dxa"/>
            <w:tcBorders>
              <w:top w:val="single" w:sz="4" w:space="0" w:color="auto"/>
              <w:left w:val="nil"/>
              <w:bottom w:val="single" w:sz="4" w:space="0" w:color="auto"/>
              <w:right w:val="single" w:sz="4" w:space="0" w:color="auto"/>
            </w:tcBorders>
            <w:shd w:val="clear" w:color="auto" w:fill="C6EFCE"/>
            <w:noWrap/>
            <w:vAlign w:val="center"/>
          </w:tcPr>
          <w:p w14:paraId="33B02D4A" w14:textId="63366EE9" w:rsidR="006A41D9" w:rsidRPr="001961AA" w:rsidRDefault="005836E5"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M</w:t>
            </w:r>
          </w:p>
        </w:tc>
        <w:tc>
          <w:tcPr>
            <w:tcW w:w="1800" w:type="dxa"/>
            <w:tcBorders>
              <w:top w:val="single" w:sz="4" w:space="0" w:color="auto"/>
              <w:left w:val="nil"/>
              <w:bottom w:val="single" w:sz="4" w:space="0" w:color="auto"/>
              <w:right w:val="single" w:sz="4" w:space="0" w:color="auto"/>
            </w:tcBorders>
            <w:shd w:val="clear" w:color="auto" w:fill="C6EFCE"/>
            <w:noWrap/>
            <w:vAlign w:val="center"/>
          </w:tcPr>
          <w:p w14:paraId="08C63592" w14:textId="3B94E0EC" w:rsidR="006A41D9" w:rsidRPr="001961AA" w:rsidRDefault="002350CC"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Awarded R&amp;D&amp;I and infrastructure projects funded</w:t>
            </w:r>
          </w:p>
        </w:tc>
        <w:tc>
          <w:tcPr>
            <w:tcW w:w="2280" w:type="dxa"/>
            <w:tcBorders>
              <w:top w:val="single" w:sz="4" w:space="0" w:color="auto"/>
              <w:left w:val="nil"/>
              <w:bottom w:val="single" w:sz="4" w:space="0" w:color="auto"/>
              <w:right w:val="single" w:sz="4" w:space="0" w:color="auto"/>
            </w:tcBorders>
            <w:shd w:val="clear" w:color="auto" w:fill="C6EFCE"/>
            <w:noWrap/>
            <w:vAlign w:val="center"/>
          </w:tcPr>
          <w:p w14:paraId="3701D2AB" w14:textId="2A222473" w:rsidR="006A41D9" w:rsidRPr="001961AA" w:rsidRDefault="006D44E2"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Payments to awarded projects</w:t>
            </w:r>
          </w:p>
        </w:tc>
        <w:tc>
          <w:tcPr>
            <w:tcW w:w="1200" w:type="dxa"/>
            <w:tcBorders>
              <w:top w:val="single" w:sz="4" w:space="0" w:color="auto"/>
              <w:left w:val="nil"/>
              <w:bottom w:val="single" w:sz="4" w:space="0" w:color="auto"/>
              <w:right w:val="single" w:sz="4" w:space="0" w:color="auto"/>
            </w:tcBorders>
            <w:shd w:val="clear" w:color="auto" w:fill="C6EFCE"/>
            <w:noWrap/>
            <w:vAlign w:val="center"/>
          </w:tcPr>
          <w:p w14:paraId="5BFBBF8A" w14:textId="5985A01D" w:rsidR="006A41D9" w:rsidRPr="001961AA" w:rsidRDefault="006A41D9" w:rsidP="00BD6DD1">
            <w:pPr>
              <w:spacing w:after="0"/>
              <w:jc w:val="center"/>
              <w:rPr>
                <w:rFonts w:ascii="Times New Roman" w:eastAsia="Times New Roman" w:hAnsi="Times New Roman" w:cs="Times New Roman"/>
                <w:noProof/>
                <w:color w:val="006100"/>
                <w:lang w:val="en-GB" w:eastAsia="en-GB"/>
              </w:rPr>
            </w:pPr>
          </w:p>
        </w:tc>
        <w:tc>
          <w:tcPr>
            <w:tcW w:w="1080" w:type="dxa"/>
            <w:tcBorders>
              <w:top w:val="single" w:sz="4" w:space="0" w:color="auto"/>
              <w:left w:val="nil"/>
              <w:bottom w:val="single" w:sz="4" w:space="0" w:color="auto"/>
              <w:right w:val="single" w:sz="4" w:space="0" w:color="auto"/>
            </w:tcBorders>
            <w:shd w:val="clear" w:color="auto" w:fill="C6EFCE"/>
            <w:noWrap/>
            <w:vAlign w:val="center"/>
          </w:tcPr>
          <w:p w14:paraId="63EFEDAB" w14:textId="765C6554" w:rsidR="006A41D9" w:rsidRPr="001961AA" w:rsidRDefault="006A41D9" w:rsidP="00BD6DD1">
            <w:pPr>
              <w:spacing w:after="0"/>
              <w:jc w:val="center"/>
              <w:rPr>
                <w:rFonts w:ascii="Times New Roman" w:eastAsia="Times New Roman" w:hAnsi="Times New Roman" w:cs="Times New Roman"/>
                <w:noProof/>
                <w:color w:val="006100"/>
                <w:lang w:val="en-GB" w:eastAsia="en-GB"/>
              </w:rPr>
            </w:pPr>
          </w:p>
        </w:tc>
        <w:tc>
          <w:tcPr>
            <w:tcW w:w="720" w:type="dxa"/>
            <w:tcBorders>
              <w:top w:val="single" w:sz="4" w:space="0" w:color="auto"/>
              <w:left w:val="nil"/>
              <w:bottom w:val="single" w:sz="4" w:space="0" w:color="auto"/>
              <w:right w:val="single" w:sz="4" w:space="0" w:color="auto"/>
            </w:tcBorders>
            <w:shd w:val="clear" w:color="auto" w:fill="C6EFCE"/>
            <w:noWrap/>
            <w:vAlign w:val="center"/>
          </w:tcPr>
          <w:p w14:paraId="1C5BC372" w14:textId="51A83DD4" w:rsidR="006A41D9" w:rsidRPr="001961AA" w:rsidRDefault="006A41D9" w:rsidP="00BD6DD1">
            <w:pPr>
              <w:spacing w:after="0"/>
              <w:jc w:val="center"/>
              <w:rPr>
                <w:rFonts w:ascii="Times New Roman" w:eastAsia="Times New Roman" w:hAnsi="Times New Roman" w:cs="Times New Roman"/>
                <w:noProof/>
                <w:color w:val="006100"/>
                <w:lang w:val="en-GB" w:eastAsia="en-GB"/>
              </w:rPr>
            </w:pPr>
          </w:p>
        </w:tc>
        <w:tc>
          <w:tcPr>
            <w:tcW w:w="1080" w:type="dxa"/>
            <w:tcBorders>
              <w:top w:val="single" w:sz="4" w:space="0" w:color="auto"/>
              <w:left w:val="nil"/>
              <w:bottom w:val="single" w:sz="4" w:space="0" w:color="auto"/>
              <w:right w:val="single" w:sz="4" w:space="0" w:color="auto"/>
            </w:tcBorders>
            <w:shd w:val="clear" w:color="auto" w:fill="C6EFCE"/>
            <w:noWrap/>
            <w:vAlign w:val="center"/>
          </w:tcPr>
          <w:p w14:paraId="0765A1C4"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Q2</w:t>
            </w:r>
          </w:p>
        </w:tc>
        <w:tc>
          <w:tcPr>
            <w:tcW w:w="720" w:type="dxa"/>
            <w:tcBorders>
              <w:top w:val="single" w:sz="4" w:space="0" w:color="auto"/>
              <w:left w:val="nil"/>
              <w:bottom w:val="single" w:sz="4" w:space="0" w:color="auto"/>
              <w:right w:val="single" w:sz="4" w:space="0" w:color="auto"/>
            </w:tcBorders>
            <w:shd w:val="clear" w:color="auto" w:fill="C6EFCE"/>
            <w:noWrap/>
            <w:vAlign w:val="center"/>
          </w:tcPr>
          <w:p w14:paraId="60FB9C44"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2026</w:t>
            </w:r>
          </w:p>
        </w:tc>
        <w:tc>
          <w:tcPr>
            <w:tcW w:w="3691" w:type="dxa"/>
            <w:tcBorders>
              <w:top w:val="single" w:sz="4" w:space="0" w:color="auto"/>
              <w:left w:val="nil"/>
              <w:bottom w:val="single" w:sz="4" w:space="0" w:color="auto"/>
              <w:right w:val="single" w:sz="4" w:space="0" w:color="auto"/>
            </w:tcBorders>
            <w:shd w:val="clear" w:color="auto" w:fill="C6EFCE"/>
            <w:noWrap/>
            <w:vAlign w:val="center"/>
          </w:tcPr>
          <w:p w14:paraId="72B89B5D" w14:textId="3E58C0A9" w:rsidR="008575EF" w:rsidRPr="001961AA" w:rsidRDefault="008575EF"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At least EUR 20 000 000 shall be paid to project ‘PREVAIL’.</w:t>
            </w:r>
          </w:p>
          <w:p w14:paraId="567D55A0" w14:textId="77777777" w:rsidR="008575EF" w:rsidRPr="001961AA" w:rsidRDefault="008575EF" w:rsidP="00BD6DD1">
            <w:pPr>
              <w:spacing w:after="0"/>
              <w:rPr>
                <w:rFonts w:ascii="Times New Roman" w:eastAsia="Times New Roman" w:hAnsi="Times New Roman" w:cs="Times New Roman"/>
                <w:noProof/>
                <w:color w:val="006100"/>
                <w:lang w:val="en-GB" w:eastAsia="en-GB"/>
              </w:rPr>
            </w:pPr>
          </w:p>
          <w:p w14:paraId="2AF17250" w14:textId="2922DEBE" w:rsidR="008575EF" w:rsidRPr="001961AA" w:rsidRDefault="008575EF"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Any amounts provided by other Union programmes or instruments shall not be counted towards this amount.</w:t>
            </w:r>
          </w:p>
          <w:p w14:paraId="3A459ABF" w14:textId="77777777" w:rsidR="008575EF" w:rsidRPr="001961AA" w:rsidRDefault="008575EF" w:rsidP="00BD6DD1">
            <w:pPr>
              <w:spacing w:after="0"/>
              <w:rPr>
                <w:rFonts w:ascii="Times New Roman" w:eastAsia="Times New Roman" w:hAnsi="Times New Roman" w:cs="Times New Roman"/>
                <w:noProof/>
                <w:color w:val="006100"/>
                <w:lang w:val="en-GB" w:eastAsia="en-GB"/>
              </w:rPr>
            </w:pPr>
          </w:p>
          <w:p w14:paraId="12D382D9" w14:textId="2AEF277D" w:rsidR="006E4BB0" w:rsidRPr="001961AA" w:rsidRDefault="00B534DC"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At least EUR 200 500 000 shall be paid to projects in order to support the call for proposals and the selection through grant schemes.</w:t>
            </w:r>
          </w:p>
          <w:p w14:paraId="3A938370" w14:textId="1DE65A4C" w:rsidR="006E4BB0" w:rsidRPr="001961AA" w:rsidRDefault="006E4BB0" w:rsidP="00BD6DD1">
            <w:pPr>
              <w:spacing w:after="0"/>
              <w:rPr>
                <w:rFonts w:ascii="Times New Roman" w:eastAsia="Times New Roman" w:hAnsi="Times New Roman" w:cs="Times New Roman"/>
                <w:noProof/>
                <w:color w:val="006100"/>
                <w:lang w:val="en-GB" w:eastAsia="en-GB"/>
              </w:rPr>
            </w:pPr>
          </w:p>
          <w:p w14:paraId="13D77DF5" w14:textId="77777777" w:rsidR="000C64C5" w:rsidRPr="001961AA" w:rsidRDefault="000C64C5" w:rsidP="00BD6DD1">
            <w:pPr>
              <w:spacing w:after="0"/>
              <w:rPr>
                <w:rFonts w:ascii="Times New Roman" w:eastAsia="Times New Roman" w:hAnsi="Times New Roman" w:cs="Times New Roman"/>
                <w:noProof/>
                <w:color w:val="006100"/>
                <w:lang w:val="en-GB" w:eastAsia="en-GB"/>
              </w:rPr>
            </w:pPr>
          </w:p>
          <w:p w14:paraId="2FA6C228" w14:textId="42096D6E" w:rsidR="006A41D9" w:rsidRPr="001961AA" w:rsidRDefault="2DF8951B"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w:t>
            </w:r>
          </w:p>
        </w:tc>
      </w:tr>
      <w:tr w:rsidR="004868CC" w:rsidRPr="001961AA" w14:paraId="679411A3" w14:textId="77777777" w:rsidTr="00300C11">
        <w:trPr>
          <w:trHeight w:val="309"/>
        </w:trPr>
        <w:tc>
          <w:tcPr>
            <w:tcW w:w="68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1D59C11"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188</w:t>
            </w:r>
          </w:p>
        </w:tc>
        <w:tc>
          <w:tcPr>
            <w:tcW w:w="1446" w:type="dxa"/>
            <w:tcBorders>
              <w:top w:val="single" w:sz="4" w:space="0" w:color="auto"/>
              <w:left w:val="nil"/>
              <w:bottom w:val="single" w:sz="4" w:space="0" w:color="auto"/>
              <w:right w:val="single" w:sz="4" w:space="0" w:color="auto"/>
            </w:tcBorders>
            <w:shd w:val="clear" w:color="auto" w:fill="C6EFCE"/>
            <w:noWrap/>
            <w:vAlign w:val="center"/>
          </w:tcPr>
          <w:p w14:paraId="7AD0F3BE"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Relocation of food and development of logistics platforms (I-5.12)</w:t>
            </w:r>
          </w:p>
        </w:tc>
        <w:tc>
          <w:tcPr>
            <w:tcW w:w="1200" w:type="dxa"/>
            <w:tcBorders>
              <w:top w:val="single" w:sz="4" w:space="0" w:color="auto"/>
              <w:left w:val="nil"/>
              <w:bottom w:val="single" w:sz="4" w:space="0" w:color="auto"/>
              <w:right w:val="single" w:sz="4" w:space="0" w:color="auto"/>
            </w:tcBorders>
            <w:shd w:val="clear" w:color="auto" w:fill="C6EFCE"/>
            <w:noWrap/>
            <w:vAlign w:val="center"/>
          </w:tcPr>
          <w:p w14:paraId="3D23A960" w14:textId="0D433906"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M</w:t>
            </w:r>
          </w:p>
        </w:tc>
        <w:tc>
          <w:tcPr>
            <w:tcW w:w="1800" w:type="dxa"/>
            <w:tcBorders>
              <w:top w:val="single" w:sz="4" w:space="0" w:color="auto"/>
              <w:left w:val="nil"/>
              <w:bottom w:val="single" w:sz="4" w:space="0" w:color="auto"/>
              <w:right w:val="single" w:sz="4" w:space="0" w:color="auto"/>
            </w:tcBorders>
            <w:shd w:val="clear" w:color="auto" w:fill="C6EFCE"/>
            <w:noWrap/>
            <w:vAlign w:val="center"/>
          </w:tcPr>
          <w:p w14:paraId="1C25A144" w14:textId="3E6FE5C8"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Award of public works contracts by the 2 intermunicipal companies (SPI, IGRETEC) for the construction of infrastructure for the food sector</w:t>
            </w:r>
          </w:p>
        </w:tc>
        <w:tc>
          <w:tcPr>
            <w:tcW w:w="2280" w:type="dxa"/>
            <w:tcBorders>
              <w:top w:val="single" w:sz="4" w:space="0" w:color="auto"/>
              <w:left w:val="nil"/>
              <w:bottom w:val="single" w:sz="4" w:space="0" w:color="auto"/>
              <w:right w:val="single" w:sz="4" w:space="0" w:color="auto"/>
            </w:tcBorders>
            <w:shd w:val="clear" w:color="auto" w:fill="C6EFCE"/>
            <w:noWrap/>
            <w:vAlign w:val="center"/>
          </w:tcPr>
          <w:p w14:paraId="6AA87BED" w14:textId="5C5C5806"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Written notification of the award of public works contracts for the constructions of infrastructure for the food sector</w:t>
            </w:r>
          </w:p>
        </w:tc>
        <w:tc>
          <w:tcPr>
            <w:tcW w:w="1200" w:type="dxa"/>
            <w:tcBorders>
              <w:top w:val="single" w:sz="4" w:space="0" w:color="auto"/>
              <w:left w:val="nil"/>
              <w:bottom w:val="single" w:sz="4" w:space="0" w:color="auto"/>
              <w:right w:val="single" w:sz="4" w:space="0" w:color="auto"/>
            </w:tcBorders>
            <w:shd w:val="clear" w:color="auto" w:fill="C6EFCE"/>
            <w:noWrap/>
            <w:vAlign w:val="center"/>
          </w:tcPr>
          <w:p w14:paraId="5CA72536" w14:textId="77777777" w:rsidR="006A41D9" w:rsidRPr="001961AA" w:rsidRDefault="006A41D9" w:rsidP="00BD6DD1">
            <w:pPr>
              <w:spacing w:after="0"/>
              <w:jc w:val="center"/>
              <w:rPr>
                <w:rFonts w:ascii="Times New Roman" w:eastAsia="Times New Roman" w:hAnsi="Times New Roman" w:cs="Times New Roman"/>
                <w:noProof/>
                <w:color w:val="006100"/>
                <w:lang w:val="en-GB" w:eastAsia="en-GB"/>
              </w:rPr>
            </w:pPr>
          </w:p>
        </w:tc>
        <w:tc>
          <w:tcPr>
            <w:tcW w:w="1080" w:type="dxa"/>
            <w:tcBorders>
              <w:top w:val="single" w:sz="4" w:space="0" w:color="auto"/>
              <w:left w:val="nil"/>
              <w:bottom w:val="single" w:sz="4" w:space="0" w:color="auto"/>
              <w:right w:val="single" w:sz="4" w:space="0" w:color="auto"/>
            </w:tcBorders>
            <w:shd w:val="clear" w:color="auto" w:fill="C6EFCE"/>
            <w:noWrap/>
            <w:vAlign w:val="center"/>
          </w:tcPr>
          <w:p w14:paraId="134B7AF6" w14:textId="77777777" w:rsidR="006A41D9" w:rsidRPr="001961AA" w:rsidRDefault="006A41D9" w:rsidP="00BD6DD1">
            <w:pPr>
              <w:spacing w:after="0"/>
              <w:jc w:val="center"/>
              <w:rPr>
                <w:rFonts w:ascii="Times New Roman" w:eastAsia="Times New Roman" w:hAnsi="Times New Roman" w:cs="Times New Roman"/>
                <w:noProof/>
                <w:color w:val="006100"/>
                <w:lang w:val="en-GB" w:eastAsia="en-GB"/>
              </w:rPr>
            </w:pPr>
          </w:p>
        </w:tc>
        <w:tc>
          <w:tcPr>
            <w:tcW w:w="720" w:type="dxa"/>
            <w:tcBorders>
              <w:top w:val="single" w:sz="4" w:space="0" w:color="auto"/>
              <w:left w:val="nil"/>
              <w:bottom w:val="single" w:sz="4" w:space="0" w:color="auto"/>
              <w:right w:val="single" w:sz="4" w:space="0" w:color="auto"/>
            </w:tcBorders>
            <w:shd w:val="clear" w:color="auto" w:fill="C6EFCE"/>
            <w:noWrap/>
            <w:vAlign w:val="center"/>
          </w:tcPr>
          <w:p w14:paraId="51B8E9E3" w14:textId="77777777" w:rsidR="006A41D9" w:rsidRPr="001961AA" w:rsidRDefault="006A41D9" w:rsidP="00BD6DD1">
            <w:pPr>
              <w:spacing w:after="0"/>
              <w:jc w:val="center"/>
              <w:rPr>
                <w:rFonts w:ascii="Times New Roman" w:eastAsia="Times New Roman" w:hAnsi="Times New Roman" w:cs="Times New Roman"/>
                <w:noProof/>
                <w:color w:val="006100"/>
                <w:lang w:val="en-GB" w:eastAsia="en-GB"/>
              </w:rPr>
            </w:pPr>
          </w:p>
        </w:tc>
        <w:tc>
          <w:tcPr>
            <w:tcW w:w="1080" w:type="dxa"/>
            <w:tcBorders>
              <w:top w:val="single" w:sz="4" w:space="0" w:color="auto"/>
              <w:left w:val="nil"/>
              <w:bottom w:val="single" w:sz="4" w:space="0" w:color="auto"/>
              <w:right w:val="single" w:sz="4" w:space="0" w:color="auto"/>
            </w:tcBorders>
            <w:shd w:val="clear" w:color="auto" w:fill="C6EFCE"/>
            <w:noWrap/>
            <w:vAlign w:val="center"/>
          </w:tcPr>
          <w:p w14:paraId="747B0230" w14:textId="54D434AA"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Q1</w:t>
            </w:r>
          </w:p>
        </w:tc>
        <w:tc>
          <w:tcPr>
            <w:tcW w:w="720" w:type="dxa"/>
            <w:tcBorders>
              <w:top w:val="single" w:sz="4" w:space="0" w:color="auto"/>
              <w:left w:val="nil"/>
              <w:bottom w:val="single" w:sz="4" w:space="0" w:color="auto"/>
              <w:right w:val="single" w:sz="4" w:space="0" w:color="auto"/>
            </w:tcBorders>
            <w:shd w:val="clear" w:color="auto" w:fill="C6EFCE"/>
            <w:noWrap/>
            <w:vAlign w:val="center"/>
          </w:tcPr>
          <w:p w14:paraId="2E0FDCE1" w14:textId="6BF55232"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2024</w:t>
            </w:r>
          </w:p>
        </w:tc>
        <w:tc>
          <w:tcPr>
            <w:tcW w:w="3691" w:type="dxa"/>
            <w:tcBorders>
              <w:top w:val="single" w:sz="4" w:space="0" w:color="auto"/>
              <w:left w:val="nil"/>
              <w:bottom w:val="single" w:sz="4" w:space="0" w:color="auto"/>
              <w:right w:val="single" w:sz="4" w:space="0" w:color="auto"/>
            </w:tcBorders>
            <w:shd w:val="clear" w:color="auto" w:fill="C6EFCE"/>
            <w:noWrap/>
            <w:vAlign w:val="center"/>
          </w:tcPr>
          <w:p w14:paraId="687EE7EB" w14:textId="76F1BD2C"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Award of public works contracts for the construction of 2 logistic hubs by the 2 intermunicipal bodies (SPI, IGRETEC), with specifications including eligibility criteria that ensure that the projects selected comply with the "Do no significant harm" Technical Guidance (2021/C58/01) through the use of an exclusion list and the requirement of compliance with the relevant EU and national environmental legislation.</w:t>
            </w:r>
          </w:p>
        </w:tc>
      </w:tr>
      <w:tr w:rsidR="004868CC" w:rsidRPr="001961AA" w14:paraId="0F3E06F8" w14:textId="77777777" w:rsidTr="00300C11">
        <w:trPr>
          <w:trHeight w:val="309"/>
        </w:trPr>
        <w:tc>
          <w:tcPr>
            <w:tcW w:w="68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675904E"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189</w:t>
            </w:r>
          </w:p>
        </w:tc>
        <w:tc>
          <w:tcPr>
            <w:tcW w:w="1446" w:type="dxa"/>
            <w:tcBorders>
              <w:top w:val="single" w:sz="4" w:space="0" w:color="auto"/>
              <w:left w:val="nil"/>
              <w:bottom w:val="single" w:sz="4" w:space="0" w:color="auto"/>
              <w:right w:val="single" w:sz="4" w:space="0" w:color="auto"/>
            </w:tcBorders>
            <w:shd w:val="clear" w:color="auto" w:fill="C6EFCE"/>
            <w:noWrap/>
            <w:vAlign w:val="center"/>
          </w:tcPr>
          <w:p w14:paraId="572DBE00"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Relocation of food and development of logistics platforms (I-5.12)</w:t>
            </w:r>
          </w:p>
        </w:tc>
        <w:tc>
          <w:tcPr>
            <w:tcW w:w="1200" w:type="dxa"/>
            <w:tcBorders>
              <w:top w:val="single" w:sz="4" w:space="0" w:color="auto"/>
              <w:left w:val="nil"/>
              <w:bottom w:val="single" w:sz="4" w:space="0" w:color="auto"/>
              <w:right w:val="single" w:sz="4" w:space="0" w:color="auto"/>
            </w:tcBorders>
            <w:shd w:val="clear" w:color="auto" w:fill="C6EFCE"/>
            <w:noWrap/>
            <w:vAlign w:val="center"/>
          </w:tcPr>
          <w:p w14:paraId="10DEF2A6" w14:textId="2A87C734"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T</w:t>
            </w:r>
          </w:p>
        </w:tc>
        <w:tc>
          <w:tcPr>
            <w:tcW w:w="1800" w:type="dxa"/>
            <w:tcBorders>
              <w:top w:val="single" w:sz="4" w:space="0" w:color="auto"/>
              <w:left w:val="nil"/>
              <w:bottom w:val="single" w:sz="4" w:space="0" w:color="auto"/>
              <w:right w:val="single" w:sz="4" w:space="0" w:color="auto"/>
            </w:tcBorders>
            <w:shd w:val="clear" w:color="auto" w:fill="C6EFCE"/>
            <w:noWrap/>
            <w:vAlign w:val="center"/>
          </w:tcPr>
          <w:p w14:paraId="540F8C51" w14:textId="59471DFA"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Support for 30 food relocation projects, 4 emerging sectors and 5 pieces of infrastructure</w:t>
            </w:r>
          </w:p>
        </w:tc>
        <w:tc>
          <w:tcPr>
            <w:tcW w:w="2280" w:type="dxa"/>
            <w:tcBorders>
              <w:top w:val="single" w:sz="4" w:space="0" w:color="auto"/>
              <w:left w:val="nil"/>
              <w:bottom w:val="single" w:sz="4" w:space="0" w:color="auto"/>
              <w:right w:val="single" w:sz="4" w:space="0" w:color="auto"/>
            </w:tcBorders>
            <w:shd w:val="clear" w:color="auto" w:fill="C6EFCE"/>
            <w:noWrap/>
            <w:vAlign w:val="center"/>
          </w:tcPr>
          <w:p w14:paraId="7386DA3C"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 xml:space="preserve"> </w:t>
            </w:r>
          </w:p>
        </w:tc>
        <w:tc>
          <w:tcPr>
            <w:tcW w:w="1200" w:type="dxa"/>
            <w:tcBorders>
              <w:top w:val="single" w:sz="4" w:space="0" w:color="auto"/>
              <w:left w:val="nil"/>
              <w:bottom w:val="single" w:sz="4" w:space="0" w:color="auto"/>
              <w:right w:val="single" w:sz="4" w:space="0" w:color="auto"/>
            </w:tcBorders>
            <w:shd w:val="clear" w:color="auto" w:fill="C6EFCE"/>
            <w:noWrap/>
            <w:vAlign w:val="center"/>
          </w:tcPr>
          <w:p w14:paraId="176F35B2"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Projects</w:t>
            </w:r>
          </w:p>
        </w:tc>
        <w:tc>
          <w:tcPr>
            <w:tcW w:w="1080" w:type="dxa"/>
            <w:tcBorders>
              <w:top w:val="single" w:sz="4" w:space="0" w:color="auto"/>
              <w:left w:val="nil"/>
              <w:bottom w:val="single" w:sz="4" w:space="0" w:color="auto"/>
              <w:right w:val="single" w:sz="4" w:space="0" w:color="auto"/>
            </w:tcBorders>
            <w:shd w:val="clear" w:color="auto" w:fill="C6EFCE"/>
            <w:noWrap/>
            <w:vAlign w:val="center"/>
          </w:tcPr>
          <w:p w14:paraId="206BB7EC"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0</w:t>
            </w:r>
          </w:p>
        </w:tc>
        <w:tc>
          <w:tcPr>
            <w:tcW w:w="720" w:type="dxa"/>
            <w:tcBorders>
              <w:top w:val="single" w:sz="4" w:space="0" w:color="auto"/>
              <w:left w:val="nil"/>
              <w:bottom w:val="single" w:sz="4" w:space="0" w:color="auto"/>
              <w:right w:val="single" w:sz="4" w:space="0" w:color="auto"/>
            </w:tcBorders>
            <w:shd w:val="clear" w:color="auto" w:fill="C6EFCE"/>
            <w:noWrap/>
            <w:vAlign w:val="center"/>
          </w:tcPr>
          <w:p w14:paraId="5F7B8C6F" w14:textId="1855D5D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39</w:t>
            </w:r>
          </w:p>
        </w:tc>
        <w:tc>
          <w:tcPr>
            <w:tcW w:w="1080" w:type="dxa"/>
            <w:tcBorders>
              <w:top w:val="single" w:sz="4" w:space="0" w:color="auto"/>
              <w:left w:val="nil"/>
              <w:bottom w:val="single" w:sz="4" w:space="0" w:color="auto"/>
              <w:right w:val="single" w:sz="4" w:space="0" w:color="auto"/>
            </w:tcBorders>
            <w:shd w:val="clear" w:color="auto" w:fill="C6EFCE"/>
            <w:noWrap/>
            <w:vAlign w:val="center"/>
          </w:tcPr>
          <w:p w14:paraId="21C764E7"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Q4</w:t>
            </w:r>
          </w:p>
        </w:tc>
        <w:tc>
          <w:tcPr>
            <w:tcW w:w="720" w:type="dxa"/>
            <w:tcBorders>
              <w:top w:val="single" w:sz="4" w:space="0" w:color="auto"/>
              <w:left w:val="nil"/>
              <w:bottom w:val="single" w:sz="4" w:space="0" w:color="auto"/>
              <w:right w:val="single" w:sz="4" w:space="0" w:color="auto"/>
            </w:tcBorders>
            <w:shd w:val="clear" w:color="auto" w:fill="C6EFCE"/>
            <w:noWrap/>
            <w:vAlign w:val="center"/>
          </w:tcPr>
          <w:p w14:paraId="7976BEF1" w14:textId="2FF960AA"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2022</w:t>
            </w:r>
          </w:p>
        </w:tc>
        <w:tc>
          <w:tcPr>
            <w:tcW w:w="3691" w:type="dxa"/>
            <w:tcBorders>
              <w:top w:val="single" w:sz="4" w:space="0" w:color="auto"/>
              <w:left w:val="nil"/>
              <w:bottom w:val="single" w:sz="4" w:space="0" w:color="auto"/>
              <w:right w:val="single" w:sz="4" w:space="0" w:color="auto"/>
            </w:tcBorders>
            <w:shd w:val="clear" w:color="auto" w:fill="C6EFCE"/>
            <w:noWrap/>
            <w:vAlign w:val="center"/>
          </w:tcPr>
          <w:p w14:paraId="5B881943" w14:textId="07E9BAD3"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Award of subsidies to 30 small scale infrastructures, 4 larger structuring projects (one for each sector: fruits, vegetables, cereals, vegetable proteins) and at least 5 pieces of infrastructure.</w:t>
            </w:r>
          </w:p>
        </w:tc>
      </w:tr>
      <w:tr w:rsidR="004868CC" w:rsidRPr="001961AA" w14:paraId="7E275199" w14:textId="77777777" w:rsidTr="00300C11">
        <w:trPr>
          <w:trHeight w:val="309"/>
        </w:trPr>
        <w:tc>
          <w:tcPr>
            <w:tcW w:w="68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99E1396"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190</w:t>
            </w:r>
          </w:p>
        </w:tc>
        <w:tc>
          <w:tcPr>
            <w:tcW w:w="1446" w:type="dxa"/>
            <w:tcBorders>
              <w:top w:val="single" w:sz="4" w:space="0" w:color="auto"/>
              <w:left w:val="nil"/>
              <w:bottom w:val="single" w:sz="4" w:space="0" w:color="auto"/>
              <w:right w:val="single" w:sz="4" w:space="0" w:color="auto"/>
            </w:tcBorders>
            <w:shd w:val="clear" w:color="auto" w:fill="C6EFCE"/>
            <w:noWrap/>
            <w:vAlign w:val="center"/>
          </w:tcPr>
          <w:p w14:paraId="206243E0"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Relocation of food and development of logistics platforms (I-5.12)</w:t>
            </w:r>
          </w:p>
        </w:tc>
        <w:tc>
          <w:tcPr>
            <w:tcW w:w="1200" w:type="dxa"/>
            <w:tcBorders>
              <w:top w:val="single" w:sz="4" w:space="0" w:color="auto"/>
              <w:left w:val="nil"/>
              <w:bottom w:val="single" w:sz="4" w:space="0" w:color="auto"/>
              <w:right w:val="single" w:sz="4" w:space="0" w:color="auto"/>
            </w:tcBorders>
            <w:shd w:val="clear" w:color="auto" w:fill="C6EFCE"/>
            <w:noWrap/>
            <w:vAlign w:val="center"/>
          </w:tcPr>
          <w:p w14:paraId="74D2AECE" w14:textId="49B3ACEF"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T</w:t>
            </w:r>
          </w:p>
        </w:tc>
        <w:tc>
          <w:tcPr>
            <w:tcW w:w="1800" w:type="dxa"/>
            <w:tcBorders>
              <w:top w:val="single" w:sz="4" w:space="0" w:color="auto"/>
              <w:left w:val="nil"/>
              <w:bottom w:val="single" w:sz="4" w:space="0" w:color="auto"/>
              <w:right w:val="single" w:sz="4" w:space="0" w:color="auto"/>
            </w:tcBorders>
            <w:shd w:val="clear" w:color="auto" w:fill="C6EFCE"/>
            <w:noWrap/>
            <w:vAlign w:val="center"/>
          </w:tcPr>
          <w:p w14:paraId="117D8374" w14:textId="32F3429D"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Construction of two logistic hubs completed</w:t>
            </w:r>
          </w:p>
        </w:tc>
        <w:tc>
          <w:tcPr>
            <w:tcW w:w="2280" w:type="dxa"/>
            <w:tcBorders>
              <w:top w:val="single" w:sz="4" w:space="0" w:color="auto"/>
              <w:left w:val="nil"/>
              <w:bottom w:val="single" w:sz="4" w:space="0" w:color="auto"/>
              <w:right w:val="single" w:sz="4" w:space="0" w:color="auto"/>
            </w:tcBorders>
            <w:shd w:val="clear" w:color="auto" w:fill="C6EFCE"/>
            <w:noWrap/>
            <w:vAlign w:val="center"/>
          </w:tcPr>
          <w:p w14:paraId="1728BA08" w14:textId="77777777"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1200" w:type="dxa"/>
            <w:tcBorders>
              <w:top w:val="single" w:sz="4" w:space="0" w:color="auto"/>
              <w:left w:val="nil"/>
              <w:bottom w:val="single" w:sz="4" w:space="0" w:color="auto"/>
              <w:right w:val="single" w:sz="4" w:space="0" w:color="auto"/>
            </w:tcBorders>
            <w:shd w:val="clear" w:color="auto" w:fill="C6EFCE"/>
            <w:noWrap/>
            <w:vAlign w:val="center"/>
          </w:tcPr>
          <w:p w14:paraId="107583ED"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Hubs</w:t>
            </w:r>
          </w:p>
        </w:tc>
        <w:tc>
          <w:tcPr>
            <w:tcW w:w="1080" w:type="dxa"/>
            <w:tcBorders>
              <w:top w:val="single" w:sz="4" w:space="0" w:color="auto"/>
              <w:left w:val="nil"/>
              <w:bottom w:val="single" w:sz="4" w:space="0" w:color="auto"/>
              <w:right w:val="single" w:sz="4" w:space="0" w:color="auto"/>
            </w:tcBorders>
            <w:shd w:val="clear" w:color="auto" w:fill="C6EFCE"/>
            <w:noWrap/>
            <w:vAlign w:val="center"/>
          </w:tcPr>
          <w:p w14:paraId="0752C55C"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0</w:t>
            </w:r>
          </w:p>
        </w:tc>
        <w:tc>
          <w:tcPr>
            <w:tcW w:w="720" w:type="dxa"/>
            <w:tcBorders>
              <w:top w:val="single" w:sz="4" w:space="0" w:color="auto"/>
              <w:left w:val="nil"/>
              <w:bottom w:val="single" w:sz="4" w:space="0" w:color="auto"/>
              <w:right w:val="single" w:sz="4" w:space="0" w:color="auto"/>
            </w:tcBorders>
            <w:shd w:val="clear" w:color="auto" w:fill="C6EFCE"/>
            <w:noWrap/>
            <w:vAlign w:val="center"/>
          </w:tcPr>
          <w:p w14:paraId="0D6A1EFC" w14:textId="394F3DCE" w:rsidR="006A41D9" w:rsidRPr="001961AA" w:rsidRDefault="00F36C6A"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w:t>
            </w:r>
          </w:p>
        </w:tc>
        <w:tc>
          <w:tcPr>
            <w:tcW w:w="1080" w:type="dxa"/>
            <w:tcBorders>
              <w:top w:val="single" w:sz="4" w:space="0" w:color="auto"/>
              <w:left w:val="nil"/>
              <w:bottom w:val="single" w:sz="4" w:space="0" w:color="auto"/>
              <w:right w:val="single" w:sz="4" w:space="0" w:color="auto"/>
            </w:tcBorders>
            <w:shd w:val="clear" w:color="auto" w:fill="C6EFCE"/>
            <w:noWrap/>
            <w:vAlign w:val="center"/>
          </w:tcPr>
          <w:p w14:paraId="3DAC9388" w14:textId="2C396C0E"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Q2</w:t>
            </w:r>
          </w:p>
        </w:tc>
        <w:tc>
          <w:tcPr>
            <w:tcW w:w="720" w:type="dxa"/>
            <w:tcBorders>
              <w:top w:val="single" w:sz="4" w:space="0" w:color="auto"/>
              <w:left w:val="nil"/>
              <w:bottom w:val="single" w:sz="4" w:space="0" w:color="auto"/>
              <w:right w:val="single" w:sz="4" w:space="0" w:color="auto"/>
            </w:tcBorders>
            <w:shd w:val="clear" w:color="auto" w:fill="C6EFCE"/>
            <w:noWrap/>
            <w:vAlign w:val="center"/>
          </w:tcPr>
          <w:p w14:paraId="20A49F53" w14:textId="31F3190C"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2025</w:t>
            </w:r>
          </w:p>
        </w:tc>
        <w:tc>
          <w:tcPr>
            <w:tcW w:w="3691" w:type="dxa"/>
            <w:tcBorders>
              <w:top w:val="single" w:sz="4" w:space="0" w:color="auto"/>
              <w:left w:val="nil"/>
              <w:bottom w:val="single" w:sz="4" w:space="0" w:color="auto"/>
              <w:right w:val="single" w:sz="4" w:space="0" w:color="auto"/>
            </w:tcBorders>
            <w:shd w:val="clear" w:color="auto" w:fill="C6EFCE"/>
            <w:noWrap/>
            <w:vAlign w:val="center"/>
          </w:tcPr>
          <w:p w14:paraId="6681019A" w14:textId="5AAF734D"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Construction and equipment of two logistic hubs, dedicated to the activities of wholesalers, food processing of primary products and incubator of cooperatives, for a total surface of 5 500 m² completed. The equipment of the two logistic hubs includes the installation of 1700 solar panels, 15 charging points for electric vehicles and of a 200kW energy storage system.</w:t>
            </w:r>
          </w:p>
        </w:tc>
      </w:tr>
      <w:tr w:rsidR="004868CC" w:rsidRPr="001961AA" w14:paraId="338F0B93" w14:textId="77777777" w:rsidTr="00300C11">
        <w:trPr>
          <w:trHeight w:val="309"/>
        </w:trPr>
        <w:tc>
          <w:tcPr>
            <w:tcW w:w="68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57266EC"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191</w:t>
            </w:r>
          </w:p>
        </w:tc>
        <w:tc>
          <w:tcPr>
            <w:tcW w:w="1446" w:type="dxa"/>
            <w:tcBorders>
              <w:top w:val="single" w:sz="4" w:space="0" w:color="auto"/>
              <w:left w:val="nil"/>
              <w:bottom w:val="single" w:sz="4" w:space="0" w:color="auto"/>
              <w:right w:val="single" w:sz="4" w:space="0" w:color="auto"/>
            </w:tcBorders>
            <w:shd w:val="clear" w:color="auto" w:fill="C6EFCE"/>
            <w:noWrap/>
            <w:vAlign w:val="center"/>
          </w:tcPr>
          <w:p w14:paraId="50E34DD1"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Relocation of food and development of logistics platforms (I-5.12)</w:t>
            </w:r>
          </w:p>
        </w:tc>
        <w:tc>
          <w:tcPr>
            <w:tcW w:w="1200" w:type="dxa"/>
            <w:tcBorders>
              <w:top w:val="single" w:sz="4" w:space="0" w:color="auto"/>
              <w:left w:val="nil"/>
              <w:bottom w:val="single" w:sz="4" w:space="0" w:color="auto"/>
              <w:right w:val="single" w:sz="4" w:space="0" w:color="auto"/>
            </w:tcBorders>
            <w:shd w:val="clear" w:color="auto" w:fill="C6EFCE"/>
            <w:noWrap/>
            <w:vAlign w:val="center"/>
          </w:tcPr>
          <w:p w14:paraId="3B2D1BD9" w14:textId="18C1AA85"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T</w:t>
            </w:r>
          </w:p>
        </w:tc>
        <w:tc>
          <w:tcPr>
            <w:tcW w:w="1800" w:type="dxa"/>
            <w:tcBorders>
              <w:top w:val="single" w:sz="4" w:space="0" w:color="auto"/>
              <w:left w:val="nil"/>
              <w:bottom w:val="single" w:sz="4" w:space="0" w:color="auto"/>
              <w:right w:val="single" w:sz="4" w:space="0" w:color="auto"/>
            </w:tcBorders>
            <w:shd w:val="clear" w:color="auto" w:fill="C6EFCE"/>
            <w:noWrap/>
            <w:vAlign w:val="center"/>
          </w:tcPr>
          <w:p w14:paraId="4C923444" w14:textId="3C695171"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 xml:space="preserve">Construction of at least 5 pieces of infrastructure, 30 small scale infrastructure and 4 larger structuring projects, is completed </w:t>
            </w:r>
          </w:p>
        </w:tc>
        <w:tc>
          <w:tcPr>
            <w:tcW w:w="2280" w:type="dxa"/>
            <w:tcBorders>
              <w:top w:val="single" w:sz="4" w:space="0" w:color="auto"/>
              <w:left w:val="nil"/>
              <w:bottom w:val="single" w:sz="4" w:space="0" w:color="auto"/>
              <w:right w:val="single" w:sz="4" w:space="0" w:color="auto"/>
            </w:tcBorders>
            <w:shd w:val="clear" w:color="auto" w:fill="C6EFCE"/>
            <w:noWrap/>
            <w:vAlign w:val="center"/>
          </w:tcPr>
          <w:p w14:paraId="1FEBE5C7" w14:textId="77777777"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1200" w:type="dxa"/>
            <w:tcBorders>
              <w:top w:val="single" w:sz="4" w:space="0" w:color="auto"/>
              <w:left w:val="nil"/>
              <w:bottom w:val="single" w:sz="4" w:space="0" w:color="auto"/>
              <w:right w:val="single" w:sz="4" w:space="0" w:color="auto"/>
            </w:tcBorders>
            <w:shd w:val="clear" w:color="auto" w:fill="C6EFCE"/>
            <w:noWrap/>
            <w:vAlign w:val="center"/>
          </w:tcPr>
          <w:p w14:paraId="37DACB4D"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Infrastructure</w:t>
            </w:r>
          </w:p>
        </w:tc>
        <w:tc>
          <w:tcPr>
            <w:tcW w:w="1080" w:type="dxa"/>
            <w:tcBorders>
              <w:top w:val="single" w:sz="4" w:space="0" w:color="auto"/>
              <w:left w:val="nil"/>
              <w:bottom w:val="single" w:sz="4" w:space="0" w:color="auto"/>
              <w:right w:val="single" w:sz="4" w:space="0" w:color="auto"/>
            </w:tcBorders>
            <w:shd w:val="clear" w:color="auto" w:fill="C6EFCE"/>
            <w:noWrap/>
            <w:vAlign w:val="center"/>
          </w:tcPr>
          <w:p w14:paraId="5FB611CD"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0</w:t>
            </w:r>
          </w:p>
        </w:tc>
        <w:tc>
          <w:tcPr>
            <w:tcW w:w="720" w:type="dxa"/>
            <w:tcBorders>
              <w:top w:val="single" w:sz="4" w:space="0" w:color="auto"/>
              <w:left w:val="nil"/>
              <w:bottom w:val="single" w:sz="4" w:space="0" w:color="auto"/>
              <w:right w:val="single" w:sz="4" w:space="0" w:color="auto"/>
            </w:tcBorders>
            <w:shd w:val="clear" w:color="auto" w:fill="C6EFCE"/>
            <w:noWrap/>
            <w:vAlign w:val="center"/>
          </w:tcPr>
          <w:p w14:paraId="66D5D497" w14:textId="2F6621BC" w:rsidR="006A41D9" w:rsidRPr="001961AA" w:rsidRDefault="00CD0F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39</w:t>
            </w:r>
          </w:p>
        </w:tc>
        <w:tc>
          <w:tcPr>
            <w:tcW w:w="1080" w:type="dxa"/>
            <w:tcBorders>
              <w:top w:val="single" w:sz="4" w:space="0" w:color="auto"/>
              <w:left w:val="nil"/>
              <w:bottom w:val="single" w:sz="4" w:space="0" w:color="auto"/>
              <w:right w:val="single" w:sz="4" w:space="0" w:color="auto"/>
            </w:tcBorders>
            <w:shd w:val="clear" w:color="auto" w:fill="C6EFCE"/>
            <w:noWrap/>
            <w:vAlign w:val="center"/>
          </w:tcPr>
          <w:p w14:paraId="04B34BA3" w14:textId="7C290049" w:rsidR="006A41D9" w:rsidRPr="001961AA" w:rsidRDefault="006A41D9" w:rsidP="00EF46C7">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Q2</w:t>
            </w:r>
          </w:p>
        </w:tc>
        <w:tc>
          <w:tcPr>
            <w:tcW w:w="720" w:type="dxa"/>
            <w:tcBorders>
              <w:top w:val="single" w:sz="4" w:space="0" w:color="auto"/>
              <w:left w:val="nil"/>
              <w:bottom w:val="single" w:sz="4" w:space="0" w:color="auto"/>
              <w:right w:val="single" w:sz="4" w:space="0" w:color="auto"/>
            </w:tcBorders>
            <w:shd w:val="clear" w:color="auto" w:fill="C6EFCE"/>
            <w:noWrap/>
            <w:vAlign w:val="center"/>
          </w:tcPr>
          <w:p w14:paraId="6D6971BF" w14:textId="4BFCEC4D"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2026</w:t>
            </w:r>
          </w:p>
        </w:tc>
        <w:tc>
          <w:tcPr>
            <w:tcW w:w="3691" w:type="dxa"/>
            <w:tcBorders>
              <w:top w:val="single" w:sz="4" w:space="0" w:color="auto"/>
              <w:left w:val="nil"/>
              <w:bottom w:val="single" w:sz="4" w:space="0" w:color="auto"/>
              <w:right w:val="single" w:sz="4" w:space="0" w:color="auto"/>
            </w:tcBorders>
            <w:shd w:val="clear" w:color="auto" w:fill="C6EFCE"/>
            <w:noWrap/>
            <w:vAlign w:val="center"/>
          </w:tcPr>
          <w:p w14:paraId="013D9BCF" w14:textId="17D501CA"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The construction of at least 5 pieces of infrastructure (of which a storage hall, a mill, a fruit/vegetables transformation unit and a BtoB storage hall and market place), 30 small scale infrastructure and 4 larger structuring projects is completed and a budget of EUR 40 500 000 is executed.</w:t>
            </w:r>
          </w:p>
        </w:tc>
      </w:tr>
      <w:tr w:rsidR="004868CC" w:rsidRPr="001961AA" w14:paraId="59FB93BA" w14:textId="77777777" w:rsidTr="00300C11">
        <w:trPr>
          <w:trHeight w:val="309"/>
        </w:trPr>
        <w:tc>
          <w:tcPr>
            <w:tcW w:w="68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1BBC2CD"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192</w:t>
            </w:r>
          </w:p>
        </w:tc>
        <w:tc>
          <w:tcPr>
            <w:tcW w:w="1446" w:type="dxa"/>
            <w:tcBorders>
              <w:top w:val="single" w:sz="4" w:space="0" w:color="auto"/>
              <w:left w:val="nil"/>
              <w:bottom w:val="single" w:sz="4" w:space="0" w:color="auto"/>
              <w:right w:val="single" w:sz="4" w:space="0" w:color="auto"/>
            </w:tcBorders>
            <w:shd w:val="clear" w:color="auto" w:fill="C6EFCE"/>
            <w:noWrap/>
            <w:vAlign w:val="center"/>
          </w:tcPr>
          <w:p w14:paraId="6B2CDA85"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Digitisation of the Walloon tourism sector (I-5.13)</w:t>
            </w:r>
          </w:p>
        </w:tc>
        <w:tc>
          <w:tcPr>
            <w:tcW w:w="1200" w:type="dxa"/>
            <w:tcBorders>
              <w:top w:val="single" w:sz="4" w:space="0" w:color="auto"/>
              <w:left w:val="nil"/>
              <w:bottom w:val="single" w:sz="4" w:space="0" w:color="auto"/>
              <w:right w:val="single" w:sz="4" w:space="0" w:color="auto"/>
            </w:tcBorders>
            <w:shd w:val="clear" w:color="auto" w:fill="C6EFCE"/>
            <w:noWrap/>
            <w:vAlign w:val="center"/>
          </w:tcPr>
          <w:p w14:paraId="32C810AC" w14:textId="31A0C1AA"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T</w:t>
            </w:r>
          </w:p>
        </w:tc>
        <w:tc>
          <w:tcPr>
            <w:tcW w:w="1800" w:type="dxa"/>
            <w:tcBorders>
              <w:top w:val="single" w:sz="4" w:space="0" w:color="auto"/>
              <w:left w:val="nil"/>
              <w:bottom w:val="single" w:sz="4" w:space="0" w:color="auto"/>
              <w:right w:val="single" w:sz="4" w:space="0" w:color="auto"/>
            </w:tcBorders>
            <w:shd w:val="clear" w:color="auto" w:fill="C6EFCE"/>
            <w:noWrap/>
            <w:vAlign w:val="center"/>
          </w:tcPr>
          <w:p w14:paraId="40346B61"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Number of active users of the ‘outil regional de commercialisation’</w:t>
            </w:r>
          </w:p>
        </w:tc>
        <w:tc>
          <w:tcPr>
            <w:tcW w:w="2280" w:type="dxa"/>
            <w:tcBorders>
              <w:top w:val="single" w:sz="4" w:space="0" w:color="auto"/>
              <w:left w:val="nil"/>
              <w:bottom w:val="single" w:sz="4" w:space="0" w:color="auto"/>
              <w:right w:val="single" w:sz="4" w:space="0" w:color="auto"/>
            </w:tcBorders>
            <w:shd w:val="clear" w:color="auto" w:fill="C6EFCE"/>
            <w:noWrap/>
            <w:vAlign w:val="center"/>
          </w:tcPr>
          <w:p w14:paraId="36083A5C" w14:textId="77777777"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1200" w:type="dxa"/>
            <w:tcBorders>
              <w:top w:val="single" w:sz="4" w:space="0" w:color="auto"/>
              <w:left w:val="nil"/>
              <w:bottom w:val="single" w:sz="4" w:space="0" w:color="auto"/>
              <w:right w:val="single" w:sz="4" w:space="0" w:color="auto"/>
            </w:tcBorders>
            <w:shd w:val="clear" w:color="auto" w:fill="C6EFCE"/>
            <w:noWrap/>
            <w:vAlign w:val="center"/>
          </w:tcPr>
          <w:p w14:paraId="74B3B841"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Active users</w:t>
            </w:r>
          </w:p>
        </w:tc>
        <w:tc>
          <w:tcPr>
            <w:tcW w:w="1080" w:type="dxa"/>
            <w:tcBorders>
              <w:top w:val="single" w:sz="4" w:space="0" w:color="auto"/>
              <w:left w:val="nil"/>
              <w:bottom w:val="single" w:sz="4" w:space="0" w:color="auto"/>
              <w:right w:val="single" w:sz="4" w:space="0" w:color="auto"/>
            </w:tcBorders>
            <w:shd w:val="clear" w:color="auto" w:fill="C6EFCE"/>
            <w:noWrap/>
            <w:vAlign w:val="center"/>
          </w:tcPr>
          <w:p w14:paraId="6ABDE141" w14:textId="61B26D76"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0</w:t>
            </w:r>
          </w:p>
        </w:tc>
        <w:tc>
          <w:tcPr>
            <w:tcW w:w="720" w:type="dxa"/>
            <w:tcBorders>
              <w:top w:val="single" w:sz="4" w:space="0" w:color="auto"/>
              <w:left w:val="nil"/>
              <w:bottom w:val="single" w:sz="4" w:space="0" w:color="auto"/>
              <w:right w:val="single" w:sz="4" w:space="0" w:color="auto"/>
            </w:tcBorders>
            <w:shd w:val="clear" w:color="auto" w:fill="C6EFCE"/>
            <w:noWrap/>
            <w:vAlign w:val="center"/>
          </w:tcPr>
          <w:p w14:paraId="2C87B9F1" w14:textId="4005AE2B"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685</w:t>
            </w:r>
          </w:p>
        </w:tc>
        <w:tc>
          <w:tcPr>
            <w:tcW w:w="1080" w:type="dxa"/>
            <w:tcBorders>
              <w:top w:val="single" w:sz="4" w:space="0" w:color="auto"/>
              <w:left w:val="nil"/>
              <w:bottom w:val="single" w:sz="4" w:space="0" w:color="auto"/>
              <w:right w:val="single" w:sz="4" w:space="0" w:color="auto"/>
            </w:tcBorders>
            <w:shd w:val="clear" w:color="auto" w:fill="C6EFCE"/>
            <w:noWrap/>
            <w:vAlign w:val="center"/>
          </w:tcPr>
          <w:p w14:paraId="6DF50CB1"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Q4</w:t>
            </w:r>
          </w:p>
        </w:tc>
        <w:tc>
          <w:tcPr>
            <w:tcW w:w="720" w:type="dxa"/>
            <w:tcBorders>
              <w:top w:val="single" w:sz="4" w:space="0" w:color="auto"/>
              <w:left w:val="nil"/>
              <w:bottom w:val="single" w:sz="4" w:space="0" w:color="auto"/>
              <w:right w:val="single" w:sz="4" w:space="0" w:color="auto"/>
            </w:tcBorders>
            <w:shd w:val="clear" w:color="auto" w:fill="C6EFCE"/>
            <w:noWrap/>
            <w:vAlign w:val="center"/>
          </w:tcPr>
          <w:p w14:paraId="6CF4E0B4"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2025</w:t>
            </w:r>
          </w:p>
        </w:tc>
        <w:tc>
          <w:tcPr>
            <w:tcW w:w="3691" w:type="dxa"/>
            <w:tcBorders>
              <w:top w:val="single" w:sz="4" w:space="0" w:color="auto"/>
              <w:left w:val="nil"/>
              <w:bottom w:val="single" w:sz="4" w:space="0" w:color="auto"/>
              <w:right w:val="single" w:sz="4" w:space="0" w:color="auto"/>
            </w:tcBorders>
            <w:shd w:val="clear" w:color="auto" w:fill="C6EFCE"/>
            <w:noWrap/>
            <w:vAlign w:val="center"/>
          </w:tcPr>
          <w:p w14:paraId="095D43B8" w14:textId="34F778C5"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685 tourism operators are active users of the ‘outil régional de commercialisation’. An active user is defined as a user or tourism operator using the ‘Outil regional de commercialisation’ (ORC) directly as an online reservation tool or cash register tool or whose online reservation tool is directly linked to the ORC.</w:t>
            </w:r>
          </w:p>
        </w:tc>
      </w:tr>
      <w:tr w:rsidR="004868CC" w:rsidRPr="001961AA" w14:paraId="29A7F234" w14:textId="77777777" w:rsidTr="00300C11">
        <w:trPr>
          <w:trHeight w:val="309"/>
        </w:trPr>
        <w:tc>
          <w:tcPr>
            <w:tcW w:w="68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35F3504"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193</w:t>
            </w:r>
          </w:p>
        </w:tc>
        <w:tc>
          <w:tcPr>
            <w:tcW w:w="1446" w:type="dxa"/>
            <w:tcBorders>
              <w:top w:val="single" w:sz="4" w:space="0" w:color="auto"/>
              <w:left w:val="nil"/>
              <w:bottom w:val="single" w:sz="4" w:space="0" w:color="auto"/>
              <w:right w:val="single" w:sz="4" w:space="0" w:color="auto"/>
            </w:tcBorders>
            <w:shd w:val="clear" w:color="auto" w:fill="C6EFCE"/>
            <w:noWrap/>
            <w:vAlign w:val="center"/>
          </w:tcPr>
          <w:p w14:paraId="1681AA41"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Reform - Faster permit and appeal procedures (R-5.06)</w:t>
            </w:r>
          </w:p>
        </w:tc>
        <w:tc>
          <w:tcPr>
            <w:tcW w:w="1200" w:type="dxa"/>
            <w:tcBorders>
              <w:top w:val="single" w:sz="4" w:space="0" w:color="auto"/>
              <w:left w:val="nil"/>
              <w:bottom w:val="single" w:sz="4" w:space="0" w:color="auto"/>
              <w:right w:val="single" w:sz="4" w:space="0" w:color="auto"/>
            </w:tcBorders>
            <w:shd w:val="clear" w:color="auto" w:fill="C6EFCE"/>
            <w:noWrap/>
            <w:vAlign w:val="center"/>
          </w:tcPr>
          <w:p w14:paraId="076D4440" w14:textId="12486BDB"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M</w:t>
            </w:r>
          </w:p>
        </w:tc>
        <w:tc>
          <w:tcPr>
            <w:tcW w:w="1800" w:type="dxa"/>
            <w:tcBorders>
              <w:top w:val="single" w:sz="4" w:space="0" w:color="auto"/>
              <w:left w:val="nil"/>
              <w:bottom w:val="single" w:sz="4" w:space="0" w:color="auto"/>
              <w:right w:val="single" w:sz="4" w:space="0" w:color="auto"/>
            </w:tcBorders>
            <w:shd w:val="clear" w:color="auto" w:fill="C6EFCE"/>
            <w:noWrap/>
            <w:vAlign w:val="center"/>
          </w:tcPr>
          <w:p w14:paraId="05E00D6A"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Reform of the environmental permit and appeal procedures</w:t>
            </w:r>
          </w:p>
        </w:tc>
        <w:tc>
          <w:tcPr>
            <w:tcW w:w="2280" w:type="dxa"/>
            <w:tcBorders>
              <w:top w:val="single" w:sz="4" w:space="0" w:color="auto"/>
              <w:left w:val="nil"/>
              <w:bottom w:val="single" w:sz="4" w:space="0" w:color="auto"/>
              <w:right w:val="single" w:sz="4" w:space="0" w:color="auto"/>
            </w:tcBorders>
            <w:shd w:val="clear" w:color="auto" w:fill="C6EFCE"/>
            <w:noWrap/>
            <w:vAlign w:val="center"/>
          </w:tcPr>
          <w:p w14:paraId="7F6F5DE4"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Publication of a report and government decisions.</w:t>
            </w:r>
          </w:p>
        </w:tc>
        <w:tc>
          <w:tcPr>
            <w:tcW w:w="1200" w:type="dxa"/>
            <w:tcBorders>
              <w:top w:val="single" w:sz="4" w:space="0" w:color="auto"/>
              <w:left w:val="nil"/>
              <w:bottom w:val="single" w:sz="4" w:space="0" w:color="auto"/>
              <w:right w:val="single" w:sz="4" w:space="0" w:color="auto"/>
            </w:tcBorders>
            <w:shd w:val="clear" w:color="auto" w:fill="C6EFCE"/>
            <w:noWrap/>
            <w:vAlign w:val="center"/>
          </w:tcPr>
          <w:p w14:paraId="6E71F17B" w14:textId="77777777" w:rsidR="006A41D9" w:rsidRPr="001961AA" w:rsidRDefault="006A41D9" w:rsidP="00BD6DD1">
            <w:pPr>
              <w:spacing w:after="0"/>
              <w:jc w:val="center"/>
              <w:rPr>
                <w:rFonts w:ascii="Times New Roman" w:eastAsia="Times New Roman" w:hAnsi="Times New Roman" w:cs="Times New Roman"/>
                <w:noProof/>
                <w:color w:val="006100"/>
                <w:lang w:val="en-GB" w:eastAsia="en-GB"/>
              </w:rPr>
            </w:pPr>
          </w:p>
        </w:tc>
        <w:tc>
          <w:tcPr>
            <w:tcW w:w="1080" w:type="dxa"/>
            <w:tcBorders>
              <w:top w:val="single" w:sz="4" w:space="0" w:color="auto"/>
              <w:left w:val="nil"/>
              <w:bottom w:val="single" w:sz="4" w:space="0" w:color="auto"/>
              <w:right w:val="single" w:sz="4" w:space="0" w:color="auto"/>
            </w:tcBorders>
            <w:shd w:val="clear" w:color="auto" w:fill="C6EFCE"/>
            <w:noWrap/>
            <w:vAlign w:val="center"/>
          </w:tcPr>
          <w:p w14:paraId="2449ED0D" w14:textId="77777777" w:rsidR="006A41D9" w:rsidRPr="001961AA" w:rsidRDefault="006A41D9" w:rsidP="00BD6DD1">
            <w:pPr>
              <w:spacing w:after="0"/>
              <w:jc w:val="center"/>
              <w:rPr>
                <w:rFonts w:ascii="Times New Roman" w:eastAsia="Times New Roman" w:hAnsi="Times New Roman" w:cs="Times New Roman"/>
                <w:noProof/>
                <w:color w:val="006100"/>
                <w:lang w:val="en-GB" w:eastAsia="en-GB"/>
              </w:rPr>
            </w:pPr>
          </w:p>
        </w:tc>
        <w:tc>
          <w:tcPr>
            <w:tcW w:w="720" w:type="dxa"/>
            <w:tcBorders>
              <w:top w:val="single" w:sz="4" w:space="0" w:color="auto"/>
              <w:left w:val="nil"/>
              <w:bottom w:val="single" w:sz="4" w:space="0" w:color="auto"/>
              <w:right w:val="single" w:sz="4" w:space="0" w:color="auto"/>
            </w:tcBorders>
            <w:shd w:val="clear" w:color="auto" w:fill="C6EFCE"/>
            <w:noWrap/>
            <w:vAlign w:val="center"/>
          </w:tcPr>
          <w:p w14:paraId="4317DED1" w14:textId="77777777" w:rsidR="006A41D9" w:rsidRPr="001961AA" w:rsidRDefault="006A41D9" w:rsidP="00BD6DD1">
            <w:pPr>
              <w:spacing w:after="0"/>
              <w:jc w:val="center"/>
              <w:rPr>
                <w:rFonts w:ascii="Times New Roman" w:eastAsia="Times New Roman" w:hAnsi="Times New Roman" w:cs="Times New Roman"/>
                <w:noProof/>
                <w:color w:val="006100"/>
                <w:lang w:val="en-GB" w:eastAsia="en-GB"/>
              </w:rPr>
            </w:pPr>
          </w:p>
        </w:tc>
        <w:tc>
          <w:tcPr>
            <w:tcW w:w="1080" w:type="dxa"/>
            <w:tcBorders>
              <w:top w:val="single" w:sz="4" w:space="0" w:color="auto"/>
              <w:left w:val="nil"/>
              <w:bottom w:val="single" w:sz="4" w:space="0" w:color="auto"/>
              <w:right w:val="single" w:sz="4" w:space="0" w:color="auto"/>
            </w:tcBorders>
            <w:shd w:val="clear" w:color="auto" w:fill="C6EFCE"/>
            <w:noWrap/>
            <w:vAlign w:val="center"/>
          </w:tcPr>
          <w:p w14:paraId="05CBE2A1"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Q4</w:t>
            </w:r>
          </w:p>
        </w:tc>
        <w:tc>
          <w:tcPr>
            <w:tcW w:w="720" w:type="dxa"/>
            <w:tcBorders>
              <w:top w:val="single" w:sz="4" w:space="0" w:color="auto"/>
              <w:left w:val="nil"/>
              <w:bottom w:val="single" w:sz="4" w:space="0" w:color="auto"/>
              <w:right w:val="single" w:sz="4" w:space="0" w:color="auto"/>
            </w:tcBorders>
            <w:shd w:val="clear" w:color="auto" w:fill="C6EFCE"/>
            <w:noWrap/>
            <w:vAlign w:val="center"/>
          </w:tcPr>
          <w:p w14:paraId="79C1E0C6"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2022</w:t>
            </w:r>
          </w:p>
        </w:tc>
        <w:tc>
          <w:tcPr>
            <w:tcW w:w="3691" w:type="dxa"/>
            <w:tcBorders>
              <w:top w:val="single" w:sz="4" w:space="0" w:color="auto"/>
              <w:left w:val="nil"/>
              <w:bottom w:val="single" w:sz="4" w:space="0" w:color="auto"/>
              <w:right w:val="single" w:sz="4" w:space="0" w:color="auto"/>
            </w:tcBorders>
            <w:shd w:val="clear" w:color="auto" w:fill="C6EFCE"/>
            <w:noWrap/>
            <w:vAlign w:val="center"/>
          </w:tcPr>
          <w:p w14:paraId="1DD9052B"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Publication of a report endorsed by Cabinet van Flemish Minister for Justice and Enforcement, Environment, Energy and Tourism providing an overview of new and reviewed measures to simplify administrative procedures related to environmental permit procedures and government decisions.</w:t>
            </w:r>
          </w:p>
        </w:tc>
      </w:tr>
      <w:tr w:rsidR="004868CC" w:rsidRPr="001961AA" w14:paraId="1E912D3E" w14:textId="77777777" w:rsidTr="00300C11">
        <w:trPr>
          <w:trHeight w:val="309"/>
        </w:trPr>
        <w:tc>
          <w:tcPr>
            <w:tcW w:w="68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B03757B"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194</w:t>
            </w:r>
          </w:p>
        </w:tc>
        <w:tc>
          <w:tcPr>
            <w:tcW w:w="1446" w:type="dxa"/>
            <w:tcBorders>
              <w:top w:val="single" w:sz="4" w:space="0" w:color="auto"/>
              <w:left w:val="nil"/>
              <w:bottom w:val="single" w:sz="4" w:space="0" w:color="auto"/>
              <w:right w:val="single" w:sz="4" w:space="0" w:color="auto"/>
            </w:tcBorders>
            <w:shd w:val="clear" w:color="auto" w:fill="C6EFCE"/>
            <w:noWrap/>
            <w:vAlign w:val="center"/>
          </w:tcPr>
          <w:p w14:paraId="3EBEB930"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Reform - Broadening innovation base (R-5.07)</w:t>
            </w:r>
          </w:p>
        </w:tc>
        <w:tc>
          <w:tcPr>
            <w:tcW w:w="1200" w:type="dxa"/>
            <w:tcBorders>
              <w:top w:val="single" w:sz="4" w:space="0" w:color="auto"/>
              <w:left w:val="nil"/>
              <w:bottom w:val="single" w:sz="4" w:space="0" w:color="auto"/>
              <w:right w:val="single" w:sz="4" w:space="0" w:color="auto"/>
            </w:tcBorders>
            <w:shd w:val="clear" w:color="auto" w:fill="C6EFCE"/>
            <w:noWrap/>
            <w:vAlign w:val="center"/>
          </w:tcPr>
          <w:p w14:paraId="35D3478C" w14:textId="35467745"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M</w:t>
            </w:r>
          </w:p>
        </w:tc>
        <w:tc>
          <w:tcPr>
            <w:tcW w:w="1800" w:type="dxa"/>
            <w:tcBorders>
              <w:top w:val="single" w:sz="4" w:space="0" w:color="auto"/>
              <w:left w:val="nil"/>
              <w:bottom w:val="single" w:sz="4" w:space="0" w:color="auto"/>
              <w:right w:val="single" w:sz="4" w:space="0" w:color="auto"/>
            </w:tcBorders>
            <w:shd w:val="clear" w:color="auto" w:fill="C6EFCE"/>
            <w:noWrap/>
            <w:vAlign w:val="center"/>
          </w:tcPr>
          <w:p w14:paraId="056C88ED"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Reform of the regulation for innovation support</w:t>
            </w:r>
          </w:p>
        </w:tc>
        <w:tc>
          <w:tcPr>
            <w:tcW w:w="2280" w:type="dxa"/>
            <w:tcBorders>
              <w:top w:val="single" w:sz="4" w:space="0" w:color="auto"/>
              <w:left w:val="nil"/>
              <w:bottom w:val="single" w:sz="4" w:space="0" w:color="auto"/>
              <w:right w:val="single" w:sz="4" w:space="0" w:color="auto"/>
            </w:tcBorders>
            <w:shd w:val="clear" w:color="auto" w:fill="C6EFCE"/>
            <w:noWrap/>
            <w:vAlign w:val="center"/>
          </w:tcPr>
          <w:p w14:paraId="2FCD8F04"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Publication of a report and related government decisions</w:t>
            </w:r>
          </w:p>
        </w:tc>
        <w:tc>
          <w:tcPr>
            <w:tcW w:w="1200" w:type="dxa"/>
            <w:tcBorders>
              <w:top w:val="single" w:sz="4" w:space="0" w:color="auto"/>
              <w:left w:val="nil"/>
              <w:bottom w:val="single" w:sz="4" w:space="0" w:color="auto"/>
              <w:right w:val="single" w:sz="4" w:space="0" w:color="auto"/>
            </w:tcBorders>
            <w:shd w:val="clear" w:color="auto" w:fill="C6EFCE"/>
            <w:noWrap/>
            <w:vAlign w:val="center"/>
          </w:tcPr>
          <w:p w14:paraId="7BF458A7" w14:textId="77777777" w:rsidR="006A41D9" w:rsidRPr="001961AA" w:rsidRDefault="006A41D9" w:rsidP="00BD6DD1">
            <w:pPr>
              <w:spacing w:after="0"/>
              <w:jc w:val="center"/>
              <w:rPr>
                <w:rFonts w:ascii="Times New Roman" w:eastAsia="Times New Roman" w:hAnsi="Times New Roman" w:cs="Times New Roman"/>
                <w:noProof/>
                <w:color w:val="006100"/>
                <w:lang w:val="en-GB" w:eastAsia="en-GB"/>
              </w:rPr>
            </w:pPr>
          </w:p>
        </w:tc>
        <w:tc>
          <w:tcPr>
            <w:tcW w:w="1080" w:type="dxa"/>
            <w:tcBorders>
              <w:top w:val="single" w:sz="4" w:space="0" w:color="auto"/>
              <w:left w:val="nil"/>
              <w:bottom w:val="single" w:sz="4" w:space="0" w:color="auto"/>
              <w:right w:val="single" w:sz="4" w:space="0" w:color="auto"/>
            </w:tcBorders>
            <w:shd w:val="clear" w:color="auto" w:fill="C6EFCE"/>
            <w:noWrap/>
            <w:vAlign w:val="center"/>
          </w:tcPr>
          <w:p w14:paraId="67F9F474" w14:textId="77777777" w:rsidR="006A41D9" w:rsidRPr="001961AA" w:rsidRDefault="006A41D9" w:rsidP="00BD6DD1">
            <w:pPr>
              <w:spacing w:after="0"/>
              <w:jc w:val="center"/>
              <w:rPr>
                <w:rFonts w:ascii="Times New Roman" w:eastAsia="Times New Roman" w:hAnsi="Times New Roman" w:cs="Times New Roman"/>
                <w:noProof/>
                <w:color w:val="006100"/>
                <w:lang w:val="en-GB" w:eastAsia="en-GB"/>
              </w:rPr>
            </w:pPr>
          </w:p>
        </w:tc>
        <w:tc>
          <w:tcPr>
            <w:tcW w:w="720" w:type="dxa"/>
            <w:tcBorders>
              <w:top w:val="single" w:sz="4" w:space="0" w:color="auto"/>
              <w:left w:val="nil"/>
              <w:bottom w:val="single" w:sz="4" w:space="0" w:color="auto"/>
              <w:right w:val="single" w:sz="4" w:space="0" w:color="auto"/>
            </w:tcBorders>
            <w:shd w:val="clear" w:color="auto" w:fill="C6EFCE"/>
            <w:noWrap/>
            <w:vAlign w:val="center"/>
          </w:tcPr>
          <w:p w14:paraId="7B23F4A8" w14:textId="77777777" w:rsidR="006A41D9" w:rsidRPr="001961AA" w:rsidRDefault="006A41D9" w:rsidP="00BD6DD1">
            <w:pPr>
              <w:spacing w:after="0"/>
              <w:jc w:val="center"/>
              <w:rPr>
                <w:rFonts w:ascii="Times New Roman" w:eastAsia="Times New Roman" w:hAnsi="Times New Roman" w:cs="Times New Roman"/>
                <w:noProof/>
                <w:color w:val="006100"/>
                <w:lang w:val="en-GB" w:eastAsia="en-GB"/>
              </w:rPr>
            </w:pPr>
          </w:p>
        </w:tc>
        <w:tc>
          <w:tcPr>
            <w:tcW w:w="1080" w:type="dxa"/>
            <w:tcBorders>
              <w:top w:val="single" w:sz="4" w:space="0" w:color="auto"/>
              <w:left w:val="nil"/>
              <w:bottom w:val="single" w:sz="4" w:space="0" w:color="auto"/>
              <w:right w:val="single" w:sz="4" w:space="0" w:color="auto"/>
            </w:tcBorders>
            <w:shd w:val="clear" w:color="auto" w:fill="C6EFCE"/>
            <w:noWrap/>
            <w:vAlign w:val="center"/>
          </w:tcPr>
          <w:p w14:paraId="2D6DCE2A"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Q4</w:t>
            </w:r>
          </w:p>
        </w:tc>
        <w:tc>
          <w:tcPr>
            <w:tcW w:w="720" w:type="dxa"/>
            <w:tcBorders>
              <w:top w:val="single" w:sz="4" w:space="0" w:color="auto"/>
              <w:left w:val="nil"/>
              <w:bottom w:val="single" w:sz="4" w:space="0" w:color="auto"/>
              <w:right w:val="single" w:sz="4" w:space="0" w:color="auto"/>
            </w:tcBorders>
            <w:shd w:val="clear" w:color="auto" w:fill="C6EFCE"/>
            <w:noWrap/>
            <w:vAlign w:val="center"/>
          </w:tcPr>
          <w:p w14:paraId="688AE1EB"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2022</w:t>
            </w:r>
          </w:p>
        </w:tc>
        <w:tc>
          <w:tcPr>
            <w:tcW w:w="3691" w:type="dxa"/>
            <w:tcBorders>
              <w:top w:val="single" w:sz="4" w:space="0" w:color="auto"/>
              <w:left w:val="nil"/>
              <w:bottom w:val="single" w:sz="4" w:space="0" w:color="auto"/>
              <w:right w:val="single" w:sz="4" w:space="0" w:color="auto"/>
            </w:tcBorders>
            <w:shd w:val="clear" w:color="auto" w:fill="C6EFCE"/>
            <w:noWrap/>
            <w:vAlign w:val="center"/>
          </w:tcPr>
          <w:p w14:paraId="3309EB35"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Publication of a report endorsed by Flemish minister of Economy, Innovation, Work, Social economy and Agriculture providing an overview of new and reviewed measures to improve access for SMEs to measures for innovation support, and the related government decisions.</w:t>
            </w:r>
          </w:p>
        </w:tc>
      </w:tr>
      <w:tr w:rsidR="004868CC" w:rsidRPr="001961AA" w14:paraId="69BA7E36" w14:textId="77777777" w:rsidTr="00300C11">
        <w:trPr>
          <w:trHeight w:val="309"/>
        </w:trPr>
        <w:tc>
          <w:tcPr>
            <w:tcW w:w="68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28166F6" w14:textId="14E0EC8B" w:rsidR="006A41D9" w:rsidRPr="001961AA" w:rsidRDefault="00BF0337" w:rsidP="00BD6DD1">
            <w:pPr>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247</w:t>
            </w:r>
          </w:p>
        </w:tc>
        <w:tc>
          <w:tcPr>
            <w:tcW w:w="1446" w:type="dxa"/>
            <w:tcBorders>
              <w:top w:val="single" w:sz="4" w:space="0" w:color="auto"/>
              <w:left w:val="nil"/>
              <w:bottom w:val="single" w:sz="4" w:space="0" w:color="auto"/>
              <w:right w:val="single" w:sz="4" w:space="0" w:color="auto"/>
            </w:tcBorders>
            <w:shd w:val="clear" w:color="auto" w:fill="C6EFCE"/>
            <w:noWrap/>
            <w:vAlign w:val="center"/>
          </w:tcPr>
          <w:p w14:paraId="7957B11F" w14:textId="77777777" w:rsidR="006A41D9" w:rsidRPr="001961AA" w:rsidRDefault="006A41D9" w:rsidP="00BD6DD1">
            <w:pP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Nuclear medicine – the theranostic approach (I-5.08bis)</w:t>
            </w:r>
          </w:p>
        </w:tc>
        <w:tc>
          <w:tcPr>
            <w:tcW w:w="1200" w:type="dxa"/>
            <w:tcBorders>
              <w:top w:val="single" w:sz="4" w:space="0" w:color="auto"/>
              <w:left w:val="nil"/>
              <w:bottom w:val="single" w:sz="4" w:space="0" w:color="auto"/>
              <w:right w:val="single" w:sz="4" w:space="0" w:color="auto"/>
            </w:tcBorders>
            <w:shd w:val="clear" w:color="auto" w:fill="C6EFCE"/>
            <w:noWrap/>
            <w:vAlign w:val="center"/>
          </w:tcPr>
          <w:p w14:paraId="3432F696" w14:textId="77046BFB" w:rsidR="006A41D9" w:rsidRPr="001961AA" w:rsidRDefault="006A41D9" w:rsidP="00BD6DD1">
            <w:pP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M</w:t>
            </w:r>
          </w:p>
        </w:tc>
        <w:tc>
          <w:tcPr>
            <w:tcW w:w="1800" w:type="dxa"/>
            <w:tcBorders>
              <w:top w:val="single" w:sz="4" w:space="0" w:color="auto"/>
              <w:left w:val="nil"/>
              <w:bottom w:val="single" w:sz="4" w:space="0" w:color="auto"/>
              <w:right w:val="single" w:sz="4" w:space="0" w:color="auto"/>
            </w:tcBorders>
            <w:shd w:val="clear" w:color="auto" w:fill="C6EFCE"/>
            <w:noWrap/>
            <w:vAlign w:val="center"/>
          </w:tcPr>
          <w:p w14:paraId="222AA9F1" w14:textId="77777777" w:rsidR="006A41D9" w:rsidRPr="001961AA" w:rsidRDefault="006A41D9" w:rsidP="00BD6DD1">
            <w:pP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R&amp;D development completed</w:t>
            </w:r>
          </w:p>
        </w:tc>
        <w:tc>
          <w:tcPr>
            <w:tcW w:w="2280" w:type="dxa"/>
            <w:tcBorders>
              <w:top w:val="single" w:sz="4" w:space="0" w:color="auto"/>
              <w:left w:val="nil"/>
              <w:bottom w:val="single" w:sz="4" w:space="0" w:color="auto"/>
              <w:right w:val="single" w:sz="4" w:space="0" w:color="auto"/>
            </w:tcBorders>
            <w:shd w:val="clear" w:color="auto" w:fill="C6EFCE"/>
            <w:noWrap/>
            <w:vAlign w:val="center"/>
          </w:tcPr>
          <w:p w14:paraId="59C64709" w14:textId="77777777" w:rsidR="006A41D9" w:rsidRPr="001961AA" w:rsidRDefault="006A41D9" w:rsidP="00BD6DD1">
            <w:pP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 xml:space="preserve">Two R&amp;D projects are completed </w:t>
            </w:r>
          </w:p>
        </w:tc>
        <w:tc>
          <w:tcPr>
            <w:tcW w:w="1200" w:type="dxa"/>
            <w:tcBorders>
              <w:top w:val="single" w:sz="4" w:space="0" w:color="auto"/>
              <w:left w:val="nil"/>
              <w:bottom w:val="single" w:sz="4" w:space="0" w:color="auto"/>
              <w:right w:val="single" w:sz="4" w:space="0" w:color="auto"/>
            </w:tcBorders>
            <w:shd w:val="clear" w:color="auto" w:fill="C6EFCE"/>
            <w:noWrap/>
            <w:vAlign w:val="center"/>
          </w:tcPr>
          <w:p w14:paraId="269FFEDC" w14:textId="77777777" w:rsidR="006A41D9" w:rsidRPr="001961AA" w:rsidRDefault="006A41D9" w:rsidP="00BD6DD1">
            <w:pPr>
              <w:jc w:val="center"/>
              <w:rPr>
                <w:rFonts w:ascii="Times New Roman" w:eastAsia="Times New Roman" w:hAnsi="Times New Roman" w:cs="Times New Roman"/>
                <w:noProof/>
                <w:color w:val="006100"/>
                <w:lang w:val="en-GB" w:eastAsia="en-GB"/>
              </w:rPr>
            </w:pPr>
          </w:p>
        </w:tc>
        <w:tc>
          <w:tcPr>
            <w:tcW w:w="1080" w:type="dxa"/>
            <w:tcBorders>
              <w:top w:val="single" w:sz="4" w:space="0" w:color="auto"/>
              <w:left w:val="nil"/>
              <w:bottom w:val="single" w:sz="4" w:space="0" w:color="auto"/>
              <w:right w:val="single" w:sz="4" w:space="0" w:color="auto"/>
            </w:tcBorders>
            <w:shd w:val="clear" w:color="auto" w:fill="C6EFCE"/>
            <w:noWrap/>
            <w:vAlign w:val="center"/>
          </w:tcPr>
          <w:p w14:paraId="6301088C" w14:textId="77777777" w:rsidR="006A41D9" w:rsidRPr="001961AA" w:rsidRDefault="006A41D9" w:rsidP="00BD6DD1">
            <w:pPr>
              <w:jc w:val="center"/>
              <w:rPr>
                <w:rFonts w:ascii="Times New Roman" w:eastAsia="Times New Roman" w:hAnsi="Times New Roman" w:cs="Times New Roman"/>
                <w:noProof/>
                <w:color w:val="006100"/>
                <w:lang w:val="en-GB" w:eastAsia="en-GB"/>
              </w:rPr>
            </w:pPr>
          </w:p>
        </w:tc>
        <w:tc>
          <w:tcPr>
            <w:tcW w:w="720" w:type="dxa"/>
            <w:tcBorders>
              <w:top w:val="single" w:sz="4" w:space="0" w:color="auto"/>
              <w:left w:val="nil"/>
              <w:bottom w:val="single" w:sz="4" w:space="0" w:color="auto"/>
              <w:right w:val="single" w:sz="4" w:space="0" w:color="auto"/>
            </w:tcBorders>
            <w:shd w:val="clear" w:color="auto" w:fill="C6EFCE"/>
            <w:noWrap/>
            <w:vAlign w:val="center"/>
          </w:tcPr>
          <w:p w14:paraId="39B1DFC4" w14:textId="77777777" w:rsidR="006A41D9" w:rsidRPr="001961AA" w:rsidRDefault="006A41D9" w:rsidP="00BD6DD1">
            <w:pPr>
              <w:jc w:val="center"/>
              <w:rPr>
                <w:rFonts w:ascii="Times New Roman" w:eastAsia="Times New Roman" w:hAnsi="Times New Roman" w:cs="Times New Roman"/>
                <w:noProof/>
                <w:color w:val="006100"/>
                <w:lang w:val="en-GB" w:eastAsia="en-GB"/>
              </w:rPr>
            </w:pPr>
          </w:p>
        </w:tc>
        <w:tc>
          <w:tcPr>
            <w:tcW w:w="1080" w:type="dxa"/>
            <w:tcBorders>
              <w:top w:val="single" w:sz="4" w:space="0" w:color="auto"/>
              <w:left w:val="nil"/>
              <w:bottom w:val="single" w:sz="4" w:space="0" w:color="auto"/>
              <w:right w:val="single" w:sz="4" w:space="0" w:color="auto"/>
            </w:tcBorders>
            <w:shd w:val="clear" w:color="auto" w:fill="C6EFCE"/>
            <w:noWrap/>
            <w:vAlign w:val="center"/>
          </w:tcPr>
          <w:p w14:paraId="77E2342C" w14:textId="77777777" w:rsidR="006A41D9" w:rsidRPr="001961AA" w:rsidRDefault="006A41D9" w:rsidP="00BD6DD1">
            <w:pPr>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Q2</w:t>
            </w:r>
          </w:p>
        </w:tc>
        <w:tc>
          <w:tcPr>
            <w:tcW w:w="720" w:type="dxa"/>
            <w:tcBorders>
              <w:top w:val="single" w:sz="4" w:space="0" w:color="auto"/>
              <w:left w:val="nil"/>
              <w:bottom w:val="single" w:sz="4" w:space="0" w:color="auto"/>
              <w:right w:val="single" w:sz="4" w:space="0" w:color="auto"/>
            </w:tcBorders>
            <w:shd w:val="clear" w:color="auto" w:fill="C6EFCE"/>
            <w:noWrap/>
            <w:vAlign w:val="center"/>
          </w:tcPr>
          <w:p w14:paraId="3BF8713F" w14:textId="77777777" w:rsidR="006A41D9" w:rsidRPr="001961AA" w:rsidRDefault="006A41D9" w:rsidP="00BD6DD1">
            <w:pPr>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2026</w:t>
            </w:r>
          </w:p>
        </w:tc>
        <w:tc>
          <w:tcPr>
            <w:tcW w:w="3691" w:type="dxa"/>
            <w:tcBorders>
              <w:top w:val="single" w:sz="4" w:space="0" w:color="auto"/>
              <w:left w:val="nil"/>
              <w:bottom w:val="single" w:sz="4" w:space="0" w:color="auto"/>
              <w:right w:val="single" w:sz="4" w:space="0" w:color="auto"/>
            </w:tcBorders>
            <w:shd w:val="clear" w:color="auto" w:fill="C6EFCE"/>
            <w:noWrap/>
            <w:vAlign w:val="center"/>
          </w:tcPr>
          <w:p w14:paraId="451D6211" w14:textId="13DF5535" w:rsidR="006A41D9" w:rsidRPr="001961AA" w:rsidRDefault="006A41D9" w:rsidP="00BD6DD1">
            <w:pP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For the sub-project ‘Innovative target technology for cyclotron isotope production’ the R&amp;D activity is concluded. A new design is ready and allows to make prototype targets and have them irradiated for validation of the process in a new project.</w:t>
            </w:r>
          </w:p>
          <w:p w14:paraId="1347FA66" w14:textId="4372816C" w:rsidR="006A41D9" w:rsidRPr="001961AA" w:rsidRDefault="006A41D9" w:rsidP="00BD6DD1">
            <w:pP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For the sub-project ‘Optimizing LEU-based production process’ the R&amp;D activity is concluded. Opportunities for improvement have been evaluated and/or tested and the most relevant shall be listed.</w:t>
            </w:r>
          </w:p>
          <w:p w14:paraId="4B5DD4D3" w14:textId="6C59E33A" w:rsidR="006A41D9" w:rsidRPr="001961AA" w:rsidRDefault="006A41D9" w:rsidP="00BD6DD1">
            <w:pP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The R&amp;D activities for the two sub-projects are concluded and EUR 5 967 000 are executed.</w:t>
            </w:r>
          </w:p>
        </w:tc>
      </w:tr>
      <w:tr w:rsidR="004868CC" w:rsidRPr="001961AA" w14:paraId="36928AE2" w14:textId="77777777" w:rsidTr="00300C11">
        <w:trPr>
          <w:trHeight w:val="309"/>
        </w:trPr>
        <w:tc>
          <w:tcPr>
            <w:tcW w:w="68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288DC79" w14:textId="4F6F262D" w:rsidR="006A41D9" w:rsidRPr="001961AA" w:rsidRDefault="00BF0337" w:rsidP="00BD6DD1">
            <w:pPr>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248</w:t>
            </w:r>
          </w:p>
        </w:tc>
        <w:tc>
          <w:tcPr>
            <w:tcW w:w="1446" w:type="dxa"/>
            <w:tcBorders>
              <w:top w:val="single" w:sz="4" w:space="0" w:color="auto"/>
              <w:left w:val="nil"/>
              <w:bottom w:val="single" w:sz="4" w:space="0" w:color="auto"/>
              <w:right w:val="single" w:sz="4" w:space="0" w:color="auto"/>
            </w:tcBorders>
            <w:shd w:val="clear" w:color="auto" w:fill="C6EFCE"/>
            <w:noWrap/>
            <w:vAlign w:val="center"/>
          </w:tcPr>
          <w:p w14:paraId="477ED54A" w14:textId="77AFF986" w:rsidR="006A41D9" w:rsidRPr="001961AA" w:rsidRDefault="006A41D9" w:rsidP="00BD6DD1">
            <w:pP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SMELD – Fed (I-5.18)</w:t>
            </w:r>
          </w:p>
        </w:tc>
        <w:tc>
          <w:tcPr>
            <w:tcW w:w="1200" w:type="dxa"/>
            <w:tcBorders>
              <w:top w:val="single" w:sz="4" w:space="0" w:color="auto"/>
              <w:left w:val="nil"/>
              <w:bottom w:val="single" w:sz="4" w:space="0" w:color="auto"/>
              <w:right w:val="single" w:sz="4" w:space="0" w:color="auto"/>
            </w:tcBorders>
            <w:shd w:val="clear" w:color="auto" w:fill="C6EFCE"/>
            <w:noWrap/>
            <w:vAlign w:val="center"/>
          </w:tcPr>
          <w:p w14:paraId="67C94EB9" w14:textId="51FD8ABD" w:rsidR="006A41D9" w:rsidRPr="001961AA" w:rsidRDefault="006A41D9" w:rsidP="00BD6DD1">
            <w:pP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M</w:t>
            </w:r>
          </w:p>
        </w:tc>
        <w:tc>
          <w:tcPr>
            <w:tcW w:w="1800" w:type="dxa"/>
            <w:tcBorders>
              <w:top w:val="single" w:sz="4" w:space="0" w:color="auto"/>
              <w:left w:val="nil"/>
              <w:bottom w:val="single" w:sz="4" w:space="0" w:color="auto"/>
              <w:right w:val="single" w:sz="4" w:space="0" w:color="auto"/>
            </w:tcBorders>
            <w:shd w:val="clear" w:color="auto" w:fill="C6EFCE"/>
            <w:noWrap/>
            <w:vAlign w:val="center"/>
          </w:tcPr>
          <w:p w14:paraId="30DDFD0E" w14:textId="6B709C49" w:rsidR="006A41D9" w:rsidRPr="001961AA" w:rsidRDefault="008F6CB0" w:rsidP="00BD6DD1">
            <w:pP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Preparatory study on the requirements for setting up the melting furnace</w:t>
            </w:r>
          </w:p>
        </w:tc>
        <w:tc>
          <w:tcPr>
            <w:tcW w:w="2280" w:type="dxa"/>
            <w:tcBorders>
              <w:top w:val="single" w:sz="4" w:space="0" w:color="auto"/>
              <w:left w:val="nil"/>
              <w:bottom w:val="single" w:sz="4" w:space="0" w:color="auto"/>
              <w:right w:val="single" w:sz="4" w:space="0" w:color="auto"/>
            </w:tcBorders>
            <w:shd w:val="clear" w:color="auto" w:fill="C6EFCE"/>
            <w:noWrap/>
            <w:vAlign w:val="center"/>
          </w:tcPr>
          <w:p w14:paraId="4F41C080" w14:textId="77777777" w:rsidR="006A41D9" w:rsidRPr="001961AA" w:rsidRDefault="006A41D9" w:rsidP="00BD6DD1">
            <w:pP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Preparatory study published</w:t>
            </w:r>
          </w:p>
        </w:tc>
        <w:tc>
          <w:tcPr>
            <w:tcW w:w="1200" w:type="dxa"/>
            <w:tcBorders>
              <w:top w:val="single" w:sz="4" w:space="0" w:color="auto"/>
              <w:left w:val="nil"/>
              <w:bottom w:val="single" w:sz="4" w:space="0" w:color="auto"/>
              <w:right w:val="single" w:sz="4" w:space="0" w:color="auto"/>
            </w:tcBorders>
            <w:shd w:val="clear" w:color="auto" w:fill="C6EFCE"/>
            <w:noWrap/>
            <w:vAlign w:val="center"/>
          </w:tcPr>
          <w:p w14:paraId="2882D41B" w14:textId="77777777" w:rsidR="006A41D9" w:rsidRPr="001961AA" w:rsidRDefault="006A41D9" w:rsidP="00BD6DD1">
            <w:pPr>
              <w:jc w:val="center"/>
              <w:rPr>
                <w:rFonts w:ascii="Times New Roman" w:eastAsia="Times New Roman" w:hAnsi="Times New Roman" w:cs="Times New Roman"/>
                <w:noProof/>
                <w:color w:val="006100"/>
                <w:lang w:val="en-GB" w:eastAsia="en-GB"/>
              </w:rPr>
            </w:pPr>
          </w:p>
        </w:tc>
        <w:tc>
          <w:tcPr>
            <w:tcW w:w="1080" w:type="dxa"/>
            <w:tcBorders>
              <w:top w:val="single" w:sz="4" w:space="0" w:color="auto"/>
              <w:left w:val="nil"/>
              <w:bottom w:val="single" w:sz="4" w:space="0" w:color="auto"/>
              <w:right w:val="single" w:sz="4" w:space="0" w:color="auto"/>
            </w:tcBorders>
            <w:shd w:val="clear" w:color="auto" w:fill="C6EFCE"/>
            <w:noWrap/>
            <w:vAlign w:val="center"/>
          </w:tcPr>
          <w:p w14:paraId="3E0FCEF9" w14:textId="77777777" w:rsidR="006A41D9" w:rsidRPr="001961AA" w:rsidRDefault="006A41D9" w:rsidP="00BD6DD1">
            <w:pPr>
              <w:jc w:val="center"/>
              <w:rPr>
                <w:rFonts w:ascii="Times New Roman" w:eastAsia="Times New Roman" w:hAnsi="Times New Roman" w:cs="Times New Roman"/>
                <w:noProof/>
                <w:color w:val="006100"/>
                <w:lang w:val="en-GB" w:eastAsia="en-GB"/>
              </w:rPr>
            </w:pPr>
          </w:p>
        </w:tc>
        <w:tc>
          <w:tcPr>
            <w:tcW w:w="720" w:type="dxa"/>
            <w:tcBorders>
              <w:top w:val="single" w:sz="4" w:space="0" w:color="auto"/>
              <w:left w:val="nil"/>
              <w:bottom w:val="single" w:sz="4" w:space="0" w:color="auto"/>
              <w:right w:val="single" w:sz="4" w:space="0" w:color="auto"/>
            </w:tcBorders>
            <w:shd w:val="clear" w:color="auto" w:fill="C6EFCE"/>
            <w:noWrap/>
            <w:vAlign w:val="center"/>
          </w:tcPr>
          <w:p w14:paraId="7F840503" w14:textId="77777777" w:rsidR="006A41D9" w:rsidRPr="001961AA" w:rsidRDefault="006A41D9" w:rsidP="00BD6DD1">
            <w:pPr>
              <w:jc w:val="center"/>
              <w:rPr>
                <w:rFonts w:ascii="Times New Roman" w:eastAsia="Times New Roman" w:hAnsi="Times New Roman" w:cs="Times New Roman"/>
                <w:noProof/>
                <w:color w:val="006100"/>
                <w:lang w:val="en-GB" w:eastAsia="en-GB"/>
              </w:rPr>
            </w:pPr>
          </w:p>
        </w:tc>
        <w:tc>
          <w:tcPr>
            <w:tcW w:w="1080" w:type="dxa"/>
            <w:tcBorders>
              <w:top w:val="single" w:sz="4" w:space="0" w:color="auto"/>
              <w:left w:val="nil"/>
              <w:bottom w:val="single" w:sz="4" w:space="0" w:color="auto"/>
              <w:right w:val="single" w:sz="4" w:space="0" w:color="auto"/>
            </w:tcBorders>
            <w:shd w:val="clear" w:color="auto" w:fill="C6EFCE"/>
            <w:noWrap/>
            <w:vAlign w:val="center"/>
          </w:tcPr>
          <w:p w14:paraId="06C14D23" w14:textId="77777777" w:rsidR="006A41D9" w:rsidRPr="001961AA" w:rsidRDefault="006A41D9" w:rsidP="00BD6DD1">
            <w:pPr>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Q2</w:t>
            </w:r>
          </w:p>
        </w:tc>
        <w:tc>
          <w:tcPr>
            <w:tcW w:w="720" w:type="dxa"/>
            <w:tcBorders>
              <w:top w:val="single" w:sz="4" w:space="0" w:color="auto"/>
              <w:left w:val="nil"/>
              <w:bottom w:val="single" w:sz="4" w:space="0" w:color="auto"/>
              <w:right w:val="single" w:sz="4" w:space="0" w:color="auto"/>
            </w:tcBorders>
            <w:shd w:val="clear" w:color="auto" w:fill="C6EFCE"/>
            <w:noWrap/>
            <w:vAlign w:val="center"/>
          </w:tcPr>
          <w:p w14:paraId="40B8F3BC" w14:textId="77777777" w:rsidR="006A41D9" w:rsidRPr="001961AA" w:rsidRDefault="006A41D9" w:rsidP="00BD6DD1">
            <w:pPr>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2024</w:t>
            </w:r>
          </w:p>
        </w:tc>
        <w:tc>
          <w:tcPr>
            <w:tcW w:w="3691" w:type="dxa"/>
            <w:tcBorders>
              <w:top w:val="single" w:sz="4" w:space="0" w:color="auto"/>
              <w:left w:val="nil"/>
              <w:bottom w:val="single" w:sz="4" w:space="0" w:color="auto"/>
              <w:right w:val="single" w:sz="4" w:space="0" w:color="auto"/>
            </w:tcBorders>
            <w:shd w:val="clear" w:color="auto" w:fill="C6EFCE"/>
            <w:noWrap/>
            <w:vAlign w:val="center"/>
          </w:tcPr>
          <w:p w14:paraId="126B39BC" w14:textId="7EB7DC97" w:rsidR="006A41D9" w:rsidRPr="001961AA" w:rsidRDefault="006A41D9" w:rsidP="00BD6DD1">
            <w:pP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The preparatory study about the requirements for setting up the melting furnace is concluded and a report is published.</w:t>
            </w:r>
          </w:p>
        </w:tc>
      </w:tr>
      <w:tr w:rsidR="004868CC" w:rsidRPr="001961AA" w14:paraId="2A0A26EF" w14:textId="77777777" w:rsidTr="00300C11">
        <w:trPr>
          <w:trHeight w:val="309"/>
        </w:trPr>
        <w:tc>
          <w:tcPr>
            <w:tcW w:w="68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EE6D2AD" w14:textId="1F6024C5" w:rsidR="006A41D9" w:rsidRPr="001961AA" w:rsidRDefault="00BF0337" w:rsidP="00BD6DD1">
            <w:pPr>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249</w:t>
            </w:r>
          </w:p>
        </w:tc>
        <w:tc>
          <w:tcPr>
            <w:tcW w:w="1446" w:type="dxa"/>
            <w:tcBorders>
              <w:top w:val="single" w:sz="4" w:space="0" w:color="auto"/>
              <w:left w:val="nil"/>
              <w:bottom w:val="single" w:sz="4" w:space="0" w:color="auto"/>
              <w:right w:val="single" w:sz="4" w:space="0" w:color="auto"/>
            </w:tcBorders>
            <w:shd w:val="clear" w:color="auto" w:fill="C6EFCE"/>
            <w:noWrap/>
            <w:vAlign w:val="center"/>
          </w:tcPr>
          <w:p w14:paraId="682CF0C4" w14:textId="4A98F418" w:rsidR="006A41D9" w:rsidRPr="001961AA" w:rsidRDefault="006A41D9" w:rsidP="00BD6DD1">
            <w:pP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SMELD- Fed (I-5.18)</w:t>
            </w:r>
          </w:p>
        </w:tc>
        <w:tc>
          <w:tcPr>
            <w:tcW w:w="1200" w:type="dxa"/>
            <w:tcBorders>
              <w:top w:val="single" w:sz="4" w:space="0" w:color="auto"/>
              <w:left w:val="nil"/>
              <w:bottom w:val="single" w:sz="4" w:space="0" w:color="auto"/>
              <w:right w:val="single" w:sz="4" w:space="0" w:color="auto"/>
            </w:tcBorders>
            <w:shd w:val="clear" w:color="auto" w:fill="C6EFCE"/>
            <w:noWrap/>
            <w:vAlign w:val="center"/>
          </w:tcPr>
          <w:p w14:paraId="1F1D78B4" w14:textId="55A101AA" w:rsidR="006A41D9" w:rsidRPr="001961AA" w:rsidRDefault="006A41D9" w:rsidP="00BD6DD1">
            <w:pP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M</w:t>
            </w:r>
          </w:p>
        </w:tc>
        <w:tc>
          <w:tcPr>
            <w:tcW w:w="1800" w:type="dxa"/>
            <w:tcBorders>
              <w:top w:val="single" w:sz="4" w:space="0" w:color="auto"/>
              <w:left w:val="nil"/>
              <w:bottom w:val="single" w:sz="4" w:space="0" w:color="auto"/>
              <w:right w:val="single" w:sz="4" w:space="0" w:color="auto"/>
            </w:tcBorders>
            <w:shd w:val="clear" w:color="auto" w:fill="C6EFCE"/>
            <w:noWrap/>
            <w:vAlign w:val="center"/>
          </w:tcPr>
          <w:p w14:paraId="48AC61A3" w14:textId="77777777" w:rsidR="006A41D9" w:rsidRPr="001961AA" w:rsidRDefault="006A41D9" w:rsidP="00BD6DD1">
            <w:pP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 xml:space="preserve">An industrial scale melting furnace is set up </w:t>
            </w:r>
          </w:p>
        </w:tc>
        <w:tc>
          <w:tcPr>
            <w:tcW w:w="2280" w:type="dxa"/>
            <w:tcBorders>
              <w:top w:val="single" w:sz="4" w:space="0" w:color="auto"/>
              <w:left w:val="nil"/>
              <w:bottom w:val="single" w:sz="4" w:space="0" w:color="auto"/>
              <w:right w:val="single" w:sz="4" w:space="0" w:color="auto"/>
            </w:tcBorders>
            <w:shd w:val="clear" w:color="auto" w:fill="C6EFCE"/>
            <w:noWrap/>
            <w:vAlign w:val="center"/>
          </w:tcPr>
          <w:p w14:paraId="182A98A9" w14:textId="77777777" w:rsidR="006A41D9" w:rsidRPr="001961AA" w:rsidRDefault="006A41D9" w:rsidP="00BD6DD1">
            <w:pP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 xml:space="preserve">Industrial scale melting furnace operational in non-radioactive mode </w:t>
            </w:r>
          </w:p>
        </w:tc>
        <w:tc>
          <w:tcPr>
            <w:tcW w:w="1200" w:type="dxa"/>
            <w:tcBorders>
              <w:top w:val="single" w:sz="4" w:space="0" w:color="auto"/>
              <w:left w:val="nil"/>
              <w:bottom w:val="single" w:sz="4" w:space="0" w:color="auto"/>
              <w:right w:val="single" w:sz="4" w:space="0" w:color="auto"/>
            </w:tcBorders>
            <w:shd w:val="clear" w:color="auto" w:fill="C6EFCE"/>
            <w:noWrap/>
            <w:vAlign w:val="center"/>
          </w:tcPr>
          <w:p w14:paraId="352F5B32" w14:textId="77777777" w:rsidR="006A41D9" w:rsidRPr="001961AA" w:rsidRDefault="006A41D9" w:rsidP="00BD6DD1">
            <w:pPr>
              <w:jc w:val="center"/>
              <w:rPr>
                <w:rFonts w:ascii="Times New Roman" w:eastAsia="Times New Roman" w:hAnsi="Times New Roman" w:cs="Times New Roman"/>
                <w:noProof/>
                <w:color w:val="006100"/>
                <w:lang w:val="en-GB" w:eastAsia="en-GB"/>
              </w:rPr>
            </w:pPr>
          </w:p>
        </w:tc>
        <w:tc>
          <w:tcPr>
            <w:tcW w:w="1080" w:type="dxa"/>
            <w:tcBorders>
              <w:top w:val="single" w:sz="4" w:space="0" w:color="auto"/>
              <w:left w:val="nil"/>
              <w:bottom w:val="single" w:sz="4" w:space="0" w:color="auto"/>
              <w:right w:val="single" w:sz="4" w:space="0" w:color="auto"/>
            </w:tcBorders>
            <w:shd w:val="clear" w:color="auto" w:fill="C6EFCE"/>
            <w:noWrap/>
            <w:vAlign w:val="center"/>
          </w:tcPr>
          <w:p w14:paraId="74CA51CC" w14:textId="77777777" w:rsidR="006A41D9" w:rsidRPr="001961AA" w:rsidRDefault="006A41D9" w:rsidP="00BD6DD1">
            <w:pPr>
              <w:jc w:val="center"/>
              <w:rPr>
                <w:rFonts w:ascii="Times New Roman" w:eastAsia="Times New Roman" w:hAnsi="Times New Roman" w:cs="Times New Roman"/>
                <w:noProof/>
                <w:color w:val="006100"/>
                <w:lang w:val="en-GB" w:eastAsia="en-GB"/>
              </w:rPr>
            </w:pPr>
          </w:p>
        </w:tc>
        <w:tc>
          <w:tcPr>
            <w:tcW w:w="720" w:type="dxa"/>
            <w:tcBorders>
              <w:top w:val="single" w:sz="4" w:space="0" w:color="auto"/>
              <w:left w:val="nil"/>
              <w:bottom w:val="single" w:sz="4" w:space="0" w:color="auto"/>
              <w:right w:val="single" w:sz="4" w:space="0" w:color="auto"/>
            </w:tcBorders>
            <w:shd w:val="clear" w:color="auto" w:fill="C6EFCE"/>
            <w:noWrap/>
            <w:vAlign w:val="center"/>
          </w:tcPr>
          <w:p w14:paraId="10B0E7A3" w14:textId="77777777" w:rsidR="006A41D9" w:rsidRPr="001961AA" w:rsidRDefault="006A41D9" w:rsidP="00BD6DD1">
            <w:pPr>
              <w:jc w:val="center"/>
              <w:rPr>
                <w:rFonts w:ascii="Times New Roman" w:eastAsia="Times New Roman" w:hAnsi="Times New Roman" w:cs="Times New Roman"/>
                <w:noProof/>
                <w:color w:val="006100"/>
                <w:lang w:val="en-GB" w:eastAsia="en-GB"/>
              </w:rPr>
            </w:pPr>
          </w:p>
        </w:tc>
        <w:tc>
          <w:tcPr>
            <w:tcW w:w="1080" w:type="dxa"/>
            <w:tcBorders>
              <w:top w:val="single" w:sz="4" w:space="0" w:color="auto"/>
              <w:left w:val="nil"/>
              <w:bottom w:val="single" w:sz="4" w:space="0" w:color="auto"/>
              <w:right w:val="single" w:sz="4" w:space="0" w:color="auto"/>
            </w:tcBorders>
            <w:shd w:val="clear" w:color="auto" w:fill="C6EFCE"/>
            <w:noWrap/>
            <w:vAlign w:val="center"/>
          </w:tcPr>
          <w:p w14:paraId="6DB31AAC" w14:textId="77777777" w:rsidR="006A41D9" w:rsidRPr="001961AA" w:rsidRDefault="006A41D9" w:rsidP="00BD6DD1">
            <w:pPr>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Q2</w:t>
            </w:r>
          </w:p>
        </w:tc>
        <w:tc>
          <w:tcPr>
            <w:tcW w:w="720" w:type="dxa"/>
            <w:tcBorders>
              <w:top w:val="single" w:sz="4" w:space="0" w:color="auto"/>
              <w:left w:val="nil"/>
              <w:bottom w:val="single" w:sz="4" w:space="0" w:color="auto"/>
              <w:right w:val="single" w:sz="4" w:space="0" w:color="auto"/>
            </w:tcBorders>
            <w:shd w:val="clear" w:color="auto" w:fill="C6EFCE"/>
            <w:noWrap/>
            <w:vAlign w:val="center"/>
          </w:tcPr>
          <w:p w14:paraId="0B133D1C" w14:textId="77777777" w:rsidR="006A41D9" w:rsidRPr="001961AA" w:rsidRDefault="006A41D9" w:rsidP="00BD6DD1">
            <w:pPr>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2026</w:t>
            </w:r>
          </w:p>
        </w:tc>
        <w:tc>
          <w:tcPr>
            <w:tcW w:w="3691" w:type="dxa"/>
            <w:tcBorders>
              <w:top w:val="single" w:sz="4" w:space="0" w:color="auto"/>
              <w:left w:val="nil"/>
              <w:bottom w:val="single" w:sz="4" w:space="0" w:color="auto"/>
              <w:right w:val="single" w:sz="4" w:space="0" w:color="auto"/>
            </w:tcBorders>
            <w:shd w:val="clear" w:color="auto" w:fill="C6EFCE"/>
            <w:noWrap/>
            <w:vAlign w:val="center"/>
          </w:tcPr>
          <w:p w14:paraId="5E56265A" w14:textId="11EB102C" w:rsidR="006A41D9" w:rsidRPr="001961AA" w:rsidRDefault="006A41D9" w:rsidP="00520667">
            <w:pP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The industrial scale melting furnace is set up and fully operational in non-radioactive mode.</w:t>
            </w:r>
          </w:p>
        </w:tc>
      </w:tr>
    </w:tbl>
    <w:p w14:paraId="6284694D" w14:textId="77777777" w:rsidR="006A41D9" w:rsidRPr="001961AA" w:rsidRDefault="006A41D9" w:rsidP="00BD6DD1">
      <w:pPr>
        <w:pStyle w:val="Text1"/>
        <w:ind w:left="709"/>
        <w:rPr>
          <w:noProof/>
          <w:szCs w:val="24"/>
          <w:lang w:val="en-GB"/>
        </w:rPr>
      </w:pPr>
    </w:p>
    <w:p w14:paraId="0CC89DF2" w14:textId="77777777" w:rsidR="006A41D9" w:rsidRPr="001961AA" w:rsidRDefault="006A41D9" w:rsidP="00BD6DD1">
      <w:pPr>
        <w:pStyle w:val="ManualHeading1"/>
        <w:spacing w:before="120"/>
        <w:ind w:left="0" w:hanging="130"/>
        <w:rPr>
          <w:noProof/>
          <w:szCs w:val="24"/>
          <w:lang w:val="en-GB"/>
        </w:rPr>
        <w:sectPr w:rsidR="006A41D9" w:rsidRPr="001961AA" w:rsidSect="007F56C3">
          <w:headerReference w:type="even" r:id="rId216"/>
          <w:headerReference w:type="default" r:id="rId217"/>
          <w:footerReference w:type="even" r:id="rId218"/>
          <w:footerReference w:type="default" r:id="rId219"/>
          <w:headerReference w:type="first" r:id="rId220"/>
          <w:footerReference w:type="first" r:id="rId221"/>
          <w:pgSz w:w="16839" w:h="11907" w:orient="landscape"/>
          <w:pgMar w:top="1134" w:right="1134" w:bottom="1134" w:left="1134" w:header="567" w:footer="567" w:gutter="0"/>
          <w:cols w:space="720"/>
          <w:docGrid w:linePitch="360"/>
        </w:sectPr>
      </w:pPr>
    </w:p>
    <w:p w14:paraId="076000C5" w14:textId="77777777" w:rsidR="006A41D9" w:rsidRPr="001961AA" w:rsidRDefault="006A41D9" w:rsidP="00BD6DD1">
      <w:pPr>
        <w:pStyle w:val="ManualHeading1"/>
        <w:spacing w:before="120"/>
        <w:ind w:left="0" w:hanging="130"/>
        <w:rPr>
          <w:noProof/>
          <w:szCs w:val="24"/>
          <w:lang w:val="en-GB"/>
        </w:rPr>
      </w:pPr>
      <w:r w:rsidRPr="001961AA">
        <w:rPr>
          <w:noProof/>
          <w:lang w:val="en-GB"/>
        </w:rPr>
        <w:t>P. COMPONENT 5.3: Circular economy</w:t>
      </w:r>
    </w:p>
    <w:p w14:paraId="090A2D5B" w14:textId="77777777" w:rsidR="006A41D9" w:rsidRPr="001961AA" w:rsidRDefault="006A41D9" w:rsidP="00BD6DD1">
      <w:pPr>
        <w:spacing w:before="120" w:after="120" w:line="240" w:lineRule="auto"/>
        <w:jc w:val="both"/>
        <w:rPr>
          <w:rFonts w:ascii="Times New Roman" w:hAnsi="Times New Roman" w:cs="Times New Roman"/>
          <w:noProof/>
          <w:sz w:val="24"/>
          <w:szCs w:val="24"/>
          <w:lang w:val="en-GB"/>
        </w:rPr>
      </w:pPr>
      <w:r w:rsidRPr="001961AA">
        <w:rPr>
          <w:rFonts w:ascii="Times New Roman" w:hAnsi="Times New Roman"/>
          <w:noProof/>
          <w:sz w:val="24"/>
          <w:lang w:val="en-GB"/>
        </w:rPr>
        <w:t>The measures under this component of the Belgian recovery and resilience plan aim in general to contribute to the development of a circular and low-carbon economy. In particular, they seek to develop recycling, reuse, and industrial symbiosis. In addition to promoting certain practices, the aim is to support innovation in waste and resource processing and to develop training in certain areas of the circular economy.</w:t>
      </w:r>
    </w:p>
    <w:p w14:paraId="667AC0D7" w14:textId="77777777" w:rsidR="006A41D9" w:rsidRPr="001961AA" w:rsidRDefault="006A41D9" w:rsidP="00BD6DD1">
      <w:pPr>
        <w:spacing w:before="120" w:after="120" w:line="240" w:lineRule="auto"/>
        <w:jc w:val="both"/>
        <w:rPr>
          <w:rFonts w:ascii="Times New Roman" w:hAnsi="Times New Roman" w:cs="Times New Roman"/>
          <w:noProof/>
          <w:sz w:val="24"/>
          <w:szCs w:val="24"/>
          <w:lang w:val="en-GB"/>
        </w:rPr>
      </w:pPr>
      <w:r w:rsidRPr="001961AA">
        <w:rPr>
          <w:rFonts w:ascii="Times New Roman" w:hAnsi="Times New Roman"/>
          <w:noProof/>
          <w:sz w:val="24"/>
          <w:lang w:val="en-GB"/>
        </w:rPr>
        <w:t xml:space="preserve">The component contributes to addressing Country Specific Recommendation 2019.3, calling on Belgium to focus investment-related economic policy on, </w:t>
      </w:r>
      <w:r w:rsidRPr="001961AA">
        <w:rPr>
          <w:rFonts w:ascii="Times New Roman" w:hAnsi="Times New Roman"/>
          <w:i/>
          <w:noProof/>
          <w:sz w:val="24"/>
          <w:lang w:val="en-GB"/>
        </w:rPr>
        <w:t>inter alia</w:t>
      </w:r>
      <w:r w:rsidRPr="001961AA">
        <w:rPr>
          <w:rFonts w:ascii="Times New Roman" w:hAnsi="Times New Roman"/>
          <w:noProof/>
          <w:sz w:val="24"/>
          <w:lang w:val="en-GB"/>
        </w:rPr>
        <w:t>, the low carbon and energy transition, and research and innovation, as well as Country Specific Recommendation 2020.3 inviting Belgium to focus investment on the green and digital transition, in particular on clean and efficient production, the circular economy and research and innovation.</w:t>
      </w:r>
    </w:p>
    <w:p w14:paraId="0E44EE92" w14:textId="77777777" w:rsidR="006A41D9" w:rsidRPr="001961AA" w:rsidRDefault="006A41D9" w:rsidP="00BD6DD1">
      <w:pPr>
        <w:spacing w:before="120" w:after="120" w:line="240" w:lineRule="auto"/>
        <w:jc w:val="both"/>
        <w:rPr>
          <w:rFonts w:ascii="Times New Roman" w:hAnsi="Times New Roman" w:cs="Times New Roman"/>
          <w:noProof/>
          <w:sz w:val="24"/>
          <w:szCs w:val="24"/>
          <w:lang w:val="en-GB"/>
        </w:rPr>
      </w:pPr>
      <w:r w:rsidRPr="001961AA">
        <w:rPr>
          <w:rFonts w:ascii="Times New Roman" w:hAnsi="Times New Roman"/>
          <w:noProof/>
          <w:sz w:val="24"/>
          <w:lang w:val="en-GB"/>
        </w:rPr>
        <w:t>It is expected that no measure in this component does significant harm to environmental objectives within the meaning of Article 17 of Regulation (EU) 2020/852, taking into account the description of the measures and the mitigating steps set out in the recovery and resilience plan in accordance with the DNSH Technical Guidance (2021/C58/01).</w:t>
      </w:r>
    </w:p>
    <w:p w14:paraId="05811130" w14:textId="77777777" w:rsidR="006A41D9" w:rsidRPr="001961AA" w:rsidRDefault="006A41D9" w:rsidP="00BD6DD1">
      <w:pPr>
        <w:spacing w:before="120" w:after="120" w:line="240" w:lineRule="auto"/>
        <w:jc w:val="both"/>
        <w:rPr>
          <w:rFonts w:ascii="Times New Roman" w:hAnsi="Times New Roman" w:cs="Times New Roman"/>
          <w:b/>
          <w:bCs/>
          <w:noProof/>
          <w:sz w:val="24"/>
          <w:szCs w:val="24"/>
          <w:u w:val="single"/>
          <w:lang w:val="en-GB"/>
        </w:rPr>
      </w:pPr>
      <w:r w:rsidRPr="001961AA">
        <w:rPr>
          <w:rFonts w:ascii="Times New Roman" w:hAnsi="Times New Roman"/>
          <w:b/>
          <w:noProof/>
          <w:sz w:val="24"/>
          <w:u w:val="single"/>
          <w:lang w:val="en-GB"/>
        </w:rPr>
        <w:t xml:space="preserve">P.1. </w:t>
      </w:r>
      <w:r w:rsidRPr="001961AA">
        <w:rPr>
          <w:noProof/>
          <w:lang w:val="en-GB"/>
        </w:rPr>
        <w:tab/>
      </w:r>
      <w:r w:rsidRPr="001961AA">
        <w:rPr>
          <w:rFonts w:ascii="Times New Roman" w:hAnsi="Times New Roman"/>
          <w:b/>
          <w:noProof/>
          <w:sz w:val="24"/>
          <w:u w:val="single"/>
          <w:lang w:val="en-GB"/>
        </w:rPr>
        <w:t>Description of the reforms and investments for non-repayable financial support</w:t>
      </w:r>
    </w:p>
    <w:p w14:paraId="437D101D" w14:textId="12AFA121" w:rsidR="006A41D9" w:rsidRPr="001961AA" w:rsidRDefault="006A41D9" w:rsidP="00BD6DD1">
      <w:pPr>
        <w:spacing w:before="120" w:after="120" w:line="240" w:lineRule="auto"/>
        <w:jc w:val="both"/>
        <w:rPr>
          <w:rFonts w:ascii="Times New Roman" w:hAnsi="Times New Roman" w:cs="Times New Roman"/>
          <w:noProof/>
          <w:sz w:val="24"/>
          <w:szCs w:val="24"/>
          <w:u w:val="single"/>
          <w:lang w:val="en-GB"/>
        </w:rPr>
      </w:pPr>
      <w:r w:rsidRPr="001961AA">
        <w:rPr>
          <w:rFonts w:ascii="Times New Roman" w:hAnsi="Times New Roman"/>
          <w:noProof/>
          <w:sz w:val="24"/>
          <w:u w:val="single"/>
          <w:lang w:val="en-GB"/>
        </w:rPr>
        <w:t>Reform R-5.08: ‘Brussels Regional Strategy for the Economic Transition’ of the Brussels-Capital Region</w:t>
      </w:r>
    </w:p>
    <w:p w14:paraId="2FE012C9" w14:textId="77777777" w:rsidR="006A41D9" w:rsidRPr="001961AA" w:rsidRDefault="006A41D9" w:rsidP="00BD6DD1">
      <w:pPr>
        <w:spacing w:before="120" w:after="120" w:line="240" w:lineRule="auto"/>
        <w:jc w:val="both"/>
        <w:rPr>
          <w:rFonts w:ascii="Times New Roman" w:hAnsi="Times New Roman" w:cs="Times New Roman"/>
          <w:noProof/>
          <w:sz w:val="24"/>
          <w:szCs w:val="24"/>
          <w:lang w:val="en-GB"/>
        </w:rPr>
      </w:pPr>
      <w:r w:rsidRPr="001961AA">
        <w:rPr>
          <w:rFonts w:ascii="Times New Roman" w:hAnsi="Times New Roman"/>
          <w:noProof/>
          <w:sz w:val="24"/>
          <w:lang w:val="en-GB"/>
        </w:rPr>
        <w:t>The aim of this reform is to design a regional strategy for economic transition by mobilising all regional economic policy instruments, achieving a better coordination and cooperation between public actors, as well as active participation of the private sector. Its operational objectives are to be based on the results of 10 working groups.</w:t>
      </w:r>
    </w:p>
    <w:p w14:paraId="423D723A" w14:textId="77777777" w:rsidR="006A41D9" w:rsidRPr="001961AA" w:rsidRDefault="006A41D9" w:rsidP="00BD6DD1">
      <w:pPr>
        <w:spacing w:before="120" w:after="120" w:line="240" w:lineRule="auto"/>
        <w:jc w:val="both"/>
        <w:rPr>
          <w:rFonts w:ascii="Times New Roman" w:hAnsi="Times New Roman" w:cs="Times New Roman"/>
          <w:noProof/>
          <w:sz w:val="24"/>
          <w:szCs w:val="24"/>
          <w:lang w:val="en-GB"/>
        </w:rPr>
      </w:pPr>
      <w:r w:rsidRPr="001961AA">
        <w:rPr>
          <w:rFonts w:ascii="Times New Roman" w:hAnsi="Times New Roman"/>
          <w:noProof/>
          <w:sz w:val="24"/>
          <w:lang w:val="en-GB"/>
        </w:rPr>
        <w:t>The regional strategy for the economic transition shall set out targets for 2030 and an action plan for five years. It shall be adopted by Decision of the Government of the Brussels-Capital Region by 31 March 2022.</w:t>
      </w:r>
    </w:p>
    <w:p w14:paraId="4A53E04E" w14:textId="76C5320C" w:rsidR="006A41D9" w:rsidRPr="001961AA" w:rsidRDefault="006A41D9" w:rsidP="00BD6DD1">
      <w:pPr>
        <w:spacing w:before="120" w:after="120" w:line="240" w:lineRule="auto"/>
        <w:jc w:val="both"/>
        <w:rPr>
          <w:rFonts w:ascii="Times New Roman" w:hAnsi="Times New Roman" w:cs="Times New Roman"/>
          <w:noProof/>
          <w:sz w:val="24"/>
          <w:szCs w:val="24"/>
          <w:u w:val="single"/>
          <w:lang w:val="en-GB"/>
        </w:rPr>
      </w:pPr>
      <w:r w:rsidRPr="001961AA">
        <w:rPr>
          <w:rFonts w:ascii="Times New Roman" w:hAnsi="Times New Roman"/>
          <w:noProof/>
          <w:sz w:val="24"/>
          <w:u w:val="single"/>
          <w:lang w:val="en-GB"/>
        </w:rPr>
        <w:t>Reform R-5.09: ‘Governance Circular Flanders’ of the Flemish Region</w:t>
      </w:r>
    </w:p>
    <w:p w14:paraId="7EC31CE1" w14:textId="5E8C8144" w:rsidR="006A41D9" w:rsidRPr="001961AA" w:rsidRDefault="006A41D9" w:rsidP="00BD6DD1">
      <w:pPr>
        <w:spacing w:before="120" w:after="120" w:line="240" w:lineRule="auto"/>
        <w:jc w:val="both"/>
        <w:rPr>
          <w:rFonts w:ascii="Times New Roman" w:hAnsi="Times New Roman" w:cs="Times New Roman"/>
          <w:noProof/>
          <w:sz w:val="24"/>
          <w:szCs w:val="24"/>
          <w:lang w:val="en-GB"/>
        </w:rPr>
      </w:pPr>
      <w:r w:rsidRPr="001961AA">
        <w:rPr>
          <w:rFonts w:ascii="Times New Roman" w:hAnsi="Times New Roman"/>
          <w:noProof/>
          <w:sz w:val="24"/>
          <w:lang w:val="en-GB"/>
        </w:rPr>
        <w:t>Circular Flanders is the central platform in Flanders aimed at facilitating the transition to a circular economy in cooperation with industrial partners, knowledge institutions, public administrations, banks and civil society. This reform shall significantly improve and expand the governance of this platform. In that framework, public-private partnerships shall focus on a combination of thematic work agendas, such as circular construction, chemistry/plastics, other product chains in the manufacturing industry, bio-economy and the food chain, and a number of strategic levers (financing, innovation, circular supply, research, awareness). The texts of the roadmap and work agendas are expected by 31 December 2021.</w:t>
      </w:r>
    </w:p>
    <w:p w14:paraId="1E37E464" w14:textId="061DE602" w:rsidR="006A41D9" w:rsidRPr="001961AA" w:rsidRDefault="006A41D9" w:rsidP="00BD6DD1">
      <w:pPr>
        <w:spacing w:before="120" w:after="120" w:line="240" w:lineRule="auto"/>
        <w:jc w:val="both"/>
        <w:rPr>
          <w:rFonts w:ascii="Times New Roman" w:hAnsi="Times New Roman" w:cs="Times New Roman"/>
          <w:noProof/>
          <w:sz w:val="24"/>
          <w:szCs w:val="24"/>
          <w:u w:val="single"/>
          <w:lang w:val="en-GB"/>
        </w:rPr>
      </w:pPr>
      <w:r w:rsidRPr="001961AA">
        <w:rPr>
          <w:rFonts w:ascii="Times New Roman" w:hAnsi="Times New Roman"/>
          <w:noProof/>
          <w:sz w:val="24"/>
          <w:u w:val="single"/>
          <w:lang w:val="en-GB"/>
        </w:rPr>
        <w:t>Investment I-5.14: ‘Recycling Hub’ of the Flemish Region</w:t>
      </w:r>
    </w:p>
    <w:p w14:paraId="6141A585" w14:textId="77777777" w:rsidR="006A41D9" w:rsidRPr="001961AA" w:rsidRDefault="006A41D9" w:rsidP="00BD6DD1">
      <w:pPr>
        <w:spacing w:before="120" w:after="120" w:line="240" w:lineRule="auto"/>
        <w:jc w:val="both"/>
        <w:rPr>
          <w:rFonts w:ascii="Times New Roman" w:hAnsi="Times New Roman" w:cs="Times New Roman"/>
          <w:noProof/>
          <w:sz w:val="24"/>
          <w:szCs w:val="24"/>
          <w:lang w:val="en-GB"/>
        </w:rPr>
      </w:pPr>
      <w:r w:rsidRPr="001961AA">
        <w:rPr>
          <w:rFonts w:ascii="Times New Roman" w:hAnsi="Times New Roman"/>
          <w:noProof/>
          <w:sz w:val="24"/>
          <w:lang w:val="en-GB"/>
        </w:rPr>
        <w:t>The Flanders recycling hub measure aims to realise at least six important investments in new recycling facilities. The focus is on missing links in a number of value chains to enable local circular production, such as the recycling of nappies, mattresses, and textiles. Investments are also sought in the plastic and chemical sectors.</w:t>
      </w:r>
    </w:p>
    <w:p w14:paraId="2E77CD50" w14:textId="6E967F91" w:rsidR="006A41D9" w:rsidRPr="001961AA" w:rsidRDefault="006A41D9" w:rsidP="00BD6DD1">
      <w:pPr>
        <w:spacing w:before="120" w:after="120" w:line="240" w:lineRule="auto"/>
        <w:jc w:val="both"/>
        <w:rPr>
          <w:rFonts w:ascii="Times New Roman" w:hAnsi="Times New Roman" w:cs="Times New Roman"/>
          <w:noProof/>
          <w:sz w:val="24"/>
          <w:szCs w:val="24"/>
          <w:lang w:val="en-GB"/>
        </w:rPr>
      </w:pPr>
      <w:r w:rsidRPr="001961AA">
        <w:rPr>
          <w:rFonts w:ascii="Times New Roman" w:hAnsi="Times New Roman"/>
          <w:noProof/>
          <w:sz w:val="24"/>
          <w:lang w:val="en-GB"/>
        </w:rPr>
        <w:t>In order to ensure that the measure complies with the ‘Do no significant harm’ Technical Guidance (2021/C58/01), the eligibility criteria contained in terms of reference for upcoming calls for projects shall exclude the following list of activities: (i) activities related to fossil fuels, including downstream use; (ii) activities related to waste landfills, incinerators</w:t>
      </w:r>
      <w:r w:rsidRPr="001961AA">
        <w:rPr>
          <w:rFonts w:ascii="Times New Roman" w:hAnsi="Times New Roman" w:cs="Times New Roman"/>
          <w:noProof/>
          <w:sz w:val="24"/>
          <w:szCs w:val="24"/>
          <w:vertAlign w:val="superscript"/>
          <w:lang w:val="en-GB"/>
        </w:rPr>
        <w:footnoteReference w:id="16"/>
      </w:r>
      <w:r w:rsidRPr="001961AA">
        <w:rPr>
          <w:rFonts w:ascii="Times New Roman" w:hAnsi="Times New Roman"/>
          <w:noProof/>
          <w:sz w:val="24"/>
          <w:lang w:val="en-GB"/>
        </w:rPr>
        <w:t xml:space="preserve"> and mechanical biological treatment plants</w:t>
      </w:r>
      <w:r w:rsidRPr="001961AA">
        <w:rPr>
          <w:rFonts w:ascii="Times New Roman" w:hAnsi="Times New Roman" w:cs="Times New Roman"/>
          <w:noProof/>
          <w:sz w:val="24"/>
          <w:szCs w:val="24"/>
          <w:vertAlign w:val="superscript"/>
          <w:lang w:val="en-GB"/>
        </w:rPr>
        <w:footnoteReference w:id="17"/>
      </w:r>
      <w:r w:rsidRPr="001961AA">
        <w:rPr>
          <w:rFonts w:ascii="Times New Roman" w:hAnsi="Times New Roman"/>
          <w:noProof/>
          <w:sz w:val="24"/>
          <w:lang w:val="en-GB"/>
        </w:rPr>
        <w:t>; and (iii) activities where the long-term disposal of waste may cause harm to the environment.  The grant award decisions shall stipulate that the aid shall be granted under the condition that the activity complies with relevant EU and national environmental legislation.</w:t>
      </w:r>
    </w:p>
    <w:p w14:paraId="450C426A" w14:textId="77777777" w:rsidR="006A41D9" w:rsidRPr="001961AA" w:rsidRDefault="006A41D9" w:rsidP="00BD6DD1">
      <w:pPr>
        <w:spacing w:before="120" w:after="120" w:line="240" w:lineRule="auto"/>
        <w:jc w:val="both"/>
        <w:rPr>
          <w:rFonts w:ascii="Times New Roman" w:hAnsi="Times New Roman" w:cs="Times New Roman"/>
          <w:iCs/>
          <w:noProof/>
          <w:sz w:val="24"/>
          <w:szCs w:val="24"/>
          <w:lang w:val="en-GB"/>
        </w:rPr>
      </w:pPr>
      <w:r w:rsidRPr="001961AA">
        <w:rPr>
          <w:rFonts w:ascii="Times New Roman" w:hAnsi="Times New Roman"/>
          <w:noProof/>
          <w:sz w:val="24"/>
          <w:lang w:val="en-GB"/>
        </w:rPr>
        <w:t>The measure was launched in the fourth quarter of 2020. The award of contracts shall be completed by 31 December 2022. The projects shall be completed by 30 June 2026.</w:t>
      </w:r>
    </w:p>
    <w:p w14:paraId="025CB9DF" w14:textId="440D80B7" w:rsidR="006A41D9" w:rsidRPr="001961AA" w:rsidRDefault="006A41D9" w:rsidP="00BD6DD1">
      <w:pPr>
        <w:spacing w:before="120" w:after="120" w:line="240" w:lineRule="auto"/>
        <w:jc w:val="both"/>
        <w:rPr>
          <w:rFonts w:ascii="Times New Roman" w:hAnsi="Times New Roman" w:cs="Times New Roman"/>
          <w:noProof/>
          <w:sz w:val="24"/>
          <w:szCs w:val="24"/>
          <w:u w:val="single"/>
          <w:lang w:val="en-GB"/>
        </w:rPr>
      </w:pPr>
      <w:r w:rsidRPr="001961AA">
        <w:rPr>
          <w:rFonts w:ascii="Times New Roman" w:hAnsi="Times New Roman"/>
          <w:noProof/>
          <w:sz w:val="24"/>
          <w:u w:val="single"/>
          <w:lang w:val="en-GB"/>
        </w:rPr>
        <w:t>Investment I-5.15: ‘Belgium Builds Back Circular’ of the Federal State</w:t>
      </w:r>
    </w:p>
    <w:p w14:paraId="3A535FED" w14:textId="77777777" w:rsidR="006A41D9" w:rsidRPr="001961AA" w:rsidRDefault="006A41D9" w:rsidP="00BD6DD1">
      <w:pPr>
        <w:spacing w:before="120" w:after="120" w:line="240" w:lineRule="auto"/>
        <w:jc w:val="both"/>
        <w:rPr>
          <w:rFonts w:ascii="Times New Roman" w:hAnsi="Times New Roman" w:cs="Times New Roman"/>
          <w:noProof/>
          <w:sz w:val="24"/>
          <w:szCs w:val="24"/>
          <w:lang w:val="en-GB"/>
        </w:rPr>
      </w:pPr>
      <w:r w:rsidRPr="001961AA">
        <w:rPr>
          <w:rFonts w:ascii="Times New Roman" w:hAnsi="Times New Roman"/>
          <w:noProof/>
          <w:sz w:val="24"/>
          <w:lang w:val="en-GB"/>
        </w:rPr>
        <w:t>This investment aims to accelerate the transition to a circular economy in Belgium. The objective is threefold:</w:t>
      </w:r>
    </w:p>
    <w:p w14:paraId="2B93DE9E" w14:textId="77777777" w:rsidR="006A41D9" w:rsidRPr="001961AA" w:rsidRDefault="006A41D9" w:rsidP="00300C11">
      <w:pPr>
        <w:pStyle w:val="ListParagraph"/>
        <w:numPr>
          <w:ilvl w:val="0"/>
          <w:numId w:val="60"/>
        </w:numPr>
        <w:tabs>
          <w:tab w:val="left" w:pos="567"/>
        </w:tabs>
        <w:spacing w:before="120" w:after="120" w:line="240" w:lineRule="auto"/>
        <w:jc w:val="both"/>
        <w:rPr>
          <w:rFonts w:ascii="Times New Roman" w:hAnsi="Times New Roman" w:cs="Times New Roman"/>
          <w:noProof/>
          <w:sz w:val="24"/>
          <w:szCs w:val="24"/>
          <w:lang w:val="en-GB"/>
        </w:rPr>
      </w:pPr>
      <w:r w:rsidRPr="001961AA">
        <w:rPr>
          <w:rFonts w:ascii="Times New Roman" w:hAnsi="Times New Roman"/>
          <w:noProof/>
          <w:sz w:val="24"/>
          <w:lang w:val="en-GB"/>
        </w:rPr>
        <w:t>Avoiding market or policy fragmentation and promoting an integrated approach through the creation of a circular coalition with a specific focus on federal competences for circular economy and the interfacing of federal competences with local and regional competences, such as the design for scarcity, reuse, repair and recycling, chemical safety, verification and certification of recycled content;</w:t>
      </w:r>
    </w:p>
    <w:p w14:paraId="62D023DF" w14:textId="77777777" w:rsidR="006A41D9" w:rsidRPr="001961AA" w:rsidRDefault="006A41D9" w:rsidP="00300C11">
      <w:pPr>
        <w:pStyle w:val="ListParagraph"/>
        <w:numPr>
          <w:ilvl w:val="0"/>
          <w:numId w:val="60"/>
        </w:numPr>
        <w:tabs>
          <w:tab w:val="left" w:pos="567"/>
        </w:tabs>
        <w:spacing w:before="120" w:after="120" w:line="240" w:lineRule="auto"/>
        <w:jc w:val="both"/>
        <w:rPr>
          <w:rFonts w:ascii="Times New Roman" w:hAnsi="Times New Roman" w:cs="Times New Roman"/>
          <w:noProof/>
          <w:sz w:val="24"/>
          <w:szCs w:val="24"/>
          <w:lang w:val="en-GB"/>
        </w:rPr>
      </w:pPr>
      <w:r w:rsidRPr="001961AA">
        <w:rPr>
          <w:rFonts w:ascii="Times New Roman" w:hAnsi="Times New Roman"/>
          <w:noProof/>
          <w:sz w:val="24"/>
          <w:lang w:val="en-GB"/>
        </w:rPr>
        <w:t>Financing a total of 10 circular projects in industry and research centers to accelerate the transition and scale up in practice, targeting in particular projects on the substitution of hazardous chemicals and projects on eco-design;</w:t>
      </w:r>
    </w:p>
    <w:p w14:paraId="65FCFEFF" w14:textId="77777777" w:rsidR="006A41D9" w:rsidRPr="001961AA" w:rsidRDefault="006A41D9" w:rsidP="00300C11">
      <w:pPr>
        <w:pStyle w:val="ListParagraph"/>
        <w:numPr>
          <w:ilvl w:val="0"/>
          <w:numId w:val="60"/>
        </w:numPr>
        <w:tabs>
          <w:tab w:val="left" w:pos="567"/>
        </w:tabs>
        <w:spacing w:before="120" w:after="120" w:line="240" w:lineRule="auto"/>
        <w:jc w:val="both"/>
        <w:rPr>
          <w:rFonts w:ascii="Times New Roman" w:hAnsi="Times New Roman" w:cs="Times New Roman"/>
          <w:noProof/>
          <w:sz w:val="24"/>
          <w:szCs w:val="24"/>
          <w:lang w:val="en-GB"/>
        </w:rPr>
      </w:pPr>
      <w:r w:rsidRPr="001961AA">
        <w:rPr>
          <w:rFonts w:ascii="Times New Roman" w:hAnsi="Times New Roman"/>
          <w:noProof/>
          <w:sz w:val="24"/>
          <w:lang w:val="en-GB"/>
        </w:rPr>
        <w:t>Raising awareness and informing SMEs through targeted campaigns, a website and the creation of a self-assessment tool for SMEs.</w:t>
      </w:r>
    </w:p>
    <w:p w14:paraId="70999C71" w14:textId="7132E8FC" w:rsidR="006A41D9" w:rsidRPr="001961AA" w:rsidRDefault="006A41D9" w:rsidP="00BD6DD1">
      <w:pPr>
        <w:pStyle w:val="Text1"/>
        <w:ind w:left="0"/>
        <w:rPr>
          <w:noProof/>
          <w:szCs w:val="24"/>
          <w:lang w:val="en-GB"/>
        </w:rPr>
      </w:pPr>
      <w:r w:rsidRPr="001961AA">
        <w:rPr>
          <w:noProof/>
          <w:lang w:val="en-GB"/>
        </w:rPr>
        <w:t>In order to ensure that the measure complies with the ‘Do no significant harm’ Technical Guidance (2021/C58/01), the eligibility criteria contained in terms of reference for upcoming call for the circular projects shall exclude the following list of activities: (i) activities related to fossil fuels, including downstream use; (ii) activities under the EU Emission Trading System achieving projected greenhouse gas emissions that are not lower than the relevant benchmarks</w:t>
      </w:r>
      <w:r w:rsidRPr="001961AA">
        <w:rPr>
          <w:rStyle w:val="FootnoteReference"/>
          <w:noProof/>
          <w:lang w:val="en-GB"/>
        </w:rPr>
        <w:footnoteReference w:id="18"/>
      </w:r>
      <w:r w:rsidRPr="001961AA">
        <w:rPr>
          <w:noProof/>
          <w:lang w:val="en-GB"/>
        </w:rPr>
        <w:t>; (iii) activities related to waste landfills, incinerators</w:t>
      </w:r>
      <w:r w:rsidRPr="001961AA">
        <w:rPr>
          <w:rStyle w:val="FootnoteReference"/>
          <w:noProof/>
          <w:lang w:val="en-GB"/>
        </w:rPr>
        <w:footnoteReference w:id="19"/>
      </w:r>
      <w:r w:rsidRPr="001961AA">
        <w:rPr>
          <w:noProof/>
          <w:lang w:val="en-GB"/>
        </w:rPr>
        <w:t xml:space="preserve"> and mechanical biological treatment plants</w:t>
      </w:r>
      <w:r w:rsidRPr="001961AA">
        <w:rPr>
          <w:rStyle w:val="FootnoteReference"/>
          <w:noProof/>
          <w:lang w:val="en-GB"/>
        </w:rPr>
        <w:footnoteReference w:id="20"/>
      </w:r>
      <w:r w:rsidRPr="001961AA">
        <w:rPr>
          <w:noProof/>
          <w:lang w:val="en-GB"/>
        </w:rPr>
        <w:t>; and (iv) activities where the long-term disposal of waste may cause harm to the environment. The terms of reference shall additionally require that only activities that comply with relevant EU and national environmental legislation may be selected. The circular coalition shall be created by 31 December 2021 and the projects shall be finalised by 30 June 2026.</w:t>
      </w:r>
    </w:p>
    <w:p w14:paraId="50139F60" w14:textId="550FC9D7" w:rsidR="006A41D9" w:rsidRPr="001961AA" w:rsidRDefault="006A41D9" w:rsidP="00BD6DD1">
      <w:pPr>
        <w:spacing w:before="120" w:after="120" w:line="240" w:lineRule="auto"/>
        <w:jc w:val="both"/>
        <w:rPr>
          <w:rFonts w:ascii="Times New Roman" w:hAnsi="Times New Roman" w:cs="Times New Roman"/>
          <w:noProof/>
          <w:sz w:val="24"/>
          <w:szCs w:val="24"/>
          <w:u w:val="single"/>
          <w:lang w:val="en-GB"/>
        </w:rPr>
      </w:pPr>
      <w:r w:rsidRPr="001961AA">
        <w:rPr>
          <w:rFonts w:ascii="Times New Roman" w:hAnsi="Times New Roman"/>
          <w:noProof/>
          <w:sz w:val="24"/>
          <w:u w:val="single"/>
          <w:lang w:val="en-GB"/>
        </w:rPr>
        <w:t>Investment I-5.16: ‘Deployment of the circular economy’ in the Walloon Region</w:t>
      </w:r>
    </w:p>
    <w:p w14:paraId="7A7DEFA2" w14:textId="1F4C97A7" w:rsidR="006A41D9" w:rsidRPr="001961AA" w:rsidRDefault="006A41D9" w:rsidP="009E4837">
      <w:pPr>
        <w:spacing w:before="120" w:after="120" w:line="240" w:lineRule="auto"/>
        <w:jc w:val="both"/>
        <w:rPr>
          <w:rFonts w:ascii="Times New Roman" w:hAnsi="Times New Roman" w:cs="Times New Roman"/>
          <w:noProof/>
          <w:sz w:val="24"/>
          <w:szCs w:val="24"/>
          <w:lang w:val="en-GB"/>
        </w:rPr>
      </w:pPr>
      <w:r w:rsidRPr="001961AA">
        <w:rPr>
          <w:rFonts w:ascii="Times New Roman" w:hAnsi="Times New Roman"/>
          <w:noProof/>
          <w:sz w:val="24"/>
          <w:lang w:val="en-GB"/>
        </w:rPr>
        <w:t>With the aim to deploy the Walloon circular economy, investments shall be implemented via a call for proposals for research and development through the creation of innovation partnerships in two priority value chains, namely metals and construction materials. Projects shall focus on circularity (reuse, upscaling and recycling) of metals, batteries and minerals.</w:t>
      </w:r>
    </w:p>
    <w:p w14:paraId="3DB7BB84" w14:textId="07C354D7" w:rsidR="0071084B" w:rsidRPr="001961AA" w:rsidRDefault="006A41D9" w:rsidP="0071084B">
      <w:pPr>
        <w:spacing w:before="120" w:after="120" w:line="240" w:lineRule="auto"/>
        <w:jc w:val="both"/>
        <w:rPr>
          <w:rFonts w:ascii="Times New Roman" w:hAnsi="Times New Roman" w:cs="Times New Roman"/>
          <w:noProof/>
          <w:sz w:val="24"/>
          <w:szCs w:val="24"/>
          <w:lang w:val="en-GB"/>
        </w:rPr>
        <w:sectPr w:rsidR="0071084B" w:rsidRPr="001961AA" w:rsidSect="0071084B">
          <w:headerReference w:type="even" r:id="rId222"/>
          <w:headerReference w:type="default" r:id="rId223"/>
          <w:footerReference w:type="even" r:id="rId224"/>
          <w:footerReference w:type="default" r:id="rId225"/>
          <w:headerReference w:type="first" r:id="rId226"/>
          <w:footerReference w:type="first" r:id="rId227"/>
          <w:pgSz w:w="11907" w:h="16839"/>
          <w:pgMar w:top="1134" w:right="1134" w:bottom="1134" w:left="1134" w:header="567" w:footer="567" w:gutter="0"/>
          <w:cols w:space="720"/>
          <w:docGrid w:linePitch="360"/>
        </w:sectPr>
      </w:pPr>
      <w:r w:rsidRPr="001961AA">
        <w:rPr>
          <w:rFonts w:ascii="Times New Roman" w:hAnsi="Times New Roman"/>
          <w:noProof/>
          <w:sz w:val="24"/>
          <w:lang w:val="en-GB"/>
        </w:rPr>
        <w:t>In order to ensure that the measure complies with the ‘Do no significant harm’ Technical Guidance (2021/C58/01), the eligibility criteria contained in terms of reference for upcoming calls for projects shall exclude the following list of activities: (i) activities related to fossil fuels, including downstream use; (ii) activities under the EU Emission Trading System achieving projected greenhouse gas emissions that are not lower than the relevant benchmarks</w:t>
      </w:r>
      <w:r w:rsidRPr="001961AA">
        <w:rPr>
          <w:rFonts w:ascii="Times New Roman" w:hAnsi="Times New Roman" w:cs="Times New Roman"/>
          <w:noProof/>
          <w:sz w:val="24"/>
          <w:szCs w:val="24"/>
          <w:vertAlign w:val="superscript"/>
          <w:lang w:val="en-GB"/>
        </w:rPr>
        <w:footnoteReference w:id="21"/>
      </w:r>
      <w:r w:rsidRPr="001961AA">
        <w:rPr>
          <w:rFonts w:ascii="Times New Roman" w:hAnsi="Times New Roman"/>
          <w:noProof/>
          <w:sz w:val="24"/>
          <w:lang w:val="en-GB"/>
        </w:rPr>
        <w:t>; and (iii) activities where the long-term disposal of waste may cause harm to the environment. The terms of reference shall additionally require that only activities that comply with relevant EU and national environmental legislation may be selected. The measure was launched in Q1 2021 and shall be completed by 30 June 2026</w:t>
      </w:r>
    </w:p>
    <w:p w14:paraId="5C90A900" w14:textId="69E6D3D3" w:rsidR="0071084B" w:rsidRPr="001961AA" w:rsidRDefault="0071084B" w:rsidP="0071084B">
      <w:pPr>
        <w:pStyle w:val="Text1"/>
        <w:ind w:left="0"/>
        <w:rPr>
          <w:b/>
          <w:bCs/>
          <w:noProof/>
          <w:szCs w:val="24"/>
          <w:u w:val="single"/>
          <w:lang w:val="en-GB"/>
        </w:rPr>
      </w:pPr>
      <w:r w:rsidRPr="001961AA">
        <w:rPr>
          <w:b/>
          <w:noProof/>
          <w:u w:val="single"/>
          <w:lang w:val="en-GB"/>
        </w:rPr>
        <w:t xml:space="preserve">P.2. </w:t>
      </w:r>
      <w:r w:rsidRPr="001961AA">
        <w:rPr>
          <w:noProof/>
          <w:lang w:val="en-GB"/>
        </w:rPr>
        <w:tab/>
      </w:r>
      <w:r w:rsidRPr="001961AA">
        <w:rPr>
          <w:b/>
          <w:noProof/>
          <w:u w:val="single"/>
          <w:lang w:val="en-GB"/>
        </w:rPr>
        <w:t>Milestones, targets, indicators, and timetable for monitoring and implementation for non-repayable financial support</w:t>
      </w:r>
    </w:p>
    <w:tbl>
      <w:tblPr>
        <w:tblW w:w="16053" w:type="dxa"/>
        <w:tblInd w:w="-714" w:type="dxa"/>
        <w:tblLayout w:type="fixed"/>
        <w:tblLook w:val="04A0" w:firstRow="1" w:lastRow="0" w:firstColumn="1" w:lastColumn="0" w:noHBand="0" w:noVBand="1"/>
      </w:tblPr>
      <w:tblGrid>
        <w:gridCol w:w="787"/>
        <w:gridCol w:w="1332"/>
        <w:gridCol w:w="1111"/>
        <w:gridCol w:w="1402"/>
        <w:gridCol w:w="1962"/>
        <w:gridCol w:w="1555"/>
        <w:gridCol w:w="1080"/>
        <w:gridCol w:w="720"/>
        <w:gridCol w:w="960"/>
        <w:gridCol w:w="720"/>
        <w:gridCol w:w="4389"/>
        <w:gridCol w:w="35"/>
      </w:tblGrid>
      <w:tr w:rsidR="00531AF1" w:rsidRPr="001961AA" w14:paraId="1A5134A5" w14:textId="77777777" w:rsidTr="00300C11">
        <w:trPr>
          <w:trHeight w:val="927"/>
          <w:tblHeader/>
        </w:trPr>
        <w:tc>
          <w:tcPr>
            <w:tcW w:w="787"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57DA5B44" w14:textId="3AF7C420" w:rsidR="006A41D9" w:rsidRPr="001961AA" w:rsidRDefault="006A41D9" w:rsidP="00BD6DD1">
            <w:pPr>
              <w:spacing w:after="0"/>
              <w:jc w:val="center"/>
              <w:rPr>
                <w:rFonts w:ascii="Times New Roman" w:eastAsia="Times New Roman" w:hAnsi="Times New Roman" w:cs="Times New Roman"/>
                <w:b/>
                <w:bCs/>
                <w:noProof/>
                <w:sz w:val="20"/>
                <w:szCs w:val="20"/>
                <w:lang w:val="en-GB"/>
              </w:rPr>
            </w:pPr>
            <w:r w:rsidRPr="001961AA">
              <w:rPr>
                <w:rFonts w:ascii="Times New Roman" w:hAnsi="Times New Roman"/>
                <w:b/>
                <w:noProof/>
                <w:sz w:val="20"/>
                <w:lang w:val="en-GB"/>
              </w:rPr>
              <w:t>Seq. Nb.</w:t>
            </w:r>
          </w:p>
        </w:tc>
        <w:tc>
          <w:tcPr>
            <w:tcW w:w="1332"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EEC20E2" w14:textId="77777777" w:rsidR="006A41D9" w:rsidRPr="001961AA" w:rsidRDefault="006A41D9" w:rsidP="00BD6DD1">
            <w:pPr>
              <w:spacing w:after="0"/>
              <w:jc w:val="center"/>
              <w:rPr>
                <w:rFonts w:ascii="Times New Roman" w:eastAsia="Times New Roman" w:hAnsi="Times New Roman" w:cs="Times New Roman"/>
                <w:b/>
                <w:bCs/>
                <w:noProof/>
                <w:sz w:val="20"/>
                <w:szCs w:val="20"/>
                <w:lang w:val="en-GB"/>
              </w:rPr>
            </w:pPr>
            <w:r w:rsidRPr="001961AA">
              <w:rPr>
                <w:rFonts w:ascii="Times New Roman" w:hAnsi="Times New Roman"/>
                <w:b/>
                <w:noProof/>
                <w:sz w:val="20"/>
                <w:lang w:val="en-GB"/>
              </w:rPr>
              <w:t>Related Measure (Reform or Investment)</w:t>
            </w:r>
          </w:p>
        </w:tc>
        <w:tc>
          <w:tcPr>
            <w:tcW w:w="1111"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73B66E7E" w14:textId="77777777" w:rsidR="006A41D9" w:rsidRPr="001961AA" w:rsidRDefault="006A41D9" w:rsidP="00BD6DD1">
            <w:pPr>
              <w:spacing w:after="0"/>
              <w:jc w:val="center"/>
              <w:rPr>
                <w:rFonts w:ascii="Times New Roman" w:eastAsia="Times New Roman" w:hAnsi="Times New Roman" w:cs="Times New Roman"/>
                <w:b/>
                <w:bCs/>
                <w:noProof/>
                <w:sz w:val="20"/>
                <w:szCs w:val="20"/>
                <w:lang w:val="en-GB"/>
              </w:rPr>
            </w:pPr>
            <w:r w:rsidRPr="001961AA">
              <w:rPr>
                <w:rFonts w:ascii="Times New Roman" w:hAnsi="Times New Roman"/>
                <w:b/>
                <w:noProof/>
                <w:sz w:val="20"/>
                <w:lang w:val="en-GB"/>
              </w:rPr>
              <w:t>Milestone / Target</w:t>
            </w:r>
          </w:p>
        </w:tc>
        <w:tc>
          <w:tcPr>
            <w:tcW w:w="1402"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8B9C34C" w14:textId="77777777" w:rsidR="006A41D9" w:rsidRPr="001961AA" w:rsidRDefault="006A41D9" w:rsidP="00BD6DD1">
            <w:pPr>
              <w:spacing w:after="0"/>
              <w:jc w:val="center"/>
              <w:rPr>
                <w:rFonts w:ascii="Times New Roman" w:eastAsia="Times New Roman" w:hAnsi="Times New Roman" w:cs="Times New Roman"/>
                <w:b/>
                <w:bCs/>
                <w:noProof/>
                <w:sz w:val="20"/>
                <w:szCs w:val="20"/>
                <w:lang w:val="en-GB"/>
              </w:rPr>
            </w:pPr>
            <w:r w:rsidRPr="001961AA">
              <w:rPr>
                <w:rFonts w:ascii="Times New Roman" w:hAnsi="Times New Roman"/>
                <w:b/>
                <w:noProof/>
                <w:sz w:val="20"/>
                <w:lang w:val="en-GB"/>
              </w:rPr>
              <w:t>Name</w:t>
            </w:r>
          </w:p>
        </w:tc>
        <w:tc>
          <w:tcPr>
            <w:tcW w:w="1962"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49860743" w14:textId="77777777" w:rsidR="006A41D9" w:rsidRPr="001961AA" w:rsidRDefault="006A41D9" w:rsidP="00BD6DD1">
            <w:pPr>
              <w:spacing w:after="0"/>
              <w:jc w:val="center"/>
              <w:rPr>
                <w:rFonts w:ascii="Times New Roman" w:eastAsia="Times New Roman" w:hAnsi="Times New Roman" w:cs="Times New Roman"/>
                <w:b/>
                <w:bCs/>
                <w:noProof/>
                <w:sz w:val="20"/>
                <w:szCs w:val="20"/>
                <w:lang w:val="en-GB"/>
              </w:rPr>
            </w:pPr>
            <w:r w:rsidRPr="001961AA">
              <w:rPr>
                <w:rFonts w:ascii="Times New Roman" w:hAnsi="Times New Roman"/>
                <w:b/>
                <w:noProof/>
                <w:sz w:val="20"/>
                <w:lang w:val="en-GB"/>
              </w:rPr>
              <w:t xml:space="preserve">Qualitative indicators </w:t>
            </w:r>
            <w:r w:rsidRPr="001961AA">
              <w:rPr>
                <w:noProof/>
                <w:lang w:val="en-GB"/>
              </w:rPr>
              <w:t xml:space="preserve"> </w:t>
            </w:r>
            <w:r w:rsidRPr="001961AA">
              <w:rPr>
                <w:noProof/>
                <w:lang w:val="en-GB"/>
              </w:rPr>
              <w:br/>
            </w:r>
            <w:r w:rsidRPr="001961AA">
              <w:rPr>
                <w:rFonts w:ascii="Times New Roman" w:hAnsi="Times New Roman"/>
                <w:b/>
                <w:noProof/>
                <w:sz w:val="20"/>
                <w:lang w:val="en-GB"/>
              </w:rPr>
              <w:t>(for milestones)</w:t>
            </w:r>
          </w:p>
        </w:tc>
        <w:tc>
          <w:tcPr>
            <w:tcW w:w="3355" w:type="dxa"/>
            <w:gridSpan w:val="3"/>
            <w:tcBorders>
              <w:top w:val="single" w:sz="4" w:space="0" w:color="auto"/>
              <w:left w:val="single" w:sz="4" w:space="0" w:color="auto"/>
              <w:bottom w:val="single" w:sz="4" w:space="0" w:color="auto"/>
              <w:right w:val="single" w:sz="4" w:space="0" w:color="auto"/>
            </w:tcBorders>
            <w:shd w:val="clear" w:color="auto" w:fill="BDD7EE"/>
            <w:vAlign w:val="center"/>
            <w:hideMark/>
          </w:tcPr>
          <w:p w14:paraId="35D16836" w14:textId="77777777" w:rsidR="006A41D9" w:rsidRPr="001961AA" w:rsidRDefault="006A41D9" w:rsidP="00BD6DD1">
            <w:pPr>
              <w:spacing w:after="0"/>
              <w:jc w:val="center"/>
              <w:rPr>
                <w:rFonts w:ascii="Times New Roman" w:eastAsia="Times New Roman" w:hAnsi="Times New Roman" w:cs="Times New Roman"/>
                <w:b/>
                <w:bCs/>
                <w:noProof/>
                <w:sz w:val="20"/>
                <w:szCs w:val="20"/>
                <w:lang w:val="en-GB"/>
              </w:rPr>
            </w:pPr>
            <w:r w:rsidRPr="001961AA">
              <w:rPr>
                <w:rFonts w:ascii="Times New Roman" w:hAnsi="Times New Roman"/>
                <w:b/>
                <w:noProof/>
                <w:sz w:val="20"/>
                <w:lang w:val="en-GB"/>
              </w:rPr>
              <w:t xml:space="preserve">Quantitative indicators </w:t>
            </w:r>
            <w:r w:rsidRPr="001961AA">
              <w:rPr>
                <w:noProof/>
                <w:lang w:val="en-GB"/>
              </w:rPr>
              <w:t xml:space="preserve"> </w:t>
            </w:r>
            <w:r w:rsidRPr="001961AA">
              <w:rPr>
                <w:noProof/>
                <w:lang w:val="en-GB"/>
              </w:rPr>
              <w:br/>
            </w:r>
            <w:r w:rsidRPr="001961AA">
              <w:rPr>
                <w:rFonts w:ascii="Times New Roman" w:hAnsi="Times New Roman"/>
                <w:b/>
                <w:noProof/>
                <w:sz w:val="20"/>
                <w:lang w:val="en-GB"/>
              </w:rPr>
              <w:t>(for targets)</w:t>
            </w:r>
          </w:p>
        </w:tc>
        <w:tc>
          <w:tcPr>
            <w:tcW w:w="1680" w:type="dxa"/>
            <w:gridSpan w:val="2"/>
            <w:tcBorders>
              <w:top w:val="single" w:sz="4" w:space="0" w:color="auto"/>
              <w:left w:val="nil"/>
              <w:bottom w:val="single" w:sz="4" w:space="0" w:color="auto"/>
              <w:right w:val="single" w:sz="4" w:space="0" w:color="auto"/>
            </w:tcBorders>
            <w:shd w:val="clear" w:color="auto" w:fill="BDD7EE"/>
            <w:vAlign w:val="center"/>
            <w:hideMark/>
          </w:tcPr>
          <w:p w14:paraId="3D97B569" w14:textId="77777777" w:rsidR="006A41D9" w:rsidRPr="001961AA" w:rsidRDefault="006A41D9" w:rsidP="00BD6DD1">
            <w:pPr>
              <w:spacing w:after="0"/>
              <w:jc w:val="center"/>
              <w:rPr>
                <w:rFonts w:ascii="Times New Roman" w:eastAsia="Times New Roman" w:hAnsi="Times New Roman" w:cs="Times New Roman"/>
                <w:b/>
                <w:bCs/>
                <w:noProof/>
                <w:sz w:val="20"/>
                <w:szCs w:val="20"/>
                <w:lang w:val="en-GB"/>
              </w:rPr>
            </w:pPr>
            <w:r w:rsidRPr="001961AA">
              <w:rPr>
                <w:rFonts w:ascii="Times New Roman" w:hAnsi="Times New Roman"/>
                <w:b/>
                <w:noProof/>
                <w:sz w:val="20"/>
                <w:lang w:val="en-GB"/>
              </w:rPr>
              <w:t xml:space="preserve">Indicative timeline for completion </w:t>
            </w:r>
          </w:p>
        </w:tc>
        <w:tc>
          <w:tcPr>
            <w:tcW w:w="4424" w:type="dxa"/>
            <w:gridSpan w:val="2"/>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017562A" w14:textId="77777777" w:rsidR="006A41D9" w:rsidRPr="001961AA" w:rsidRDefault="006A41D9" w:rsidP="00BD6DD1">
            <w:pPr>
              <w:spacing w:after="0"/>
              <w:jc w:val="center"/>
              <w:rPr>
                <w:rFonts w:ascii="Times New Roman" w:eastAsia="Times New Roman" w:hAnsi="Times New Roman" w:cs="Times New Roman"/>
                <w:b/>
                <w:bCs/>
                <w:noProof/>
                <w:sz w:val="20"/>
                <w:szCs w:val="20"/>
                <w:lang w:val="en-GB"/>
              </w:rPr>
            </w:pPr>
            <w:r w:rsidRPr="001961AA">
              <w:rPr>
                <w:rFonts w:ascii="Times New Roman" w:hAnsi="Times New Roman"/>
                <w:b/>
                <w:noProof/>
                <w:sz w:val="20"/>
                <w:lang w:val="en-GB"/>
              </w:rPr>
              <w:t>Description of each milestone and target</w:t>
            </w:r>
          </w:p>
        </w:tc>
      </w:tr>
      <w:tr w:rsidR="004868CC" w:rsidRPr="001961AA" w14:paraId="6126B44C" w14:textId="77777777" w:rsidTr="00300C11">
        <w:trPr>
          <w:trHeight w:val="1013"/>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385D57F0" w14:textId="77777777" w:rsidR="006A41D9" w:rsidRPr="001961AA" w:rsidRDefault="006A41D9" w:rsidP="00BD6DD1">
            <w:pPr>
              <w:spacing w:after="0"/>
              <w:rPr>
                <w:rFonts w:ascii="Times New Roman" w:eastAsia="Times New Roman" w:hAnsi="Times New Roman" w:cs="Times New Roman"/>
                <w:b/>
                <w:bCs/>
                <w:noProof/>
                <w:szCs w:val="24"/>
                <w:lang w:val="en-GB" w:eastAsia="en-GB"/>
              </w:rPr>
            </w:pPr>
          </w:p>
        </w:tc>
        <w:tc>
          <w:tcPr>
            <w:tcW w:w="1332" w:type="dxa"/>
            <w:vMerge/>
            <w:tcBorders>
              <w:top w:val="single" w:sz="4" w:space="0" w:color="auto"/>
              <w:left w:val="single" w:sz="4" w:space="0" w:color="auto"/>
              <w:bottom w:val="single" w:sz="4" w:space="0" w:color="auto"/>
              <w:right w:val="single" w:sz="4" w:space="0" w:color="auto"/>
            </w:tcBorders>
            <w:vAlign w:val="center"/>
            <w:hideMark/>
          </w:tcPr>
          <w:p w14:paraId="700369F2" w14:textId="77777777" w:rsidR="006A41D9" w:rsidRPr="001961AA" w:rsidRDefault="006A41D9" w:rsidP="00BD6DD1">
            <w:pPr>
              <w:spacing w:after="0"/>
              <w:rPr>
                <w:rFonts w:ascii="Times New Roman" w:eastAsia="Times New Roman" w:hAnsi="Times New Roman" w:cs="Times New Roman"/>
                <w:b/>
                <w:bCs/>
                <w:noProof/>
                <w:szCs w:val="24"/>
                <w:lang w:val="en-GB" w:eastAsia="en-GB"/>
              </w:rPr>
            </w:pPr>
          </w:p>
        </w:tc>
        <w:tc>
          <w:tcPr>
            <w:tcW w:w="1111" w:type="dxa"/>
            <w:vMerge/>
            <w:tcBorders>
              <w:top w:val="single" w:sz="4" w:space="0" w:color="auto"/>
              <w:left w:val="single" w:sz="4" w:space="0" w:color="auto"/>
              <w:bottom w:val="single" w:sz="4" w:space="0" w:color="auto"/>
              <w:right w:val="single" w:sz="4" w:space="0" w:color="auto"/>
            </w:tcBorders>
            <w:vAlign w:val="center"/>
            <w:hideMark/>
          </w:tcPr>
          <w:p w14:paraId="4E0455C9" w14:textId="77777777" w:rsidR="006A41D9" w:rsidRPr="001961AA" w:rsidRDefault="006A41D9" w:rsidP="00BD6DD1">
            <w:pPr>
              <w:spacing w:after="0"/>
              <w:rPr>
                <w:rFonts w:ascii="Times New Roman" w:eastAsia="Times New Roman" w:hAnsi="Times New Roman" w:cs="Times New Roman"/>
                <w:b/>
                <w:bCs/>
                <w:noProof/>
                <w:szCs w:val="24"/>
                <w:lang w:val="en-GB" w:eastAsia="en-GB"/>
              </w:rPr>
            </w:pPr>
          </w:p>
        </w:tc>
        <w:tc>
          <w:tcPr>
            <w:tcW w:w="1402" w:type="dxa"/>
            <w:vMerge/>
            <w:tcBorders>
              <w:top w:val="single" w:sz="4" w:space="0" w:color="auto"/>
              <w:left w:val="single" w:sz="4" w:space="0" w:color="auto"/>
              <w:bottom w:val="single" w:sz="4" w:space="0" w:color="auto"/>
              <w:right w:val="single" w:sz="4" w:space="0" w:color="auto"/>
            </w:tcBorders>
            <w:vAlign w:val="center"/>
            <w:hideMark/>
          </w:tcPr>
          <w:p w14:paraId="175BD704" w14:textId="77777777" w:rsidR="006A41D9" w:rsidRPr="001961AA" w:rsidRDefault="006A41D9" w:rsidP="00BD6DD1">
            <w:pPr>
              <w:spacing w:after="0"/>
              <w:rPr>
                <w:rFonts w:ascii="Times New Roman" w:eastAsia="Times New Roman" w:hAnsi="Times New Roman" w:cs="Times New Roman"/>
                <w:b/>
                <w:bCs/>
                <w:noProof/>
                <w:szCs w:val="24"/>
                <w:lang w:val="en-GB" w:eastAsia="en-GB"/>
              </w:rPr>
            </w:pPr>
          </w:p>
        </w:tc>
        <w:tc>
          <w:tcPr>
            <w:tcW w:w="1962" w:type="dxa"/>
            <w:vMerge/>
            <w:tcBorders>
              <w:top w:val="single" w:sz="4" w:space="0" w:color="auto"/>
              <w:left w:val="single" w:sz="4" w:space="0" w:color="auto"/>
              <w:bottom w:val="single" w:sz="4" w:space="0" w:color="auto"/>
              <w:right w:val="single" w:sz="4" w:space="0" w:color="auto"/>
            </w:tcBorders>
            <w:vAlign w:val="center"/>
            <w:hideMark/>
          </w:tcPr>
          <w:p w14:paraId="39546382" w14:textId="77777777" w:rsidR="006A41D9" w:rsidRPr="001961AA" w:rsidRDefault="006A41D9" w:rsidP="00BD6DD1">
            <w:pPr>
              <w:spacing w:after="0"/>
              <w:rPr>
                <w:rFonts w:ascii="Times New Roman" w:eastAsia="Times New Roman" w:hAnsi="Times New Roman" w:cs="Times New Roman"/>
                <w:b/>
                <w:bCs/>
                <w:noProof/>
                <w:szCs w:val="24"/>
                <w:lang w:val="en-GB" w:eastAsia="en-GB"/>
              </w:rPr>
            </w:pPr>
          </w:p>
        </w:tc>
        <w:tc>
          <w:tcPr>
            <w:tcW w:w="1555" w:type="dxa"/>
            <w:tcBorders>
              <w:top w:val="nil"/>
              <w:left w:val="single" w:sz="4" w:space="0" w:color="auto"/>
              <w:bottom w:val="single" w:sz="4" w:space="0" w:color="auto"/>
              <w:right w:val="single" w:sz="4" w:space="0" w:color="auto"/>
            </w:tcBorders>
            <w:shd w:val="clear" w:color="auto" w:fill="BDD7EE"/>
            <w:vAlign w:val="center"/>
            <w:hideMark/>
          </w:tcPr>
          <w:p w14:paraId="757A4EC3" w14:textId="77777777" w:rsidR="006A41D9" w:rsidRPr="001961AA" w:rsidRDefault="006A41D9" w:rsidP="00BD6DD1">
            <w:pPr>
              <w:spacing w:after="0"/>
              <w:jc w:val="center"/>
              <w:rPr>
                <w:rFonts w:ascii="Times New Roman" w:eastAsia="Times New Roman" w:hAnsi="Times New Roman" w:cs="Times New Roman"/>
                <w:b/>
                <w:noProof/>
                <w:sz w:val="20"/>
                <w:szCs w:val="20"/>
                <w:lang w:val="en-GB"/>
              </w:rPr>
            </w:pPr>
            <w:r w:rsidRPr="001961AA">
              <w:rPr>
                <w:rFonts w:ascii="Times New Roman" w:hAnsi="Times New Roman"/>
                <w:b/>
                <w:noProof/>
                <w:sz w:val="20"/>
                <w:lang w:val="en-GB"/>
              </w:rPr>
              <w:t>Unit of measure</w:t>
            </w:r>
          </w:p>
        </w:tc>
        <w:tc>
          <w:tcPr>
            <w:tcW w:w="1080" w:type="dxa"/>
            <w:tcBorders>
              <w:top w:val="nil"/>
              <w:left w:val="nil"/>
              <w:bottom w:val="single" w:sz="4" w:space="0" w:color="auto"/>
              <w:right w:val="single" w:sz="4" w:space="0" w:color="auto"/>
            </w:tcBorders>
            <w:shd w:val="clear" w:color="auto" w:fill="BDD7EE"/>
            <w:vAlign w:val="center"/>
            <w:hideMark/>
          </w:tcPr>
          <w:p w14:paraId="702C7530" w14:textId="77777777" w:rsidR="006A41D9" w:rsidRPr="001961AA" w:rsidRDefault="006A41D9" w:rsidP="00BD6DD1">
            <w:pPr>
              <w:spacing w:after="0"/>
              <w:jc w:val="center"/>
              <w:rPr>
                <w:rFonts w:ascii="Times New Roman" w:eastAsia="Times New Roman" w:hAnsi="Times New Roman" w:cs="Times New Roman"/>
                <w:b/>
                <w:noProof/>
                <w:sz w:val="20"/>
                <w:szCs w:val="20"/>
                <w:lang w:val="en-GB"/>
              </w:rPr>
            </w:pPr>
            <w:r w:rsidRPr="001961AA">
              <w:rPr>
                <w:rFonts w:ascii="Times New Roman" w:hAnsi="Times New Roman"/>
                <w:b/>
                <w:noProof/>
                <w:sz w:val="20"/>
                <w:lang w:val="en-GB"/>
              </w:rPr>
              <w:t xml:space="preserve">Baseline </w:t>
            </w:r>
          </w:p>
        </w:tc>
        <w:tc>
          <w:tcPr>
            <w:tcW w:w="720" w:type="dxa"/>
            <w:tcBorders>
              <w:top w:val="nil"/>
              <w:left w:val="nil"/>
              <w:bottom w:val="single" w:sz="4" w:space="0" w:color="auto"/>
              <w:right w:val="single" w:sz="4" w:space="0" w:color="auto"/>
            </w:tcBorders>
            <w:shd w:val="clear" w:color="auto" w:fill="BDD7EE"/>
            <w:vAlign w:val="center"/>
            <w:hideMark/>
          </w:tcPr>
          <w:p w14:paraId="7498B76F" w14:textId="77777777" w:rsidR="006A41D9" w:rsidRPr="001961AA" w:rsidRDefault="006A41D9" w:rsidP="00BD6DD1">
            <w:pPr>
              <w:spacing w:after="0"/>
              <w:jc w:val="center"/>
              <w:rPr>
                <w:rFonts w:ascii="Times New Roman" w:eastAsia="Times New Roman" w:hAnsi="Times New Roman" w:cs="Times New Roman"/>
                <w:b/>
                <w:noProof/>
                <w:sz w:val="20"/>
                <w:szCs w:val="20"/>
                <w:lang w:val="en-GB"/>
              </w:rPr>
            </w:pPr>
            <w:r w:rsidRPr="001961AA">
              <w:rPr>
                <w:rFonts w:ascii="Times New Roman" w:hAnsi="Times New Roman"/>
                <w:b/>
                <w:noProof/>
                <w:sz w:val="20"/>
                <w:lang w:val="en-GB"/>
              </w:rPr>
              <w:t xml:space="preserve">Goal </w:t>
            </w:r>
          </w:p>
        </w:tc>
        <w:tc>
          <w:tcPr>
            <w:tcW w:w="960" w:type="dxa"/>
            <w:tcBorders>
              <w:top w:val="nil"/>
              <w:left w:val="nil"/>
              <w:bottom w:val="single" w:sz="4" w:space="0" w:color="auto"/>
              <w:right w:val="single" w:sz="4" w:space="0" w:color="auto"/>
            </w:tcBorders>
            <w:shd w:val="clear" w:color="auto" w:fill="BDD7EE"/>
            <w:vAlign w:val="center"/>
            <w:hideMark/>
          </w:tcPr>
          <w:p w14:paraId="21C2070D" w14:textId="77777777" w:rsidR="006A41D9" w:rsidRPr="001961AA" w:rsidRDefault="006A41D9" w:rsidP="00BD6DD1">
            <w:pPr>
              <w:spacing w:after="0"/>
              <w:jc w:val="center"/>
              <w:rPr>
                <w:rFonts w:ascii="Times New Roman" w:eastAsia="Times New Roman" w:hAnsi="Times New Roman" w:cs="Times New Roman"/>
                <w:b/>
                <w:noProof/>
                <w:sz w:val="20"/>
                <w:szCs w:val="20"/>
                <w:lang w:val="en-GB"/>
              </w:rPr>
            </w:pPr>
            <w:r w:rsidRPr="001961AA">
              <w:rPr>
                <w:rFonts w:ascii="Times New Roman" w:hAnsi="Times New Roman"/>
                <w:b/>
                <w:noProof/>
                <w:sz w:val="20"/>
                <w:lang w:val="en-GB"/>
              </w:rPr>
              <w:t>Quarter</w:t>
            </w:r>
          </w:p>
        </w:tc>
        <w:tc>
          <w:tcPr>
            <w:tcW w:w="720" w:type="dxa"/>
            <w:tcBorders>
              <w:top w:val="nil"/>
              <w:left w:val="nil"/>
              <w:bottom w:val="single" w:sz="4" w:space="0" w:color="auto"/>
              <w:right w:val="single" w:sz="4" w:space="0" w:color="auto"/>
            </w:tcBorders>
            <w:shd w:val="clear" w:color="auto" w:fill="BDD7EE"/>
            <w:vAlign w:val="center"/>
            <w:hideMark/>
          </w:tcPr>
          <w:p w14:paraId="2B953C97" w14:textId="77777777" w:rsidR="006A41D9" w:rsidRPr="001961AA" w:rsidRDefault="006A41D9" w:rsidP="00BD6DD1">
            <w:pPr>
              <w:spacing w:after="0"/>
              <w:jc w:val="center"/>
              <w:rPr>
                <w:rFonts w:ascii="Times New Roman" w:eastAsia="Times New Roman" w:hAnsi="Times New Roman" w:cs="Times New Roman"/>
                <w:b/>
                <w:noProof/>
                <w:sz w:val="20"/>
                <w:szCs w:val="20"/>
                <w:lang w:val="en-GB"/>
              </w:rPr>
            </w:pPr>
            <w:r w:rsidRPr="001961AA">
              <w:rPr>
                <w:rFonts w:ascii="Times New Roman" w:hAnsi="Times New Roman"/>
                <w:b/>
                <w:noProof/>
                <w:sz w:val="20"/>
                <w:lang w:val="en-GB"/>
              </w:rPr>
              <w:t>Year</w:t>
            </w:r>
          </w:p>
        </w:tc>
        <w:tc>
          <w:tcPr>
            <w:tcW w:w="4424" w:type="dxa"/>
            <w:gridSpan w:val="2"/>
            <w:vMerge/>
            <w:vAlign w:val="center"/>
            <w:hideMark/>
          </w:tcPr>
          <w:p w14:paraId="17422F8B" w14:textId="77777777" w:rsidR="006A41D9" w:rsidRPr="001961AA" w:rsidRDefault="006A41D9" w:rsidP="00BD6DD1">
            <w:pPr>
              <w:spacing w:after="0"/>
              <w:rPr>
                <w:rFonts w:ascii="Times New Roman" w:eastAsia="Times New Roman" w:hAnsi="Times New Roman" w:cs="Times New Roman"/>
                <w:b/>
                <w:bCs/>
                <w:noProof/>
                <w:szCs w:val="24"/>
                <w:lang w:val="en-GB" w:eastAsia="en-GB"/>
              </w:rPr>
            </w:pPr>
          </w:p>
        </w:tc>
      </w:tr>
      <w:tr w:rsidR="00531AF1" w:rsidRPr="001961AA" w14:paraId="5066FB37" w14:textId="77777777" w:rsidTr="00300C11">
        <w:trPr>
          <w:trHeight w:val="2596"/>
        </w:trPr>
        <w:tc>
          <w:tcPr>
            <w:tcW w:w="787"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24DFA86B"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195</w:t>
            </w:r>
          </w:p>
        </w:tc>
        <w:tc>
          <w:tcPr>
            <w:tcW w:w="1332" w:type="dxa"/>
            <w:tcBorders>
              <w:top w:val="single" w:sz="4" w:space="0" w:color="auto"/>
              <w:left w:val="nil"/>
              <w:bottom w:val="single" w:sz="4" w:space="0" w:color="auto"/>
              <w:right w:val="single" w:sz="4" w:space="0" w:color="auto"/>
            </w:tcBorders>
            <w:shd w:val="clear" w:color="auto" w:fill="C6EFCE"/>
            <w:noWrap/>
            <w:vAlign w:val="center"/>
            <w:hideMark/>
          </w:tcPr>
          <w:p w14:paraId="334CDE6C"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Brussels Regional Strategy for the Economic Transition (R-5.08)</w:t>
            </w:r>
          </w:p>
        </w:tc>
        <w:tc>
          <w:tcPr>
            <w:tcW w:w="1111" w:type="dxa"/>
            <w:tcBorders>
              <w:top w:val="single" w:sz="4" w:space="0" w:color="auto"/>
              <w:left w:val="nil"/>
              <w:bottom w:val="single" w:sz="4" w:space="0" w:color="auto"/>
              <w:right w:val="single" w:sz="4" w:space="0" w:color="auto"/>
            </w:tcBorders>
            <w:shd w:val="clear" w:color="auto" w:fill="C6EFCE"/>
            <w:noWrap/>
            <w:vAlign w:val="center"/>
            <w:hideMark/>
          </w:tcPr>
          <w:p w14:paraId="26FDAF00" w14:textId="64F8237B"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M</w:t>
            </w:r>
          </w:p>
        </w:tc>
        <w:tc>
          <w:tcPr>
            <w:tcW w:w="1402" w:type="dxa"/>
            <w:tcBorders>
              <w:top w:val="single" w:sz="4" w:space="0" w:color="auto"/>
              <w:left w:val="nil"/>
              <w:bottom w:val="single" w:sz="4" w:space="0" w:color="auto"/>
              <w:right w:val="single" w:sz="4" w:space="0" w:color="auto"/>
            </w:tcBorders>
            <w:shd w:val="clear" w:color="auto" w:fill="C6EFCE"/>
            <w:noWrap/>
            <w:vAlign w:val="center"/>
            <w:hideMark/>
          </w:tcPr>
          <w:p w14:paraId="6D2F5DB3"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Adoption of the Regional Strategy for Economic Transition</w:t>
            </w:r>
          </w:p>
        </w:tc>
        <w:tc>
          <w:tcPr>
            <w:tcW w:w="1962" w:type="dxa"/>
            <w:tcBorders>
              <w:top w:val="single" w:sz="4" w:space="0" w:color="auto"/>
              <w:left w:val="nil"/>
              <w:bottom w:val="single" w:sz="4" w:space="0" w:color="auto"/>
              <w:right w:val="single" w:sz="4" w:space="0" w:color="auto"/>
            </w:tcBorders>
            <w:shd w:val="clear" w:color="auto" w:fill="C6EFCE"/>
            <w:noWrap/>
            <w:vAlign w:val="center"/>
            <w:hideMark/>
          </w:tcPr>
          <w:p w14:paraId="4D2A9FE7" w14:textId="77777777" w:rsidR="006A41D9" w:rsidRPr="001961AA" w:rsidRDefault="006A41D9" w:rsidP="00BD6DD1">
            <w:pPr>
              <w:spacing w:after="0"/>
              <w:rPr>
                <w:rFonts w:ascii="Times New Roman" w:hAnsi="Times New Roman" w:cs="Times New Roman"/>
                <w:noProof/>
                <w:lang w:val="en-GB"/>
              </w:rPr>
            </w:pPr>
            <w:r w:rsidRPr="001961AA">
              <w:rPr>
                <w:rFonts w:ascii="Times New Roman" w:hAnsi="Times New Roman"/>
                <w:noProof/>
                <w:color w:val="006100"/>
                <w:lang w:val="en-GB"/>
              </w:rPr>
              <w:t>Decision of the Government of the Brussels-Capital Region indicating the adoption of the strategy</w:t>
            </w:r>
          </w:p>
        </w:tc>
        <w:tc>
          <w:tcPr>
            <w:tcW w:w="1555" w:type="dxa"/>
            <w:tcBorders>
              <w:top w:val="nil"/>
              <w:left w:val="nil"/>
              <w:bottom w:val="single" w:sz="4" w:space="0" w:color="auto"/>
              <w:right w:val="single" w:sz="4" w:space="0" w:color="auto"/>
            </w:tcBorders>
            <w:shd w:val="clear" w:color="auto" w:fill="C6EFCE"/>
            <w:noWrap/>
            <w:vAlign w:val="center"/>
            <w:hideMark/>
          </w:tcPr>
          <w:p w14:paraId="77452EC4" w14:textId="77777777"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1080" w:type="dxa"/>
            <w:tcBorders>
              <w:top w:val="nil"/>
              <w:left w:val="nil"/>
              <w:bottom w:val="single" w:sz="4" w:space="0" w:color="auto"/>
              <w:right w:val="single" w:sz="4" w:space="0" w:color="auto"/>
            </w:tcBorders>
            <w:shd w:val="clear" w:color="auto" w:fill="C6EFCE"/>
            <w:noWrap/>
            <w:vAlign w:val="center"/>
            <w:hideMark/>
          </w:tcPr>
          <w:p w14:paraId="34200AD7" w14:textId="77777777" w:rsidR="006A41D9" w:rsidRPr="001961AA" w:rsidRDefault="006A41D9" w:rsidP="00BD6DD1">
            <w:pPr>
              <w:spacing w:after="0"/>
              <w:jc w:val="right"/>
              <w:rPr>
                <w:rFonts w:ascii="Times New Roman" w:eastAsia="Times New Roman" w:hAnsi="Times New Roman" w:cs="Times New Roman"/>
                <w:noProof/>
                <w:color w:val="006100"/>
                <w:lang w:val="en-GB" w:eastAsia="en-GB"/>
              </w:rPr>
            </w:pPr>
          </w:p>
        </w:tc>
        <w:tc>
          <w:tcPr>
            <w:tcW w:w="720" w:type="dxa"/>
            <w:tcBorders>
              <w:top w:val="nil"/>
              <w:left w:val="nil"/>
              <w:bottom w:val="single" w:sz="4" w:space="0" w:color="auto"/>
              <w:right w:val="single" w:sz="4" w:space="0" w:color="auto"/>
            </w:tcBorders>
            <w:shd w:val="clear" w:color="auto" w:fill="C6EFCE"/>
            <w:noWrap/>
            <w:vAlign w:val="center"/>
          </w:tcPr>
          <w:p w14:paraId="4C4CBAD6" w14:textId="77777777" w:rsidR="006A41D9" w:rsidRPr="001961AA" w:rsidRDefault="006A41D9" w:rsidP="00BD6DD1">
            <w:pPr>
              <w:spacing w:after="0"/>
              <w:jc w:val="right"/>
              <w:rPr>
                <w:rFonts w:ascii="Times New Roman" w:eastAsia="Times New Roman" w:hAnsi="Times New Roman" w:cs="Times New Roman"/>
                <w:noProof/>
                <w:color w:val="006100"/>
                <w:lang w:val="en-GB" w:eastAsia="en-GB"/>
              </w:rPr>
            </w:pPr>
          </w:p>
        </w:tc>
        <w:tc>
          <w:tcPr>
            <w:tcW w:w="960" w:type="dxa"/>
            <w:tcBorders>
              <w:top w:val="nil"/>
              <w:left w:val="nil"/>
              <w:bottom w:val="single" w:sz="4" w:space="0" w:color="auto"/>
              <w:right w:val="single" w:sz="4" w:space="0" w:color="auto"/>
            </w:tcBorders>
            <w:shd w:val="clear" w:color="auto" w:fill="C6EFCE"/>
            <w:noWrap/>
            <w:vAlign w:val="center"/>
            <w:hideMark/>
          </w:tcPr>
          <w:p w14:paraId="36A890B0"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Q1</w:t>
            </w:r>
          </w:p>
        </w:tc>
        <w:tc>
          <w:tcPr>
            <w:tcW w:w="720" w:type="dxa"/>
            <w:tcBorders>
              <w:top w:val="nil"/>
              <w:left w:val="nil"/>
              <w:bottom w:val="single" w:sz="4" w:space="0" w:color="auto"/>
              <w:right w:val="single" w:sz="4" w:space="0" w:color="auto"/>
            </w:tcBorders>
            <w:shd w:val="clear" w:color="auto" w:fill="C6EFCE"/>
            <w:noWrap/>
            <w:vAlign w:val="center"/>
            <w:hideMark/>
          </w:tcPr>
          <w:p w14:paraId="7BC38DD2"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2022</w:t>
            </w:r>
          </w:p>
        </w:tc>
        <w:tc>
          <w:tcPr>
            <w:tcW w:w="4424" w:type="dxa"/>
            <w:gridSpan w:val="2"/>
            <w:tcBorders>
              <w:top w:val="single" w:sz="4" w:space="0" w:color="auto"/>
              <w:left w:val="nil"/>
              <w:bottom w:val="single" w:sz="4" w:space="0" w:color="auto"/>
              <w:right w:val="single" w:sz="4" w:space="0" w:color="auto"/>
            </w:tcBorders>
            <w:shd w:val="clear" w:color="auto" w:fill="C6EFCE"/>
            <w:noWrap/>
            <w:vAlign w:val="center"/>
            <w:hideMark/>
          </w:tcPr>
          <w:p w14:paraId="1824A1FC"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Brussels Region’s strategy for economic transition adopted by the government of the Brussels-Capital Region (</w:t>
            </w:r>
            <w:r w:rsidRPr="001961AA">
              <w:rPr>
                <w:rFonts w:ascii="Times New Roman" w:hAnsi="Times New Roman"/>
                <w:i/>
                <w:noProof/>
                <w:color w:val="006100"/>
                <w:lang w:val="en-GB"/>
              </w:rPr>
              <w:t>Décision du Gouvernement de la Région de Bruxelles-Capitale</w:t>
            </w:r>
            <w:r w:rsidRPr="001961AA">
              <w:rPr>
                <w:rFonts w:ascii="Times New Roman" w:hAnsi="Times New Roman"/>
                <w:noProof/>
                <w:color w:val="006100"/>
                <w:lang w:val="en-GB"/>
              </w:rPr>
              <w:t>), defining objectives for 2030, based on coordination between public actors and active participation of the private sector, including a five year action plan covering priority areas for action, putting in place a coherent package of public incentives for innovation and favourable for entrepreneurship for the ecological transition.</w:t>
            </w:r>
          </w:p>
        </w:tc>
      </w:tr>
      <w:tr w:rsidR="00531AF1" w:rsidRPr="001961AA" w14:paraId="1E722C95" w14:textId="77777777" w:rsidTr="00300C11">
        <w:trPr>
          <w:trHeight w:val="1941"/>
        </w:trPr>
        <w:tc>
          <w:tcPr>
            <w:tcW w:w="787" w:type="dxa"/>
            <w:tcBorders>
              <w:top w:val="nil"/>
              <w:left w:val="single" w:sz="4" w:space="0" w:color="auto"/>
              <w:bottom w:val="single" w:sz="4" w:space="0" w:color="auto"/>
              <w:right w:val="single" w:sz="4" w:space="0" w:color="auto"/>
            </w:tcBorders>
            <w:shd w:val="clear" w:color="auto" w:fill="C6EFCE"/>
            <w:noWrap/>
            <w:vAlign w:val="center"/>
            <w:hideMark/>
          </w:tcPr>
          <w:p w14:paraId="19C04F70"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196</w:t>
            </w:r>
          </w:p>
        </w:tc>
        <w:tc>
          <w:tcPr>
            <w:tcW w:w="1332" w:type="dxa"/>
            <w:tcBorders>
              <w:top w:val="nil"/>
              <w:left w:val="nil"/>
              <w:bottom w:val="single" w:sz="4" w:space="0" w:color="auto"/>
              <w:right w:val="single" w:sz="4" w:space="0" w:color="auto"/>
            </w:tcBorders>
            <w:shd w:val="clear" w:color="auto" w:fill="C6EFCE"/>
            <w:noWrap/>
            <w:vAlign w:val="center"/>
            <w:hideMark/>
          </w:tcPr>
          <w:p w14:paraId="01B44918"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Governance Circular Flanders (R-5.09)</w:t>
            </w:r>
          </w:p>
        </w:tc>
        <w:tc>
          <w:tcPr>
            <w:tcW w:w="1111" w:type="dxa"/>
            <w:tcBorders>
              <w:top w:val="nil"/>
              <w:left w:val="nil"/>
              <w:bottom w:val="single" w:sz="4" w:space="0" w:color="auto"/>
              <w:right w:val="single" w:sz="4" w:space="0" w:color="auto"/>
            </w:tcBorders>
            <w:shd w:val="clear" w:color="auto" w:fill="C6EFCE"/>
            <w:noWrap/>
            <w:vAlign w:val="center"/>
            <w:hideMark/>
          </w:tcPr>
          <w:p w14:paraId="7C64C32E" w14:textId="1E7619AD"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M</w:t>
            </w:r>
          </w:p>
        </w:tc>
        <w:tc>
          <w:tcPr>
            <w:tcW w:w="1402" w:type="dxa"/>
            <w:tcBorders>
              <w:top w:val="nil"/>
              <w:left w:val="nil"/>
              <w:bottom w:val="single" w:sz="4" w:space="0" w:color="auto"/>
              <w:right w:val="single" w:sz="4" w:space="0" w:color="auto"/>
            </w:tcBorders>
            <w:shd w:val="clear" w:color="auto" w:fill="C6EFCE"/>
            <w:noWrap/>
            <w:vAlign w:val="center"/>
            <w:hideMark/>
          </w:tcPr>
          <w:p w14:paraId="40A0B506"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Launch of Steering Group of Circular Flanders</w:t>
            </w:r>
          </w:p>
        </w:tc>
        <w:tc>
          <w:tcPr>
            <w:tcW w:w="1962" w:type="dxa"/>
            <w:tcBorders>
              <w:top w:val="nil"/>
              <w:left w:val="nil"/>
              <w:bottom w:val="single" w:sz="4" w:space="0" w:color="auto"/>
              <w:right w:val="single" w:sz="4" w:space="0" w:color="auto"/>
            </w:tcBorders>
            <w:shd w:val="clear" w:color="auto" w:fill="C6EFCE"/>
            <w:noWrap/>
            <w:vAlign w:val="center"/>
            <w:hideMark/>
          </w:tcPr>
          <w:p w14:paraId="704D7494"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 xml:space="preserve">Steering group for the governance of Circular Flanders appointed and Roadmap and Work Agendas adopted </w:t>
            </w:r>
          </w:p>
        </w:tc>
        <w:tc>
          <w:tcPr>
            <w:tcW w:w="1555" w:type="dxa"/>
            <w:tcBorders>
              <w:top w:val="nil"/>
              <w:left w:val="nil"/>
              <w:bottom w:val="single" w:sz="4" w:space="0" w:color="auto"/>
              <w:right w:val="single" w:sz="4" w:space="0" w:color="auto"/>
            </w:tcBorders>
            <w:shd w:val="clear" w:color="auto" w:fill="C6EFCE"/>
            <w:noWrap/>
            <w:vAlign w:val="center"/>
            <w:hideMark/>
          </w:tcPr>
          <w:p w14:paraId="667E43F4" w14:textId="77777777"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1080" w:type="dxa"/>
            <w:tcBorders>
              <w:top w:val="nil"/>
              <w:left w:val="nil"/>
              <w:bottom w:val="single" w:sz="4" w:space="0" w:color="auto"/>
              <w:right w:val="single" w:sz="4" w:space="0" w:color="auto"/>
            </w:tcBorders>
            <w:shd w:val="clear" w:color="auto" w:fill="C6EFCE"/>
            <w:noWrap/>
            <w:vAlign w:val="center"/>
            <w:hideMark/>
          </w:tcPr>
          <w:p w14:paraId="1501E0F4" w14:textId="77777777" w:rsidR="006A41D9" w:rsidRPr="001961AA" w:rsidRDefault="006A41D9" w:rsidP="00BD6DD1">
            <w:pPr>
              <w:spacing w:after="0"/>
              <w:jc w:val="right"/>
              <w:rPr>
                <w:rFonts w:ascii="Times New Roman" w:eastAsia="Times New Roman" w:hAnsi="Times New Roman" w:cs="Times New Roman"/>
                <w:noProof/>
                <w:color w:val="006100"/>
                <w:lang w:val="en-GB" w:eastAsia="en-GB"/>
              </w:rPr>
            </w:pPr>
          </w:p>
        </w:tc>
        <w:tc>
          <w:tcPr>
            <w:tcW w:w="720" w:type="dxa"/>
            <w:tcBorders>
              <w:top w:val="nil"/>
              <w:left w:val="nil"/>
              <w:bottom w:val="single" w:sz="4" w:space="0" w:color="auto"/>
              <w:right w:val="single" w:sz="4" w:space="0" w:color="auto"/>
            </w:tcBorders>
            <w:shd w:val="clear" w:color="auto" w:fill="C6EFCE"/>
            <w:noWrap/>
            <w:vAlign w:val="center"/>
          </w:tcPr>
          <w:p w14:paraId="041FA70B" w14:textId="77777777" w:rsidR="006A41D9" w:rsidRPr="001961AA" w:rsidRDefault="006A41D9" w:rsidP="00BD6DD1">
            <w:pPr>
              <w:spacing w:after="0"/>
              <w:jc w:val="right"/>
              <w:rPr>
                <w:rFonts w:ascii="Times New Roman" w:eastAsia="Times New Roman" w:hAnsi="Times New Roman" w:cs="Times New Roman"/>
                <w:noProof/>
                <w:color w:val="006100"/>
                <w:lang w:val="en-GB" w:eastAsia="en-GB"/>
              </w:rPr>
            </w:pPr>
          </w:p>
        </w:tc>
        <w:tc>
          <w:tcPr>
            <w:tcW w:w="960" w:type="dxa"/>
            <w:tcBorders>
              <w:top w:val="nil"/>
              <w:left w:val="nil"/>
              <w:bottom w:val="single" w:sz="4" w:space="0" w:color="auto"/>
              <w:right w:val="single" w:sz="4" w:space="0" w:color="auto"/>
            </w:tcBorders>
            <w:shd w:val="clear" w:color="auto" w:fill="C6EFCE"/>
            <w:noWrap/>
            <w:vAlign w:val="center"/>
            <w:hideMark/>
          </w:tcPr>
          <w:p w14:paraId="4D57FF87"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Q4</w:t>
            </w:r>
          </w:p>
        </w:tc>
        <w:tc>
          <w:tcPr>
            <w:tcW w:w="720" w:type="dxa"/>
            <w:tcBorders>
              <w:top w:val="nil"/>
              <w:left w:val="nil"/>
              <w:bottom w:val="single" w:sz="4" w:space="0" w:color="auto"/>
              <w:right w:val="single" w:sz="4" w:space="0" w:color="auto"/>
            </w:tcBorders>
            <w:shd w:val="clear" w:color="auto" w:fill="C6EFCE"/>
            <w:noWrap/>
            <w:vAlign w:val="center"/>
            <w:hideMark/>
          </w:tcPr>
          <w:p w14:paraId="43F2B02A" w14:textId="77777777" w:rsidR="006A41D9" w:rsidRPr="001961AA" w:rsidRDefault="006A41D9" w:rsidP="00BD6DD1">
            <w:pPr>
              <w:spacing w:after="0"/>
              <w:jc w:val="center"/>
              <w:rPr>
                <w:rFonts w:ascii="Times New Roman" w:eastAsia="Times New Roman" w:hAnsi="Times New Roman" w:cs="Times New Roman"/>
                <w:strike/>
                <w:noProof/>
                <w:color w:val="006100"/>
                <w:lang w:val="en-GB"/>
              </w:rPr>
            </w:pPr>
            <w:r w:rsidRPr="001961AA">
              <w:rPr>
                <w:rFonts w:ascii="Times New Roman" w:hAnsi="Times New Roman"/>
                <w:noProof/>
                <w:color w:val="006100"/>
                <w:lang w:val="en-GB"/>
              </w:rPr>
              <w:t>2021</w:t>
            </w:r>
          </w:p>
        </w:tc>
        <w:tc>
          <w:tcPr>
            <w:tcW w:w="4424" w:type="dxa"/>
            <w:gridSpan w:val="2"/>
            <w:tcBorders>
              <w:top w:val="nil"/>
              <w:left w:val="nil"/>
              <w:bottom w:val="single" w:sz="4" w:space="0" w:color="auto"/>
              <w:right w:val="single" w:sz="4" w:space="0" w:color="auto"/>
            </w:tcBorders>
            <w:shd w:val="clear" w:color="auto" w:fill="C6EFCE"/>
            <w:noWrap/>
            <w:vAlign w:val="center"/>
            <w:hideMark/>
          </w:tcPr>
          <w:p w14:paraId="505D1818"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Steering group for the governance of Circular Flanders appointed and Roadmap and Work Agendas for guiding circular economy projects and the development of strategic levers adopted</w:t>
            </w:r>
          </w:p>
        </w:tc>
      </w:tr>
      <w:tr w:rsidR="00531AF1" w:rsidRPr="001961AA" w14:paraId="418FD12D" w14:textId="77777777" w:rsidTr="00300C11">
        <w:trPr>
          <w:trHeight w:val="309"/>
        </w:trPr>
        <w:tc>
          <w:tcPr>
            <w:tcW w:w="787" w:type="dxa"/>
            <w:tcBorders>
              <w:top w:val="nil"/>
              <w:left w:val="single" w:sz="4" w:space="0" w:color="auto"/>
              <w:bottom w:val="single" w:sz="4" w:space="0" w:color="auto"/>
              <w:right w:val="single" w:sz="4" w:space="0" w:color="auto"/>
            </w:tcBorders>
            <w:shd w:val="clear" w:color="auto" w:fill="C6EFCE"/>
            <w:noWrap/>
            <w:vAlign w:val="center"/>
            <w:hideMark/>
          </w:tcPr>
          <w:p w14:paraId="1D251E22"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197</w:t>
            </w:r>
          </w:p>
        </w:tc>
        <w:tc>
          <w:tcPr>
            <w:tcW w:w="1332" w:type="dxa"/>
            <w:tcBorders>
              <w:top w:val="nil"/>
              <w:left w:val="nil"/>
              <w:bottom w:val="single" w:sz="4" w:space="0" w:color="auto"/>
              <w:right w:val="single" w:sz="4" w:space="0" w:color="auto"/>
            </w:tcBorders>
            <w:shd w:val="clear" w:color="auto" w:fill="C6EFCE"/>
            <w:noWrap/>
            <w:vAlign w:val="center"/>
            <w:hideMark/>
          </w:tcPr>
          <w:p w14:paraId="3401B533"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Recycling Hub (I-5.14)</w:t>
            </w:r>
          </w:p>
        </w:tc>
        <w:tc>
          <w:tcPr>
            <w:tcW w:w="1111" w:type="dxa"/>
            <w:tcBorders>
              <w:top w:val="nil"/>
              <w:left w:val="nil"/>
              <w:bottom w:val="single" w:sz="4" w:space="0" w:color="auto"/>
              <w:right w:val="single" w:sz="4" w:space="0" w:color="auto"/>
            </w:tcBorders>
            <w:shd w:val="clear" w:color="auto" w:fill="C6EFCE"/>
            <w:noWrap/>
            <w:vAlign w:val="center"/>
            <w:hideMark/>
          </w:tcPr>
          <w:p w14:paraId="40913DDE" w14:textId="4724479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T</w:t>
            </w:r>
          </w:p>
        </w:tc>
        <w:tc>
          <w:tcPr>
            <w:tcW w:w="1402" w:type="dxa"/>
            <w:tcBorders>
              <w:top w:val="nil"/>
              <w:left w:val="nil"/>
              <w:bottom w:val="single" w:sz="4" w:space="0" w:color="auto"/>
              <w:right w:val="single" w:sz="4" w:space="0" w:color="auto"/>
            </w:tcBorders>
            <w:shd w:val="clear" w:color="auto" w:fill="C6EFCE"/>
            <w:noWrap/>
            <w:vAlign w:val="center"/>
            <w:hideMark/>
          </w:tcPr>
          <w:p w14:paraId="1EFF4D69"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Award of six public contracts for recycling facilities</w:t>
            </w:r>
          </w:p>
        </w:tc>
        <w:tc>
          <w:tcPr>
            <w:tcW w:w="1962" w:type="dxa"/>
            <w:tcBorders>
              <w:top w:val="nil"/>
              <w:left w:val="nil"/>
              <w:bottom w:val="single" w:sz="4" w:space="0" w:color="auto"/>
              <w:right w:val="single" w:sz="4" w:space="0" w:color="auto"/>
            </w:tcBorders>
            <w:shd w:val="clear" w:color="auto" w:fill="C6EFCE"/>
            <w:noWrap/>
            <w:vAlign w:val="center"/>
            <w:hideMark/>
          </w:tcPr>
          <w:p w14:paraId="43496DDE" w14:textId="77777777"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1555" w:type="dxa"/>
            <w:tcBorders>
              <w:top w:val="nil"/>
              <w:left w:val="nil"/>
              <w:bottom w:val="single" w:sz="4" w:space="0" w:color="auto"/>
              <w:right w:val="single" w:sz="4" w:space="0" w:color="auto"/>
            </w:tcBorders>
            <w:shd w:val="clear" w:color="auto" w:fill="C6EFCE"/>
            <w:noWrap/>
            <w:vAlign w:val="center"/>
            <w:hideMark/>
          </w:tcPr>
          <w:p w14:paraId="7308A461"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Facilities</w:t>
            </w:r>
          </w:p>
        </w:tc>
        <w:tc>
          <w:tcPr>
            <w:tcW w:w="1080" w:type="dxa"/>
            <w:tcBorders>
              <w:top w:val="nil"/>
              <w:left w:val="nil"/>
              <w:bottom w:val="single" w:sz="4" w:space="0" w:color="auto"/>
              <w:right w:val="single" w:sz="4" w:space="0" w:color="auto"/>
            </w:tcBorders>
            <w:shd w:val="clear" w:color="auto" w:fill="C6EFCE"/>
            <w:noWrap/>
            <w:vAlign w:val="center"/>
            <w:hideMark/>
          </w:tcPr>
          <w:p w14:paraId="2D970910" w14:textId="3D9CC043" w:rsidR="006A41D9" w:rsidRPr="001961AA" w:rsidRDefault="006A41D9" w:rsidP="00124779">
            <w:pPr>
              <w:spacing w:after="0"/>
              <w:jc w:val="right"/>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0</w:t>
            </w:r>
          </w:p>
        </w:tc>
        <w:tc>
          <w:tcPr>
            <w:tcW w:w="720" w:type="dxa"/>
            <w:tcBorders>
              <w:top w:val="nil"/>
              <w:left w:val="nil"/>
              <w:bottom w:val="single" w:sz="4" w:space="0" w:color="auto"/>
              <w:right w:val="single" w:sz="4" w:space="0" w:color="auto"/>
            </w:tcBorders>
            <w:shd w:val="clear" w:color="auto" w:fill="C6EFCE"/>
            <w:noWrap/>
            <w:vAlign w:val="center"/>
            <w:hideMark/>
          </w:tcPr>
          <w:p w14:paraId="16436CFA" w14:textId="4188AE4B" w:rsidR="006A41D9" w:rsidRPr="001961AA" w:rsidRDefault="006A41D9" w:rsidP="00124779">
            <w:pPr>
              <w:spacing w:after="0"/>
              <w:jc w:val="right"/>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6</w:t>
            </w:r>
          </w:p>
        </w:tc>
        <w:tc>
          <w:tcPr>
            <w:tcW w:w="960" w:type="dxa"/>
            <w:tcBorders>
              <w:top w:val="nil"/>
              <w:left w:val="nil"/>
              <w:bottom w:val="single" w:sz="4" w:space="0" w:color="auto"/>
              <w:right w:val="single" w:sz="4" w:space="0" w:color="auto"/>
            </w:tcBorders>
            <w:shd w:val="clear" w:color="auto" w:fill="C6EFCE"/>
            <w:noWrap/>
            <w:vAlign w:val="center"/>
            <w:hideMark/>
          </w:tcPr>
          <w:p w14:paraId="33B87535" w14:textId="339358ED"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Q4</w:t>
            </w:r>
          </w:p>
        </w:tc>
        <w:tc>
          <w:tcPr>
            <w:tcW w:w="720" w:type="dxa"/>
            <w:tcBorders>
              <w:top w:val="nil"/>
              <w:left w:val="nil"/>
              <w:bottom w:val="single" w:sz="4" w:space="0" w:color="auto"/>
              <w:right w:val="single" w:sz="4" w:space="0" w:color="auto"/>
            </w:tcBorders>
            <w:shd w:val="clear" w:color="auto" w:fill="C6EFCE"/>
            <w:noWrap/>
            <w:vAlign w:val="center"/>
            <w:hideMark/>
          </w:tcPr>
          <w:p w14:paraId="4675498C"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2022</w:t>
            </w:r>
          </w:p>
        </w:tc>
        <w:tc>
          <w:tcPr>
            <w:tcW w:w="4424" w:type="dxa"/>
            <w:gridSpan w:val="2"/>
            <w:tcBorders>
              <w:top w:val="nil"/>
              <w:left w:val="nil"/>
              <w:bottom w:val="single" w:sz="4" w:space="0" w:color="auto"/>
              <w:right w:val="single" w:sz="4" w:space="0" w:color="auto"/>
            </w:tcBorders>
            <w:shd w:val="clear" w:color="auto" w:fill="C6EFCE"/>
            <w:noWrap/>
            <w:vAlign w:val="center"/>
            <w:hideMark/>
          </w:tcPr>
          <w:p w14:paraId="1C934ACA"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Six investment projects for recycling facilities have been selected for support. A jury shall make an assessment of the projects, the final selection shall be confirmed by the Flemish minister for Environment.</w:t>
            </w:r>
          </w:p>
          <w:p w14:paraId="59A8F36F" w14:textId="1EA8E17A"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Award of the contracts to the projects selected under the competitive call for proposals with terms of reference including eligibility criteria that ensure that the selected projects comply with the ’Do no significant harm’ Technical Guidance (2021/C58/01) through the use of an exclusion list.  The grant award decisions shall stipulate that the aid shall be granted under the condition that the activity complies with relevant EU and national environmental legislation.</w:t>
            </w:r>
          </w:p>
        </w:tc>
      </w:tr>
      <w:tr w:rsidR="00531AF1" w:rsidRPr="001961AA" w14:paraId="2D85031D" w14:textId="77777777" w:rsidTr="00300C11">
        <w:trPr>
          <w:trHeight w:val="1180"/>
        </w:trPr>
        <w:tc>
          <w:tcPr>
            <w:tcW w:w="787" w:type="dxa"/>
            <w:tcBorders>
              <w:top w:val="nil"/>
              <w:left w:val="single" w:sz="4" w:space="0" w:color="auto"/>
              <w:bottom w:val="single" w:sz="4" w:space="0" w:color="auto"/>
              <w:right w:val="single" w:sz="4" w:space="0" w:color="auto"/>
            </w:tcBorders>
            <w:shd w:val="clear" w:color="auto" w:fill="C6EFCE"/>
            <w:noWrap/>
            <w:vAlign w:val="center"/>
            <w:hideMark/>
          </w:tcPr>
          <w:p w14:paraId="45587BBF"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198</w:t>
            </w:r>
          </w:p>
        </w:tc>
        <w:tc>
          <w:tcPr>
            <w:tcW w:w="1332" w:type="dxa"/>
            <w:tcBorders>
              <w:top w:val="nil"/>
              <w:left w:val="nil"/>
              <w:bottom w:val="single" w:sz="4" w:space="0" w:color="auto"/>
              <w:right w:val="single" w:sz="4" w:space="0" w:color="auto"/>
            </w:tcBorders>
            <w:shd w:val="clear" w:color="auto" w:fill="C6EFCE"/>
            <w:noWrap/>
            <w:vAlign w:val="center"/>
            <w:hideMark/>
          </w:tcPr>
          <w:p w14:paraId="6E902467"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Recycling Hub (I-5.14)</w:t>
            </w:r>
          </w:p>
        </w:tc>
        <w:tc>
          <w:tcPr>
            <w:tcW w:w="1111" w:type="dxa"/>
            <w:tcBorders>
              <w:top w:val="nil"/>
              <w:left w:val="nil"/>
              <w:bottom w:val="single" w:sz="4" w:space="0" w:color="auto"/>
              <w:right w:val="single" w:sz="4" w:space="0" w:color="auto"/>
            </w:tcBorders>
            <w:shd w:val="clear" w:color="auto" w:fill="C6EFCE"/>
            <w:noWrap/>
            <w:vAlign w:val="center"/>
            <w:hideMark/>
          </w:tcPr>
          <w:p w14:paraId="2AD17157" w14:textId="01F0190F"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T</w:t>
            </w:r>
          </w:p>
        </w:tc>
        <w:tc>
          <w:tcPr>
            <w:tcW w:w="1402" w:type="dxa"/>
            <w:tcBorders>
              <w:top w:val="nil"/>
              <w:left w:val="nil"/>
              <w:bottom w:val="single" w:sz="4" w:space="0" w:color="auto"/>
              <w:right w:val="single" w:sz="4" w:space="0" w:color="auto"/>
            </w:tcBorders>
            <w:shd w:val="clear" w:color="auto" w:fill="C6EFCE"/>
            <w:noWrap/>
            <w:vAlign w:val="center"/>
            <w:hideMark/>
          </w:tcPr>
          <w:p w14:paraId="3FF5DC10"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Completion of works in six recycling facilities</w:t>
            </w:r>
          </w:p>
        </w:tc>
        <w:tc>
          <w:tcPr>
            <w:tcW w:w="1962" w:type="dxa"/>
            <w:tcBorders>
              <w:top w:val="nil"/>
              <w:left w:val="nil"/>
              <w:bottom w:val="single" w:sz="4" w:space="0" w:color="auto"/>
              <w:right w:val="single" w:sz="4" w:space="0" w:color="auto"/>
            </w:tcBorders>
            <w:shd w:val="clear" w:color="auto" w:fill="C6EFCE"/>
            <w:noWrap/>
            <w:vAlign w:val="center"/>
            <w:hideMark/>
          </w:tcPr>
          <w:p w14:paraId="56083A43" w14:textId="7A972EE6"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1555" w:type="dxa"/>
            <w:tcBorders>
              <w:top w:val="nil"/>
              <w:left w:val="nil"/>
              <w:bottom w:val="single" w:sz="4" w:space="0" w:color="auto"/>
              <w:right w:val="single" w:sz="4" w:space="0" w:color="auto"/>
            </w:tcBorders>
            <w:shd w:val="clear" w:color="auto" w:fill="C6EFCE"/>
            <w:noWrap/>
            <w:vAlign w:val="center"/>
            <w:hideMark/>
          </w:tcPr>
          <w:p w14:paraId="14AFFE20"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Facilities</w:t>
            </w:r>
          </w:p>
        </w:tc>
        <w:tc>
          <w:tcPr>
            <w:tcW w:w="1080" w:type="dxa"/>
            <w:tcBorders>
              <w:top w:val="nil"/>
              <w:left w:val="nil"/>
              <w:bottom w:val="single" w:sz="4" w:space="0" w:color="auto"/>
              <w:right w:val="single" w:sz="4" w:space="0" w:color="auto"/>
            </w:tcBorders>
            <w:shd w:val="clear" w:color="auto" w:fill="C6EFCE"/>
            <w:noWrap/>
            <w:vAlign w:val="center"/>
            <w:hideMark/>
          </w:tcPr>
          <w:p w14:paraId="3EB4C6AD" w14:textId="3308FB23" w:rsidR="006A41D9" w:rsidRPr="001961AA" w:rsidRDefault="006A41D9" w:rsidP="0082549E">
            <w:pPr>
              <w:spacing w:after="0"/>
              <w:jc w:val="right"/>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0</w:t>
            </w:r>
          </w:p>
        </w:tc>
        <w:tc>
          <w:tcPr>
            <w:tcW w:w="720" w:type="dxa"/>
            <w:tcBorders>
              <w:top w:val="nil"/>
              <w:left w:val="nil"/>
              <w:bottom w:val="single" w:sz="4" w:space="0" w:color="auto"/>
              <w:right w:val="single" w:sz="4" w:space="0" w:color="auto"/>
            </w:tcBorders>
            <w:shd w:val="clear" w:color="auto" w:fill="C6EFCE"/>
            <w:noWrap/>
            <w:vAlign w:val="center"/>
            <w:hideMark/>
          </w:tcPr>
          <w:p w14:paraId="3836A567" w14:textId="77777777" w:rsidR="006A41D9" w:rsidRPr="001961AA" w:rsidRDefault="006A41D9" w:rsidP="0082549E">
            <w:pPr>
              <w:spacing w:after="0"/>
              <w:jc w:val="right"/>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6</w:t>
            </w:r>
          </w:p>
        </w:tc>
        <w:tc>
          <w:tcPr>
            <w:tcW w:w="960" w:type="dxa"/>
            <w:tcBorders>
              <w:top w:val="nil"/>
              <w:left w:val="nil"/>
              <w:bottom w:val="single" w:sz="4" w:space="0" w:color="auto"/>
              <w:right w:val="single" w:sz="4" w:space="0" w:color="auto"/>
            </w:tcBorders>
            <w:shd w:val="clear" w:color="auto" w:fill="C6EFCE"/>
            <w:noWrap/>
            <w:vAlign w:val="center"/>
            <w:hideMark/>
          </w:tcPr>
          <w:p w14:paraId="23742FFE"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Q2</w:t>
            </w:r>
          </w:p>
        </w:tc>
        <w:tc>
          <w:tcPr>
            <w:tcW w:w="720" w:type="dxa"/>
            <w:tcBorders>
              <w:top w:val="nil"/>
              <w:left w:val="nil"/>
              <w:bottom w:val="single" w:sz="4" w:space="0" w:color="auto"/>
              <w:right w:val="single" w:sz="4" w:space="0" w:color="auto"/>
            </w:tcBorders>
            <w:shd w:val="clear" w:color="auto" w:fill="C6EFCE"/>
            <w:noWrap/>
            <w:vAlign w:val="center"/>
            <w:hideMark/>
          </w:tcPr>
          <w:p w14:paraId="3B61F95E"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2026</w:t>
            </w:r>
          </w:p>
        </w:tc>
        <w:tc>
          <w:tcPr>
            <w:tcW w:w="4424" w:type="dxa"/>
            <w:gridSpan w:val="2"/>
            <w:tcBorders>
              <w:top w:val="nil"/>
              <w:left w:val="nil"/>
              <w:bottom w:val="single" w:sz="4" w:space="0" w:color="auto"/>
              <w:right w:val="single" w:sz="4" w:space="0" w:color="auto"/>
            </w:tcBorders>
            <w:shd w:val="clear" w:color="auto" w:fill="C6EFCE"/>
            <w:noWrap/>
            <w:vAlign w:val="center"/>
            <w:hideMark/>
          </w:tcPr>
          <w:p w14:paraId="38A859AD"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Six recycling facilities built, adapted or enlarged for improved recycling processes.</w:t>
            </w:r>
          </w:p>
        </w:tc>
      </w:tr>
      <w:tr w:rsidR="00531AF1" w:rsidRPr="001961AA" w14:paraId="4D9E14DC" w14:textId="77777777" w:rsidTr="00300C11">
        <w:trPr>
          <w:trHeight w:val="309"/>
        </w:trPr>
        <w:tc>
          <w:tcPr>
            <w:tcW w:w="787" w:type="dxa"/>
            <w:tcBorders>
              <w:top w:val="nil"/>
              <w:left w:val="single" w:sz="4" w:space="0" w:color="auto"/>
              <w:bottom w:val="single" w:sz="4" w:space="0" w:color="auto"/>
              <w:right w:val="single" w:sz="4" w:space="0" w:color="auto"/>
            </w:tcBorders>
            <w:shd w:val="clear" w:color="auto" w:fill="C6EFCE"/>
            <w:noWrap/>
            <w:vAlign w:val="center"/>
          </w:tcPr>
          <w:p w14:paraId="62D52B07"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199</w:t>
            </w:r>
          </w:p>
        </w:tc>
        <w:tc>
          <w:tcPr>
            <w:tcW w:w="1332" w:type="dxa"/>
            <w:tcBorders>
              <w:top w:val="nil"/>
              <w:left w:val="nil"/>
              <w:bottom w:val="single" w:sz="4" w:space="0" w:color="auto"/>
              <w:right w:val="single" w:sz="4" w:space="0" w:color="auto"/>
            </w:tcBorders>
            <w:shd w:val="clear" w:color="auto" w:fill="C6EFCE"/>
            <w:noWrap/>
            <w:vAlign w:val="center"/>
          </w:tcPr>
          <w:p w14:paraId="26E08DED"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Belgium Builds Back Circular (I-5.15)</w:t>
            </w:r>
          </w:p>
        </w:tc>
        <w:tc>
          <w:tcPr>
            <w:tcW w:w="1111" w:type="dxa"/>
            <w:tcBorders>
              <w:top w:val="nil"/>
              <w:left w:val="nil"/>
              <w:bottom w:val="single" w:sz="4" w:space="0" w:color="auto"/>
              <w:right w:val="single" w:sz="4" w:space="0" w:color="auto"/>
            </w:tcBorders>
            <w:shd w:val="clear" w:color="auto" w:fill="C6EFCE"/>
            <w:noWrap/>
            <w:vAlign w:val="center"/>
          </w:tcPr>
          <w:p w14:paraId="0FB18389" w14:textId="6C2F5CCC"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M</w:t>
            </w:r>
          </w:p>
        </w:tc>
        <w:tc>
          <w:tcPr>
            <w:tcW w:w="1402" w:type="dxa"/>
            <w:tcBorders>
              <w:top w:val="nil"/>
              <w:left w:val="nil"/>
              <w:bottom w:val="single" w:sz="4" w:space="0" w:color="auto"/>
              <w:right w:val="single" w:sz="4" w:space="0" w:color="auto"/>
            </w:tcBorders>
            <w:shd w:val="clear" w:color="auto" w:fill="C6EFCE"/>
            <w:noWrap/>
            <w:vAlign w:val="center"/>
          </w:tcPr>
          <w:p w14:paraId="280FC85B"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Award of public contracts for circular projects</w:t>
            </w:r>
          </w:p>
        </w:tc>
        <w:tc>
          <w:tcPr>
            <w:tcW w:w="1962" w:type="dxa"/>
            <w:tcBorders>
              <w:top w:val="nil"/>
              <w:left w:val="nil"/>
              <w:bottom w:val="single" w:sz="4" w:space="0" w:color="auto"/>
              <w:right w:val="single" w:sz="4" w:space="0" w:color="auto"/>
            </w:tcBorders>
            <w:shd w:val="clear" w:color="auto" w:fill="C6EFCE"/>
            <w:noWrap/>
            <w:vAlign w:val="center"/>
          </w:tcPr>
          <w:p w14:paraId="00861DA2"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Notification of the award of public contracts to successful candidates</w:t>
            </w:r>
          </w:p>
        </w:tc>
        <w:tc>
          <w:tcPr>
            <w:tcW w:w="1555" w:type="dxa"/>
            <w:tcBorders>
              <w:top w:val="nil"/>
              <w:left w:val="nil"/>
              <w:bottom w:val="single" w:sz="4" w:space="0" w:color="auto"/>
              <w:right w:val="single" w:sz="4" w:space="0" w:color="auto"/>
            </w:tcBorders>
            <w:shd w:val="clear" w:color="auto" w:fill="C6EFCE"/>
            <w:noWrap/>
            <w:vAlign w:val="center"/>
          </w:tcPr>
          <w:p w14:paraId="342B89C6" w14:textId="77777777"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1080" w:type="dxa"/>
            <w:tcBorders>
              <w:top w:val="nil"/>
              <w:left w:val="nil"/>
              <w:bottom w:val="single" w:sz="4" w:space="0" w:color="auto"/>
              <w:right w:val="single" w:sz="4" w:space="0" w:color="auto"/>
            </w:tcBorders>
            <w:shd w:val="clear" w:color="auto" w:fill="C6EFCE"/>
            <w:noWrap/>
            <w:vAlign w:val="center"/>
          </w:tcPr>
          <w:p w14:paraId="05513412" w14:textId="77777777" w:rsidR="006A41D9" w:rsidRPr="001961AA" w:rsidRDefault="006A41D9" w:rsidP="00BD6DD1">
            <w:pPr>
              <w:spacing w:after="0"/>
              <w:rPr>
                <w:rFonts w:ascii="Times New Roman" w:eastAsia="Times New Roman" w:hAnsi="Times New Roman" w:cs="Times New Roman"/>
                <w:strike/>
                <w:noProof/>
                <w:color w:val="006100"/>
                <w:lang w:val="en-GB" w:eastAsia="en-GB"/>
              </w:rPr>
            </w:pPr>
          </w:p>
        </w:tc>
        <w:tc>
          <w:tcPr>
            <w:tcW w:w="720" w:type="dxa"/>
            <w:tcBorders>
              <w:top w:val="nil"/>
              <w:left w:val="nil"/>
              <w:bottom w:val="single" w:sz="4" w:space="0" w:color="auto"/>
              <w:right w:val="single" w:sz="4" w:space="0" w:color="auto"/>
            </w:tcBorders>
            <w:shd w:val="clear" w:color="auto" w:fill="C6EFCE"/>
            <w:noWrap/>
            <w:vAlign w:val="center"/>
          </w:tcPr>
          <w:p w14:paraId="17474BEE" w14:textId="77777777" w:rsidR="006A41D9" w:rsidRPr="001961AA" w:rsidRDefault="006A41D9" w:rsidP="00BD6DD1">
            <w:pPr>
              <w:spacing w:after="0"/>
              <w:rPr>
                <w:rFonts w:ascii="Times New Roman" w:eastAsia="Times New Roman" w:hAnsi="Times New Roman" w:cs="Times New Roman"/>
                <w:strike/>
                <w:noProof/>
                <w:color w:val="006100"/>
                <w:lang w:val="en-GB" w:eastAsia="en-GB"/>
              </w:rPr>
            </w:pPr>
          </w:p>
        </w:tc>
        <w:tc>
          <w:tcPr>
            <w:tcW w:w="960" w:type="dxa"/>
            <w:tcBorders>
              <w:top w:val="nil"/>
              <w:left w:val="nil"/>
              <w:bottom w:val="single" w:sz="4" w:space="0" w:color="auto"/>
              <w:right w:val="single" w:sz="4" w:space="0" w:color="auto"/>
            </w:tcBorders>
            <w:shd w:val="clear" w:color="auto" w:fill="C6EFCE"/>
            <w:noWrap/>
            <w:vAlign w:val="center"/>
          </w:tcPr>
          <w:p w14:paraId="253899D4"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Q1</w:t>
            </w:r>
          </w:p>
        </w:tc>
        <w:tc>
          <w:tcPr>
            <w:tcW w:w="720" w:type="dxa"/>
            <w:tcBorders>
              <w:top w:val="nil"/>
              <w:left w:val="nil"/>
              <w:bottom w:val="single" w:sz="4" w:space="0" w:color="auto"/>
              <w:right w:val="single" w:sz="4" w:space="0" w:color="auto"/>
            </w:tcBorders>
            <w:shd w:val="clear" w:color="auto" w:fill="C6EFCE"/>
            <w:noWrap/>
            <w:vAlign w:val="center"/>
          </w:tcPr>
          <w:p w14:paraId="07722A3B"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2024</w:t>
            </w:r>
          </w:p>
        </w:tc>
        <w:tc>
          <w:tcPr>
            <w:tcW w:w="4424" w:type="dxa"/>
            <w:gridSpan w:val="2"/>
            <w:tcBorders>
              <w:top w:val="nil"/>
              <w:left w:val="nil"/>
              <w:bottom w:val="single" w:sz="4" w:space="0" w:color="auto"/>
              <w:right w:val="single" w:sz="4" w:space="0" w:color="auto"/>
            </w:tcBorders>
            <w:shd w:val="clear" w:color="auto" w:fill="C6EFCE"/>
            <w:noWrap/>
            <w:vAlign w:val="center"/>
          </w:tcPr>
          <w:p w14:paraId="41CACAD9"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Operational secretariat contracted and in function to foster collaboration on circular economy actions and selection of successful candidates following call for proposal for ten circular projects. The candidates shall be private companies that need financing for the implementation of a research or operational project in ecodesign or chemical substitution. A candidate shall be considered successful when its investment project is officially selected to be funded by the coalition.</w:t>
            </w:r>
          </w:p>
          <w:p w14:paraId="1BD4CBE0"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Notification of the award of public contracts to the projects selected under the competitive call for proposals with terms of reference including eligibility criteria that ensure that the selected projects comply with the ’Do no significant harm’ Technical Guidance (2021/C58/01) through the use of an exclusion list and the requirement of compliance with the relevant EU and national environmental legislation.</w:t>
            </w:r>
          </w:p>
        </w:tc>
      </w:tr>
      <w:tr w:rsidR="00531AF1" w:rsidRPr="001961AA" w14:paraId="1CDCC614" w14:textId="77777777" w:rsidTr="00300C11">
        <w:trPr>
          <w:gridAfter w:val="1"/>
          <w:wAfter w:w="35" w:type="dxa"/>
          <w:trHeight w:val="309"/>
        </w:trPr>
        <w:tc>
          <w:tcPr>
            <w:tcW w:w="787" w:type="dxa"/>
            <w:tcBorders>
              <w:top w:val="nil"/>
              <w:left w:val="single" w:sz="4" w:space="0" w:color="auto"/>
              <w:bottom w:val="single" w:sz="4" w:space="0" w:color="auto"/>
              <w:right w:val="single" w:sz="4" w:space="0" w:color="auto"/>
            </w:tcBorders>
            <w:shd w:val="clear" w:color="auto" w:fill="C6EFCE"/>
            <w:noWrap/>
            <w:vAlign w:val="center"/>
          </w:tcPr>
          <w:p w14:paraId="44931683"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200</w:t>
            </w:r>
          </w:p>
        </w:tc>
        <w:tc>
          <w:tcPr>
            <w:tcW w:w="1332" w:type="dxa"/>
            <w:tcBorders>
              <w:top w:val="nil"/>
              <w:left w:val="nil"/>
              <w:bottom w:val="single" w:sz="4" w:space="0" w:color="auto"/>
              <w:right w:val="single" w:sz="4" w:space="0" w:color="auto"/>
            </w:tcBorders>
            <w:shd w:val="clear" w:color="auto" w:fill="C6EFCE"/>
            <w:noWrap/>
            <w:vAlign w:val="center"/>
          </w:tcPr>
          <w:p w14:paraId="59D36A38"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Belgium Builds Back Circular (I-5.15)</w:t>
            </w:r>
          </w:p>
        </w:tc>
        <w:tc>
          <w:tcPr>
            <w:tcW w:w="1111" w:type="dxa"/>
            <w:tcBorders>
              <w:top w:val="nil"/>
              <w:left w:val="nil"/>
              <w:bottom w:val="single" w:sz="4" w:space="0" w:color="auto"/>
              <w:right w:val="single" w:sz="4" w:space="0" w:color="auto"/>
            </w:tcBorders>
            <w:shd w:val="clear" w:color="auto" w:fill="C6EFCE"/>
            <w:noWrap/>
            <w:vAlign w:val="center"/>
          </w:tcPr>
          <w:p w14:paraId="1E9EBCE3" w14:textId="0796EFF0"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M</w:t>
            </w:r>
          </w:p>
        </w:tc>
        <w:tc>
          <w:tcPr>
            <w:tcW w:w="1402" w:type="dxa"/>
            <w:tcBorders>
              <w:top w:val="nil"/>
              <w:left w:val="nil"/>
              <w:bottom w:val="single" w:sz="4" w:space="0" w:color="auto"/>
              <w:right w:val="single" w:sz="4" w:space="0" w:color="auto"/>
            </w:tcBorders>
            <w:shd w:val="clear" w:color="auto" w:fill="C6EFCE"/>
            <w:noWrap/>
            <w:vAlign w:val="center"/>
          </w:tcPr>
          <w:p w14:paraId="4AC12270"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Completion of awareness raising and information actions to SME’s and of circular projects</w:t>
            </w:r>
          </w:p>
        </w:tc>
        <w:tc>
          <w:tcPr>
            <w:tcW w:w="1962" w:type="dxa"/>
            <w:tcBorders>
              <w:top w:val="nil"/>
              <w:left w:val="nil"/>
              <w:bottom w:val="single" w:sz="4" w:space="0" w:color="auto"/>
              <w:right w:val="single" w:sz="4" w:space="0" w:color="auto"/>
            </w:tcBorders>
            <w:shd w:val="clear" w:color="auto" w:fill="C6EFCE"/>
            <w:noWrap/>
            <w:vAlign w:val="center"/>
          </w:tcPr>
          <w:p w14:paraId="6E52F196"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Reports establishing the impact of the campaigns, reports on the completion of circular projects</w:t>
            </w:r>
          </w:p>
        </w:tc>
        <w:tc>
          <w:tcPr>
            <w:tcW w:w="1555" w:type="dxa"/>
            <w:tcBorders>
              <w:top w:val="nil"/>
              <w:left w:val="nil"/>
              <w:bottom w:val="single" w:sz="4" w:space="0" w:color="auto"/>
              <w:right w:val="single" w:sz="4" w:space="0" w:color="auto"/>
            </w:tcBorders>
            <w:shd w:val="clear" w:color="auto" w:fill="C6EFCE"/>
            <w:noWrap/>
            <w:vAlign w:val="center"/>
          </w:tcPr>
          <w:p w14:paraId="7F0AEB98" w14:textId="77777777"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1080" w:type="dxa"/>
            <w:tcBorders>
              <w:top w:val="nil"/>
              <w:left w:val="nil"/>
              <w:bottom w:val="single" w:sz="4" w:space="0" w:color="auto"/>
              <w:right w:val="single" w:sz="4" w:space="0" w:color="auto"/>
            </w:tcBorders>
            <w:shd w:val="clear" w:color="auto" w:fill="C6EFCE"/>
            <w:vAlign w:val="center"/>
          </w:tcPr>
          <w:p w14:paraId="60FD19D5" w14:textId="77777777"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720" w:type="dxa"/>
            <w:tcBorders>
              <w:top w:val="nil"/>
              <w:left w:val="nil"/>
              <w:bottom w:val="single" w:sz="4" w:space="0" w:color="auto"/>
              <w:right w:val="single" w:sz="4" w:space="0" w:color="auto"/>
            </w:tcBorders>
            <w:shd w:val="clear" w:color="auto" w:fill="C6EFCE"/>
            <w:noWrap/>
            <w:vAlign w:val="center"/>
          </w:tcPr>
          <w:p w14:paraId="68D4E4B5" w14:textId="77777777" w:rsidR="006A41D9" w:rsidRPr="001961AA" w:rsidRDefault="006A41D9" w:rsidP="00BD6DD1">
            <w:pPr>
              <w:spacing w:after="0"/>
              <w:rPr>
                <w:rFonts w:ascii="Times New Roman" w:eastAsia="Times New Roman" w:hAnsi="Times New Roman" w:cs="Times New Roman"/>
                <w:strike/>
                <w:noProof/>
                <w:color w:val="006100"/>
                <w:lang w:val="en-GB" w:eastAsia="en-GB"/>
              </w:rPr>
            </w:pPr>
          </w:p>
        </w:tc>
        <w:tc>
          <w:tcPr>
            <w:tcW w:w="960" w:type="dxa"/>
            <w:tcBorders>
              <w:top w:val="nil"/>
              <w:left w:val="nil"/>
              <w:bottom w:val="single" w:sz="4" w:space="0" w:color="auto"/>
              <w:right w:val="single" w:sz="4" w:space="0" w:color="auto"/>
            </w:tcBorders>
            <w:shd w:val="clear" w:color="auto" w:fill="C6EFCE"/>
            <w:noWrap/>
            <w:vAlign w:val="center"/>
          </w:tcPr>
          <w:p w14:paraId="4A56D5E9" w14:textId="77777777" w:rsidR="006A41D9" w:rsidRPr="001961AA" w:rsidRDefault="006A41D9" w:rsidP="00BD6DD1">
            <w:pPr>
              <w:spacing w:after="0"/>
              <w:rPr>
                <w:rFonts w:ascii="Times New Roman" w:eastAsia="Times New Roman" w:hAnsi="Times New Roman" w:cs="Times New Roman"/>
                <w:strike/>
                <w:noProof/>
                <w:color w:val="006100"/>
                <w:lang w:val="en-GB"/>
              </w:rPr>
            </w:pPr>
            <w:r w:rsidRPr="001961AA">
              <w:rPr>
                <w:rFonts w:ascii="Times New Roman" w:hAnsi="Times New Roman"/>
                <w:noProof/>
                <w:color w:val="006100"/>
                <w:lang w:val="en-GB"/>
              </w:rPr>
              <w:t>Q2</w:t>
            </w:r>
          </w:p>
        </w:tc>
        <w:tc>
          <w:tcPr>
            <w:tcW w:w="720" w:type="dxa"/>
            <w:tcBorders>
              <w:top w:val="nil"/>
              <w:left w:val="nil"/>
              <w:bottom w:val="single" w:sz="4" w:space="0" w:color="auto"/>
              <w:right w:val="single" w:sz="4" w:space="0" w:color="auto"/>
            </w:tcBorders>
            <w:shd w:val="clear" w:color="auto" w:fill="C6EFCE"/>
            <w:noWrap/>
            <w:vAlign w:val="center"/>
          </w:tcPr>
          <w:p w14:paraId="0059238A"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2026</w:t>
            </w:r>
          </w:p>
        </w:tc>
        <w:tc>
          <w:tcPr>
            <w:tcW w:w="4389" w:type="dxa"/>
            <w:tcBorders>
              <w:top w:val="nil"/>
              <w:left w:val="nil"/>
              <w:bottom w:val="single" w:sz="4" w:space="0" w:color="auto"/>
              <w:right w:val="single" w:sz="4" w:space="0" w:color="auto"/>
            </w:tcBorders>
            <w:shd w:val="clear" w:color="auto" w:fill="C6EFCE"/>
            <w:noWrap/>
            <w:vAlign w:val="center"/>
          </w:tcPr>
          <w:p w14:paraId="76B51B14" w14:textId="2196749E"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At least three awareness raising and informing actions towards SME’s (annual awareness campaigns (over three years), one website and one self-assessment tool) on circular economy aspects completed and at least nine circular projects finalised.</w:t>
            </w:r>
          </w:p>
        </w:tc>
      </w:tr>
      <w:tr w:rsidR="00531AF1" w:rsidRPr="001961AA" w14:paraId="2E3B71CF" w14:textId="77777777" w:rsidTr="00300C11">
        <w:trPr>
          <w:trHeight w:val="309"/>
        </w:trPr>
        <w:tc>
          <w:tcPr>
            <w:tcW w:w="787" w:type="dxa"/>
            <w:tcBorders>
              <w:top w:val="nil"/>
              <w:left w:val="single" w:sz="4" w:space="0" w:color="auto"/>
              <w:bottom w:val="single" w:sz="4" w:space="0" w:color="auto"/>
              <w:right w:val="single" w:sz="4" w:space="0" w:color="auto"/>
            </w:tcBorders>
            <w:shd w:val="clear" w:color="auto" w:fill="C6EFCE"/>
            <w:noWrap/>
            <w:vAlign w:val="center"/>
          </w:tcPr>
          <w:p w14:paraId="5CA7C036"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201</w:t>
            </w:r>
          </w:p>
        </w:tc>
        <w:tc>
          <w:tcPr>
            <w:tcW w:w="1332" w:type="dxa"/>
            <w:tcBorders>
              <w:top w:val="nil"/>
              <w:left w:val="nil"/>
              <w:bottom w:val="single" w:sz="4" w:space="0" w:color="auto"/>
              <w:right w:val="single" w:sz="4" w:space="0" w:color="auto"/>
            </w:tcBorders>
            <w:shd w:val="clear" w:color="auto" w:fill="C6EFCE"/>
            <w:noWrap/>
            <w:vAlign w:val="center"/>
          </w:tcPr>
          <w:p w14:paraId="2A85B461"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Deployment of the circular economy in Wallonia (I-5.16)</w:t>
            </w:r>
          </w:p>
        </w:tc>
        <w:tc>
          <w:tcPr>
            <w:tcW w:w="1111" w:type="dxa"/>
            <w:tcBorders>
              <w:top w:val="nil"/>
              <w:left w:val="nil"/>
              <w:bottom w:val="single" w:sz="4" w:space="0" w:color="auto"/>
              <w:right w:val="single" w:sz="4" w:space="0" w:color="auto"/>
            </w:tcBorders>
            <w:shd w:val="clear" w:color="auto" w:fill="C6EFCE"/>
            <w:noWrap/>
            <w:vAlign w:val="center"/>
          </w:tcPr>
          <w:p w14:paraId="6665C221" w14:textId="568FE56C"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M</w:t>
            </w:r>
          </w:p>
        </w:tc>
        <w:tc>
          <w:tcPr>
            <w:tcW w:w="1402" w:type="dxa"/>
            <w:tcBorders>
              <w:top w:val="nil"/>
              <w:left w:val="nil"/>
              <w:bottom w:val="single" w:sz="4" w:space="0" w:color="auto"/>
              <w:right w:val="single" w:sz="4" w:space="0" w:color="auto"/>
            </w:tcBorders>
            <w:shd w:val="clear" w:color="auto" w:fill="C6EFCE"/>
            <w:noWrap/>
            <w:vAlign w:val="center"/>
          </w:tcPr>
          <w:p w14:paraId="68D56479" w14:textId="77777777" w:rsidR="006A41D9" w:rsidRPr="001961AA" w:rsidRDefault="006A41D9" w:rsidP="00BD6DD1">
            <w:pPr>
              <w:spacing w:after="0"/>
              <w:rPr>
                <w:rFonts w:ascii="Times New Roman" w:eastAsia="Times New Roman" w:hAnsi="Times New Roman" w:cs="Times New Roman"/>
                <w:strike/>
                <w:noProof/>
                <w:color w:val="006100"/>
                <w:lang w:val="en-GB"/>
              </w:rPr>
            </w:pPr>
            <w:r w:rsidRPr="001961AA">
              <w:rPr>
                <w:rFonts w:ascii="Times New Roman" w:hAnsi="Times New Roman"/>
                <w:noProof/>
                <w:color w:val="006100"/>
                <w:lang w:val="en-GB"/>
              </w:rPr>
              <w:t>Award of public contracts for projects promoting circular economy in Wallonia</w:t>
            </w:r>
          </w:p>
        </w:tc>
        <w:tc>
          <w:tcPr>
            <w:tcW w:w="1962" w:type="dxa"/>
            <w:tcBorders>
              <w:top w:val="nil"/>
              <w:left w:val="nil"/>
              <w:bottom w:val="single" w:sz="4" w:space="0" w:color="auto"/>
              <w:right w:val="single" w:sz="4" w:space="0" w:color="auto"/>
            </w:tcBorders>
            <w:shd w:val="clear" w:color="auto" w:fill="C6EFCE"/>
            <w:noWrap/>
            <w:vAlign w:val="center"/>
          </w:tcPr>
          <w:p w14:paraId="5D7C52CB"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Notification of the award of public contracts to successful candidates</w:t>
            </w:r>
          </w:p>
        </w:tc>
        <w:tc>
          <w:tcPr>
            <w:tcW w:w="1555" w:type="dxa"/>
            <w:tcBorders>
              <w:top w:val="nil"/>
              <w:left w:val="nil"/>
              <w:bottom w:val="single" w:sz="4" w:space="0" w:color="auto"/>
              <w:right w:val="single" w:sz="4" w:space="0" w:color="auto"/>
            </w:tcBorders>
            <w:shd w:val="clear" w:color="auto" w:fill="C6EFCE"/>
            <w:noWrap/>
            <w:vAlign w:val="center"/>
          </w:tcPr>
          <w:p w14:paraId="0581119D" w14:textId="77777777"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1080" w:type="dxa"/>
            <w:tcBorders>
              <w:top w:val="nil"/>
              <w:left w:val="nil"/>
              <w:bottom w:val="single" w:sz="4" w:space="0" w:color="auto"/>
              <w:right w:val="single" w:sz="4" w:space="0" w:color="auto"/>
            </w:tcBorders>
            <w:shd w:val="clear" w:color="auto" w:fill="C6EFCE"/>
            <w:noWrap/>
            <w:vAlign w:val="center"/>
          </w:tcPr>
          <w:p w14:paraId="438D5BAC" w14:textId="77777777"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720" w:type="dxa"/>
            <w:tcBorders>
              <w:top w:val="nil"/>
              <w:left w:val="nil"/>
              <w:bottom w:val="single" w:sz="4" w:space="0" w:color="auto"/>
              <w:right w:val="single" w:sz="4" w:space="0" w:color="auto"/>
            </w:tcBorders>
            <w:shd w:val="clear" w:color="auto" w:fill="C6EFCE"/>
            <w:noWrap/>
            <w:vAlign w:val="center"/>
          </w:tcPr>
          <w:p w14:paraId="2102B2B3" w14:textId="77777777"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960" w:type="dxa"/>
            <w:tcBorders>
              <w:top w:val="nil"/>
              <w:left w:val="nil"/>
              <w:bottom w:val="single" w:sz="4" w:space="0" w:color="auto"/>
              <w:right w:val="single" w:sz="4" w:space="0" w:color="auto"/>
            </w:tcBorders>
            <w:shd w:val="clear" w:color="auto" w:fill="C6EFCE"/>
            <w:noWrap/>
            <w:vAlign w:val="center"/>
          </w:tcPr>
          <w:p w14:paraId="7F8E2F00"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Q2</w:t>
            </w:r>
          </w:p>
        </w:tc>
        <w:tc>
          <w:tcPr>
            <w:tcW w:w="720" w:type="dxa"/>
            <w:tcBorders>
              <w:top w:val="nil"/>
              <w:left w:val="nil"/>
              <w:bottom w:val="single" w:sz="4" w:space="0" w:color="auto"/>
              <w:right w:val="single" w:sz="4" w:space="0" w:color="auto"/>
            </w:tcBorders>
            <w:shd w:val="clear" w:color="auto" w:fill="C6EFCE"/>
            <w:noWrap/>
            <w:vAlign w:val="center"/>
          </w:tcPr>
          <w:p w14:paraId="0CAE1920"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2022</w:t>
            </w:r>
          </w:p>
        </w:tc>
        <w:tc>
          <w:tcPr>
            <w:tcW w:w="4424" w:type="dxa"/>
            <w:gridSpan w:val="2"/>
            <w:tcBorders>
              <w:top w:val="nil"/>
              <w:left w:val="nil"/>
              <w:bottom w:val="single" w:sz="4" w:space="0" w:color="auto"/>
              <w:right w:val="single" w:sz="4" w:space="0" w:color="auto"/>
            </w:tcBorders>
            <w:shd w:val="clear" w:color="auto" w:fill="C6EFCE"/>
            <w:noWrap/>
            <w:vAlign w:val="center"/>
          </w:tcPr>
          <w:p w14:paraId="0E069980" w14:textId="67050C3C"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Selection of successful candidates following the call for proposals for projects on recycling and reuse of metals, batteries and minerals. The call for proposals shall have terms of reference including eligibility criteria that ensure that the selected projects comply with the ‘Do no significant harm’ Technical Guidance (2021/C58/01) through the use of an exclusion list and the requirement of compliance with the relevant EU and national environmental legislation.</w:t>
            </w:r>
          </w:p>
        </w:tc>
      </w:tr>
      <w:tr w:rsidR="00531AF1" w:rsidRPr="001961AA" w14:paraId="46D4A0CE" w14:textId="77777777" w:rsidTr="00300C11">
        <w:trPr>
          <w:trHeight w:val="309"/>
        </w:trPr>
        <w:tc>
          <w:tcPr>
            <w:tcW w:w="787" w:type="dxa"/>
            <w:tcBorders>
              <w:top w:val="nil"/>
              <w:left w:val="single" w:sz="4" w:space="0" w:color="auto"/>
              <w:bottom w:val="single" w:sz="4" w:space="0" w:color="auto"/>
              <w:right w:val="single" w:sz="4" w:space="0" w:color="auto"/>
            </w:tcBorders>
            <w:shd w:val="clear" w:color="auto" w:fill="C6EFCE"/>
            <w:noWrap/>
            <w:vAlign w:val="center"/>
          </w:tcPr>
          <w:p w14:paraId="3989CF6B"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w:t>
            </w:r>
          </w:p>
        </w:tc>
        <w:tc>
          <w:tcPr>
            <w:tcW w:w="1332" w:type="dxa"/>
            <w:tcBorders>
              <w:top w:val="nil"/>
              <w:left w:val="nil"/>
              <w:bottom w:val="single" w:sz="4" w:space="0" w:color="auto"/>
              <w:right w:val="single" w:sz="4" w:space="0" w:color="auto"/>
            </w:tcBorders>
            <w:shd w:val="clear" w:color="auto" w:fill="C6EFCE"/>
            <w:noWrap/>
            <w:vAlign w:val="center"/>
          </w:tcPr>
          <w:p w14:paraId="76E6FEB4"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Deployment of the circular economy in Wallonia (I-5.16)</w:t>
            </w:r>
          </w:p>
        </w:tc>
        <w:tc>
          <w:tcPr>
            <w:tcW w:w="1111" w:type="dxa"/>
            <w:tcBorders>
              <w:top w:val="nil"/>
              <w:left w:val="nil"/>
              <w:bottom w:val="single" w:sz="4" w:space="0" w:color="auto"/>
              <w:right w:val="single" w:sz="4" w:space="0" w:color="auto"/>
            </w:tcBorders>
            <w:shd w:val="clear" w:color="auto" w:fill="C6EFCE"/>
            <w:noWrap/>
            <w:vAlign w:val="center"/>
          </w:tcPr>
          <w:p w14:paraId="16C6407F" w14:textId="44B2FCBB"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T</w:t>
            </w:r>
          </w:p>
        </w:tc>
        <w:tc>
          <w:tcPr>
            <w:tcW w:w="1402" w:type="dxa"/>
            <w:tcBorders>
              <w:top w:val="nil"/>
              <w:left w:val="nil"/>
              <w:bottom w:val="single" w:sz="4" w:space="0" w:color="auto"/>
              <w:right w:val="single" w:sz="4" w:space="0" w:color="auto"/>
            </w:tcBorders>
            <w:shd w:val="clear" w:color="auto" w:fill="C6EFCE"/>
            <w:noWrap/>
            <w:vAlign w:val="center"/>
          </w:tcPr>
          <w:p w14:paraId="4EA4FA6A"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Completion of projects promoting circular economy in Wallonia</w:t>
            </w:r>
          </w:p>
        </w:tc>
        <w:tc>
          <w:tcPr>
            <w:tcW w:w="1962" w:type="dxa"/>
            <w:tcBorders>
              <w:top w:val="nil"/>
              <w:left w:val="nil"/>
              <w:bottom w:val="single" w:sz="4" w:space="0" w:color="auto"/>
              <w:right w:val="single" w:sz="4" w:space="0" w:color="auto"/>
            </w:tcBorders>
            <w:shd w:val="clear" w:color="auto" w:fill="C6EFCE"/>
            <w:noWrap/>
            <w:vAlign w:val="center"/>
          </w:tcPr>
          <w:p w14:paraId="2A2789C7" w14:textId="77777777"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1555" w:type="dxa"/>
            <w:tcBorders>
              <w:top w:val="nil"/>
              <w:left w:val="nil"/>
              <w:bottom w:val="single" w:sz="4" w:space="0" w:color="auto"/>
              <w:right w:val="single" w:sz="4" w:space="0" w:color="auto"/>
            </w:tcBorders>
            <w:shd w:val="clear" w:color="auto" w:fill="C6EFCE"/>
            <w:noWrap/>
            <w:vAlign w:val="center"/>
          </w:tcPr>
          <w:p w14:paraId="49DD65E4"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Projects</w:t>
            </w:r>
          </w:p>
        </w:tc>
        <w:tc>
          <w:tcPr>
            <w:tcW w:w="1080" w:type="dxa"/>
            <w:tcBorders>
              <w:top w:val="nil"/>
              <w:left w:val="nil"/>
              <w:bottom w:val="single" w:sz="4" w:space="0" w:color="auto"/>
              <w:right w:val="single" w:sz="4" w:space="0" w:color="auto"/>
            </w:tcBorders>
            <w:shd w:val="clear" w:color="auto" w:fill="C6EFCE"/>
            <w:noWrap/>
            <w:vAlign w:val="center"/>
          </w:tcPr>
          <w:p w14:paraId="4D9ACA6C" w14:textId="77777777" w:rsidR="006A41D9" w:rsidRPr="001961AA" w:rsidRDefault="006A41D9" w:rsidP="0082549E">
            <w:pPr>
              <w:spacing w:after="0"/>
              <w:jc w:val="right"/>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0</w:t>
            </w:r>
          </w:p>
        </w:tc>
        <w:tc>
          <w:tcPr>
            <w:tcW w:w="720" w:type="dxa"/>
            <w:tcBorders>
              <w:top w:val="nil"/>
              <w:left w:val="nil"/>
              <w:bottom w:val="single" w:sz="4" w:space="0" w:color="auto"/>
              <w:right w:val="single" w:sz="4" w:space="0" w:color="auto"/>
            </w:tcBorders>
            <w:shd w:val="clear" w:color="auto" w:fill="C6EFCE"/>
            <w:noWrap/>
            <w:vAlign w:val="center"/>
          </w:tcPr>
          <w:p w14:paraId="303202DA" w14:textId="47B3449B" w:rsidR="006A41D9" w:rsidRPr="001961AA" w:rsidRDefault="006A41D9" w:rsidP="0082549E">
            <w:pPr>
              <w:spacing w:after="0"/>
              <w:jc w:val="right"/>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11</w:t>
            </w:r>
          </w:p>
        </w:tc>
        <w:tc>
          <w:tcPr>
            <w:tcW w:w="960" w:type="dxa"/>
            <w:tcBorders>
              <w:top w:val="nil"/>
              <w:left w:val="nil"/>
              <w:bottom w:val="single" w:sz="4" w:space="0" w:color="auto"/>
              <w:right w:val="single" w:sz="4" w:space="0" w:color="auto"/>
            </w:tcBorders>
            <w:shd w:val="clear" w:color="auto" w:fill="C6EFCE"/>
            <w:noWrap/>
            <w:vAlign w:val="center"/>
          </w:tcPr>
          <w:p w14:paraId="09A4281C"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Q2</w:t>
            </w:r>
          </w:p>
        </w:tc>
        <w:tc>
          <w:tcPr>
            <w:tcW w:w="720" w:type="dxa"/>
            <w:tcBorders>
              <w:top w:val="nil"/>
              <w:left w:val="nil"/>
              <w:bottom w:val="single" w:sz="4" w:space="0" w:color="auto"/>
              <w:right w:val="single" w:sz="4" w:space="0" w:color="auto"/>
            </w:tcBorders>
            <w:shd w:val="clear" w:color="auto" w:fill="C6EFCE"/>
            <w:noWrap/>
            <w:vAlign w:val="center"/>
          </w:tcPr>
          <w:p w14:paraId="79A37583"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2026</w:t>
            </w:r>
          </w:p>
        </w:tc>
        <w:tc>
          <w:tcPr>
            <w:tcW w:w="4424" w:type="dxa"/>
            <w:gridSpan w:val="2"/>
            <w:tcBorders>
              <w:top w:val="nil"/>
              <w:left w:val="nil"/>
              <w:bottom w:val="single" w:sz="4" w:space="0" w:color="auto"/>
              <w:right w:val="single" w:sz="4" w:space="0" w:color="auto"/>
            </w:tcBorders>
            <w:shd w:val="clear" w:color="auto" w:fill="C6EFCE"/>
            <w:noWrap/>
            <w:vAlign w:val="center"/>
          </w:tcPr>
          <w:p w14:paraId="0EE01D67" w14:textId="1414C43A"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At least 11 projects completed on the recycling and reuse of metals, batteries and minerals.</w:t>
            </w:r>
          </w:p>
        </w:tc>
      </w:tr>
    </w:tbl>
    <w:p w14:paraId="66383088" w14:textId="77777777" w:rsidR="00B10CDF" w:rsidRPr="001961AA" w:rsidRDefault="00B10CDF" w:rsidP="00B10CDF">
      <w:pPr>
        <w:pStyle w:val="Text1"/>
        <w:rPr>
          <w:noProof/>
          <w:lang w:val="en-GB"/>
        </w:rPr>
      </w:pPr>
    </w:p>
    <w:p w14:paraId="14AACED7" w14:textId="77777777" w:rsidR="00B10CDF" w:rsidRPr="001961AA" w:rsidRDefault="00B10CDF" w:rsidP="00B10CDF">
      <w:pPr>
        <w:pStyle w:val="Text1"/>
        <w:ind w:left="709"/>
        <w:rPr>
          <w:noProof/>
          <w:lang w:val="en-GB"/>
        </w:rPr>
        <w:sectPr w:rsidR="00B10CDF" w:rsidRPr="001961AA" w:rsidSect="007F56C3">
          <w:headerReference w:type="even" r:id="rId228"/>
          <w:headerReference w:type="default" r:id="rId229"/>
          <w:footerReference w:type="even" r:id="rId230"/>
          <w:footerReference w:type="default" r:id="rId231"/>
          <w:headerReference w:type="first" r:id="rId232"/>
          <w:footerReference w:type="first" r:id="rId233"/>
          <w:pgSz w:w="16839" w:h="11907" w:orient="landscape"/>
          <w:pgMar w:top="1134" w:right="1134" w:bottom="1134" w:left="1134" w:header="567" w:footer="567" w:gutter="0"/>
          <w:cols w:space="720"/>
          <w:docGrid w:linePitch="360"/>
        </w:sectPr>
      </w:pPr>
    </w:p>
    <w:p w14:paraId="51838070" w14:textId="77777777" w:rsidR="006A41D9" w:rsidRPr="001961AA" w:rsidRDefault="006A41D9" w:rsidP="00BD6DD1">
      <w:pPr>
        <w:pStyle w:val="ManualHeading1"/>
        <w:spacing w:before="120"/>
        <w:ind w:left="0" w:hanging="130"/>
        <w:rPr>
          <w:noProof/>
          <w:szCs w:val="24"/>
          <w:lang w:val="en-GB"/>
        </w:rPr>
      </w:pPr>
      <w:r w:rsidRPr="001961AA">
        <w:rPr>
          <w:noProof/>
          <w:lang w:val="en-GB"/>
        </w:rPr>
        <w:t>Q. COMPONENT 6.1: Spending reviews</w:t>
      </w:r>
    </w:p>
    <w:p w14:paraId="3CE32659" w14:textId="77777777" w:rsidR="006A41D9" w:rsidRPr="001961AA" w:rsidRDefault="006A41D9" w:rsidP="00BD6DD1">
      <w:pPr>
        <w:pStyle w:val="Text1"/>
        <w:ind w:left="0"/>
        <w:rPr>
          <w:noProof/>
          <w:szCs w:val="24"/>
          <w:lang w:val="en-GB"/>
        </w:rPr>
      </w:pPr>
      <w:r w:rsidRPr="001961AA">
        <w:rPr>
          <w:noProof/>
          <w:lang w:val="en-GB"/>
        </w:rPr>
        <w:t>This component of the Belgian recovery and resilience plan is composed of measures centred on the conduct of spending reviews at different level of governments. The overall objective is to improve the quality and composition of public expenditures.</w:t>
      </w:r>
    </w:p>
    <w:p w14:paraId="7143001E" w14:textId="77777777" w:rsidR="006A41D9" w:rsidRPr="001961AA" w:rsidRDefault="006A41D9" w:rsidP="00BD6DD1">
      <w:pPr>
        <w:pStyle w:val="Text1"/>
        <w:ind w:left="0"/>
        <w:rPr>
          <w:noProof/>
          <w:szCs w:val="24"/>
          <w:lang w:val="en-GB"/>
        </w:rPr>
      </w:pPr>
      <w:r w:rsidRPr="001961AA">
        <w:rPr>
          <w:noProof/>
          <w:lang w:val="en-GB"/>
        </w:rPr>
        <w:t>The component contributes to addressing Country Specific Recommendation 2019.1 on improving the composition and efficiency of public spending.</w:t>
      </w:r>
    </w:p>
    <w:p w14:paraId="32686C4B" w14:textId="77777777" w:rsidR="006A41D9" w:rsidRPr="001961AA" w:rsidRDefault="006A41D9" w:rsidP="00BD6DD1">
      <w:pPr>
        <w:spacing w:before="120" w:after="120" w:line="240" w:lineRule="auto"/>
        <w:jc w:val="both"/>
        <w:rPr>
          <w:rFonts w:ascii="Times New Roman" w:hAnsi="Times New Roman" w:cs="Times New Roman"/>
          <w:b/>
          <w:bCs/>
          <w:noProof/>
          <w:sz w:val="24"/>
          <w:szCs w:val="24"/>
          <w:u w:val="single"/>
          <w:lang w:val="en-GB"/>
        </w:rPr>
      </w:pPr>
      <w:r w:rsidRPr="001961AA">
        <w:rPr>
          <w:rFonts w:ascii="Times New Roman" w:hAnsi="Times New Roman"/>
          <w:b/>
          <w:noProof/>
          <w:sz w:val="24"/>
          <w:u w:val="single"/>
          <w:lang w:val="en-GB"/>
        </w:rPr>
        <w:t xml:space="preserve">Q.1. </w:t>
      </w:r>
      <w:r w:rsidRPr="001961AA">
        <w:rPr>
          <w:noProof/>
          <w:lang w:val="en-GB"/>
        </w:rPr>
        <w:tab/>
      </w:r>
      <w:r w:rsidRPr="001961AA">
        <w:rPr>
          <w:rFonts w:ascii="Times New Roman" w:hAnsi="Times New Roman"/>
          <w:b/>
          <w:noProof/>
          <w:sz w:val="24"/>
          <w:u w:val="single"/>
          <w:lang w:val="en-GB"/>
        </w:rPr>
        <w:t>Description of the reforms and investments for non-repayable financial support</w:t>
      </w:r>
    </w:p>
    <w:p w14:paraId="6B0F5A93" w14:textId="59BF2362" w:rsidR="006A41D9" w:rsidRPr="001961AA" w:rsidRDefault="006A41D9" w:rsidP="00BD6DD1">
      <w:pPr>
        <w:pStyle w:val="Text1"/>
        <w:ind w:left="0"/>
        <w:rPr>
          <w:noProof/>
          <w:color w:val="000000"/>
          <w:szCs w:val="24"/>
          <w:u w:val="single"/>
          <w:lang w:val="en-GB"/>
        </w:rPr>
      </w:pPr>
      <w:r w:rsidRPr="001961AA">
        <w:rPr>
          <w:noProof/>
          <w:color w:val="000000"/>
          <w:u w:val="single"/>
          <w:lang w:val="en-GB"/>
        </w:rPr>
        <w:t>Reform R-6: ‘Spending reviews’</w:t>
      </w:r>
    </w:p>
    <w:p w14:paraId="4712B7BB" w14:textId="77777777" w:rsidR="006A41D9" w:rsidRPr="001961AA" w:rsidRDefault="006A41D9" w:rsidP="00BD6DD1">
      <w:pPr>
        <w:pStyle w:val="Text1"/>
        <w:ind w:left="0"/>
        <w:rPr>
          <w:noProof/>
          <w:color w:val="000000"/>
          <w:szCs w:val="24"/>
          <w:lang w:val="en-GB"/>
        </w:rPr>
      </w:pPr>
      <w:r w:rsidRPr="001961AA">
        <w:rPr>
          <w:noProof/>
          <w:color w:val="000000"/>
          <w:lang w:val="en-GB"/>
        </w:rPr>
        <w:t xml:space="preserve">The objective of the reform is to introduce spending reviews at different government levels. </w:t>
      </w:r>
      <w:r w:rsidRPr="001961AA">
        <w:rPr>
          <w:noProof/>
          <w:color w:val="000000" w:themeColor="text1"/>
          <w:lang w:val="en-GB"/>
        </w:rPr>
        <w:t xml:space="preserve">The implementation of the reforms shall be completed by 31 December 2024. </w:t>
      </w:r>
      <w:r w:rsidRPr="001961AA">
        <w:rPr>
          <w:noProof/>
          <w:color w:val="000000"/>
          <w:lang w:val="en-GB"/>
        </w:rPr>
        <w:t>This measure includes the following five sub-measures:</w:t>
      </w:r>
    </w:p>
    <w:p w14:paraId="341F645D" w14:textId="77777777" w:rsidR="006A41D9" w:rsidRPr="001961AA" w:rsidRDefault="006A41D9" w:rsidP="00300C11">
      <w:pPr>
        <w:pStyle w:val="Text1"/>
        <w:numPr>
          <w:ilvl w:val="0"/>
          <w:numId w:val="61"/>
        </w:numPr>
        <w:tabs>
          <w:tab w:val="left" w:pos="567"/>
        </w:tabs>
        <w:contextualSpacing/>
        <w:rPr>
          <w:noProof/>
          <w:color w:val="000000" w:themeColor="text1"/>
          <w:szCs w:val="24"/>
          <w:lang w:val="en-GB"/>
        </w:rPr>
      </w:pPr>
      <w:r w:rsidRPr="001961AA">
        <w:rPr>
          <w:noProof/>
          <w:color w:val="000000"/>
          <w:lang w:val="en-GB"/>
        </w:rPr>
        <w:t>Reform R-6.01 ‘Spending reviews’ of the Federal State</w:t>
      </w:r>
    </w:p>
    <w:p w14:paraId="335A1F0D" w14:textId="77777777" w:rsidR="006A41D9" w:rsidRPr="001961AA" w:rsidRDefault="006A41D9" w:rsidP="00300C11">
      <w:pPr>
        <w:pStyle w:val="Text1"/>
        <w:numPr>
          <w:ilvl w:val="0"/>
          <w:numId w:val="61"/>
        </w:numPr>
        <w:tabs>
          <w:tab w:val="left" w:pos="567"/>
        </w:tabs>
        <w:contextualSpacing/>
        <w:rPr>
          <w:noProof/>
          <w:color w:val="000000" w:themeColor="text1"/>
          <w:szCs w:val="24"/>
          <w:lang w:val="en-GB"/>
        </w:rPr>
      </w:pPr>
      <w:r w:rsidRPr="001961AA">
        <w:rPr>
          <w:noProof/>
          <w:color w:val="000000"/>
          <w:lang w:val="en-GB"/>
        </w:rPr>
        <w:t>Reform R-6.02 ‘Spending reviews - Flemish general revision and spending norm’ of Flanders</w:t>
      </w:r>
    </w:p>
    <w:p w14:paraId="2365F257" w14:textId="6F1407CC" w:rsidR="006A41D9" w:rsidRPr="001961AA" w:rsidRDefault="006A41D9" w:rsidP="00300C11">
      <w:pPr>
        <w:pStyle w:val="Text1"/>
        <w:numPr>
          <w:ilvl w:val="0"/>
          <w:numId w:val="61"/>
        </w:numPr>
        <w:tabs>
          <w:tab w:val="left" w:pos="567"/>
        </w:tabs>
        <w:contextualSpacing/>
        <w:rPr>
          <w:noProof/>
          <w:color w:val="000000" w:themeColor="text1"/>
          <w:szCs w:val="24"/>
          <w:lang w:val="en-GB"/>
        </w:rPr>
      </w:pPr>
      <w:r w:rsidRPr="001961AA">
        <w:rPr>
          <w:noProof/>
          <w:color w:val="000000"/>
          <w:lang w:val="en-GB"/>
        </w:rPr>
        <w:t>Reform R-6.03 ‘Spending Reviews - Zero-based budget’ of the Walloon Region</w:t>
      </w:r>
    </w:p>
    <w:p w14:paraId="190ECB6D" w14:textId="77777777" w:rsidR="006A41D9" w:rsidRPr="001961AA" w:rsidRDefault="006A41D9" w:rsidP="00300C11">
      <w:pPr>
        <w:pStyle w:val="Text1"/>
        <w:numPr>
          <w:ilvl w:val="0"/>
          <w:numId w:val="61"/>
        </w:numPr>
        <w:tabs>
          <w:tab w:val="left" w:pos="567"/>
        </w:tabs>
        <w:contextualSpacing/>
        <w:rPr>
          <w:noProof/>
          <w:color w:val="000000" w:themeColor="text1"/>
          <w:szCs w:val="24"/>
          <w:lang w:val="en-GB"/>
        </w:rPr>
      </w:pPr>
      <w:r w:rsidRPr="001961AA">
        <w:rPr>
          <w:noProof/>
          <w:color w:val="000000"/>
          <w:lang w:val="en-GB"/>
        </w:rPr>
        <w:t>Reform R-6.04 ‘Spending review’ of the Brussels-Capital Region</w:t>
      </w:r>
    </w:p>
    <w:p w14:paraId="679EC393" w14:textId="77777777" w:rsidR="006A41D9" w:rsidRPr="001961AA" w:rsidRDefault="006A41D9" w:rsidP="00300C11">
      <w:pPr>
        <w:pStyle w:val="Text1"/>
        <w:numPr>
          <w:ilvl w:val="0"/>
          <w:numId w:val="61"/>
        </w:numPr>
        <w:tabs>
          <w:tab w:val="left" w:pos="567"/>
        </w:tabs>
        <w:contextualSpacing/>
        <w:rPr>
          <w:noProof/>
          <w:color w:val="000000" w:themeColor="text1"/>
          <w:szCs w:val="24"/>
          <w:lang w:val="en-GB"/>
        </w:rPr>
      </w:pPr>
      <w:r w:rsidRPr="001961AA">
        <w:rPr>
          <w:noProof/>
          <w:color w:val="000000"/>
          <w:lang w:val="en-GB"/>
        </w:rPr>
        <w:t>Reform R-6.05 ‘Spending reviews’ of the French Community</w:t>
      </w:r>
    </w:p>
    <w:p w14:paraId="50C1DA55" w14:textId="77777777" w:rsidR="006A41D9" w:rsidRPr="001961AA" w:rsidRDefault="006A41D9" w:rsidP="00BD6DD1">
      <w:pPr>
        <w:pStyle w:val="Text1"/>
        <w:ind w:left="0"/>
        <w:rPr>
          <w:noProof/>
          <w:color w:val="000000"/>
          <w:szCs w:val="24"/>
          <w:lang w:val="en-GB"/>
        </w:rPr>
      </w:pPr>
    </w:p>
    <w:p w14:paraId="37E1D95A" w14:textId="14BD3E1F" w:rsidR="006A41D9" w:rsidRPr="001961AA" w:rsidRDefault="006A41D9" w:rsidP="00BD6DD1">
      <w:pPr>
        <w:pStyle w:val="Text1"/>
        <w:ind w:left="0"/>
        <w:rPr>
          <w:noProof/>
          <w:color w:val="000000" w:themeColor="text1"/>
          <w:szCs w:val="24"/>
          <w:u w:val="single"/>
          <w:lang w:val="en-GB"/>
        </w:rPr>
      </w:pPr>
      <w:r w:rsidRPr="001961AA">
        <w:rPr>
          <w:noProof/>
          <w:color w:val="000000"/>
          <w:u w:val="single"/>
          <w:lang w:val="en-GB"/>
        </w:rPr>
        <w:t>Reform R-6.01: ‘Spending reviews’ of the Federal State</w:t>
      </w:r>
    </w:p>
    <w:p w14:paraId="6E5C2FCE" w14:textId="77777777" w:rsidR="006A41D9" w:rsidRPr="001961AA" w:rsidRDefault="006A41D9" w:rsidP="00BD6DD1">
      <w:pPr>
        <w:pStyle w:val="Text1"/>
        <w:ind w:left="0"/>
        <w:rPr>
          <w:noProof/>
          <w:color w:val="000000" w:themeColor="text1"/>
          <w:szCs w:val="24"/>
          <w:lang w:val="en-GB"/>
        </w:rPr>
      </w:pPr>
      <w:r w:rsidRPr="001961AA">
        <w:rPr>
          <w:noProof/>
          <w:color w:val="000000"/>
          <w:lang w:val="en-GB"/>
        </w:rPr>
        <w:t>The reform measure aims to conduct spending reviews in a structural way at the federal level and in the social security sector. As part of the Commission’s Structural Reform Support Programme, the OECD has supported the preparation of spending reviews. In 2019 and 2020, it provided technical assistance and recommendations to effectively implement spending reviews in Belgium’s budgetary process. In line with the OECD’s recommendations, the federal government decided to launch pilot exercises in early 2021 in three main areas: tax expenditure, primary expenditure, social security sector. Working groups have been set up to that end and are due to submit their report in view of the preparation of the 2022 budget. At that point in time, the government shall select a new set of topics to be delivered for the next year. An evaluation of the process (steering committee, terms of reference, composition of working groups) shall be carried out after the pilot exercise to assess whether the planned structure and timing are optimal or may be improved. By the completion of the pilots, the government shall decide in 2022 how spending reviews would become a recurrent process and an integral part of the budgetary procedure.</w:t>
      </w:r>
    </w:p>
    <w:p w14:paraId="61A2D111" w14:textId="3B04E4BB" w:rsidR="006A41D9" w:rsidRPr="001961AA" w:rsidRDefault="006A41D9" w:rsidP="00BD6DD1">
      <w:pPr>
        <w:pStyle w:val="Text1"/>
        <w:ind w:left="0"/>
        <w:rPr>
          <w:noProof/>
          <w:color w:val="000000" w:themeColor="text1"/>
          <w:szCs w:val="24"/>
          <w:u w:val="single"/>
          <w:lang w:val="en-GB"/>
        </w:rPr>
      </w:pPr>
      <w:r w:rsidRPr="001961AA">
        <w:rPr>
          <w:noProof/>
          <w:color w:val="000000"/>
          <w:u w:val="single"/>
          <w:lang w:val="en-GB"/>
        </w:rPr>
        <w:t>Reform R-6.02: ‘Spending reviews - Flemish general revision and spending norm’ of Flanders</w:t>
      </w:r>
    </w:p>
    <w:p w14:paraId="3E3B7449" w14:textId="1492574F" w:rsidR="006A41D9" w:rsidRPr="001961AA" w:rsidRDefault="006A41D9" w:rsidP="00BD6DD1">
      <w:pPr>
        <w:pStyle w:val="Text1"/>
        <w:ind w:left="0"/>
        <w:rPr>
          <w:noProof/>
          <w:color w:val="000000" w:themeColor="text1"/>
          <w:lang w:val="en-GB"/>
        </w:rPr>
      </w:pPr>
      <w:r w:rsidRPr="001961AA">
        <w:rPr>
          <w:noProof/>
          <w:color w:val="000000" w:themeColor="text1"/>
          <w:lang w:val="en-GB"/>
        </w:rPr>
        <w:t xml:space="preserve">The reform measure plans to re-prioritise the expenditures of Flanders’s regional government and limit it where possible: on the one hand, through the development of an expenditure norm and, on the other hand, through the so-called “Vlaamse Brede Herovering (VBH)”, which aims to structurally anchor spending reviews in the Flemish budgetary process in the coming years. The expenditure norm to be adopted in 2022 shall define the maximum growth path of government expenditure, taking into account the trend in revenue growth and the budgetary targets set. </w:t>
      </w:r>
      <w:r w:rsidRPr="001961AA">
        <w:rPr>
          <w:noProof/>
          <w:lang w:val="en-GB"/>
        </w:rPr>
        <w:t xml:space="preserve">The purpose of the VBH </w:t>
      </w:r>
      <w:r w:rsidRPr="001961AA">
        <w:rPr>
          <w:noProof/>
          <w:color w:val="000000" w:themeColor="text1"/>
          <w:lang w:val="en-GB"/>
        </w:rPr>
        <w:t>programme is to carry out an evaluation on ten policy domains by mid-2021 which shall serve as basis to define the scope of spending reviews. The measure aims at supporting spending reviews in eleven policy domains from September 2021 to October 2025.</w:t>
      </w:r>
    </w:p>
    <w:p w14:paraId="09E8D8B5" w14:textId="45C7BFFC" w:rsidR="006A41D9" w:rsidRPr="001961AA" w:rsidRDefault="006A41D9" w:rsidP="00BD6DD1">
      <w:pPr>
        <w:pStyle w:val="Text1"/>
        <w:ind w:left="0"/>
        <w:rPr>
          <w:noProof/>
          <w:color w:val="000000" w:themeColor="text1"/>
          <w:szCs w:val="24"/>
          <w:u w:val="single"/>
          <w:lang w:val="en-GB"/>
        </w:rPr>
      </w:pPr>
      <w:r w:rsidRPr="001961AA">
        <w:rPr>
          <w:noProof/>
          <w:color w:val="000000"/>
          <w:u w:val="single"/>
          <w:lang w:val="en-GB"/>
        </w:rPr>
        <w:t>Reform R-6.03: ‘Spending Reviews — Zero-based budget’ of the Walloon Region</w:t>
      </w:r>
    </w:p>
    <w:p w14:paraId="44CE5678" w14:textId="77777777" w:rsidR="006A41D9" w:rsidRPr="001961AA" w:rsidRDefault="006A41D9" w:rsidP="00BD6DD1">
      <w:pPr>
        <w:pStyle w:val="Text1"/>
        <w:ind w:left="0"/>
        <w:rPr>
          <w:noProof/>
          <w:color w:val="000000" w:themeColor="text1"/>
          <w:szCs w:val="24"/>
          <w:lang w:val="en-GB"/>
        </w:rPr>
      </w:pPr>
      <w:r w:rsidRPr="001961AA">
        <w:rPr>
          <w:noProof/>
          <w:color w:val="000000"/>
          <w:lang w:val="en-GB"/>
        </w:rPr>
        <w:t xml:space="preserve">The reform measure consists in a zero-based budgeting exercise and of spending reviews covering all expenditures and revenues structured around seven policy fields and covering all departments of the Walloon administration as well as 170 public administration units. The zero-based budgeting approach, </w:t>
      </w:r>
      <w:r w:rsidRPr="001961AA">
        <w:rPr>
          <w:noProof/>
          <w:lang w:val="en-GB"/>
        </w:rPr>
        <w:t>which shall require full justification of spending on a yearly basis,</w:t>
      </w:r>
      <w:r w:rsidRPr="001961AA">
        <w:rPr>
          <w:noProof/>
          <w:color w:val="000000"/>
          <w:lang w:val="en-GB"/>
        </w:rPr>
        <w:t xml:space="preserve"> shall focus on operating and investment expenditures, while spending reviews shall address intervention expenditures involving a transfer of public resource to undertakings, household and local authorities. The exercise shall be conducted in a series of four waves from October 2020 to June 2022 with the support of external consultants. Upon the conclusion of the exercise, the Walloon government shall decide how spending reviews are to be integrated in the budgetary process in a permanent way. </w:t>
      </w:r>
    </w:p>
    <w:p w14:paraId="3AD814B5" w14:textId="65989A52" w:rsidR="006A41D9" w:rsidRPr="001961AA" w:rsidRDefault="006A41D9" w:rsidP="00BD6DD1">
      <w:pPr>
        <w:pStyle w:val="Text1"/>
        <w:ind w:left="0"/>
        <w:rPr>
          <w:noProof/>
          <w:color w:val="000000" w:themeColor="text1"/>
          <w:szCs w:val="24"/>
          <w:u w:val="single"/>
          <w:lang w:val="en-GB"/>
        </w:rPr>
      </w:pPr>
      <w:r w:rsidRPr="001961AA">
        <w:rPr>
          <w:noProof/>
          <w:color w:val="000000"/>
          <w:u w:val="single"/>
          <w:lang w:val="en-GB"/>
        </w:rPr>
        <w:t>Reform R-6.04: ‘Spending review’ of the Brussels-Capital Region</w:t>
      </w:r>
    </w:p>
    <w:p w14:paraId="0E9F38CD" w14:textId="79A43DC2" w:rsidR="006A41D9" w:rsidRPr="001961AA" w:rsidRDefault="006A41D9" w:rsidP="00BD6DD1">
      <w:pPr>
        <w:pStyle w:val="Text1"/>
        <w:ind w:left="0"/>
        <w:rPr>
          <w:noProof/>
          <w:color w:val="000000" w:themeColor="text1"/>
          <w:szCs w:val="24"/>
          <w:lang w:val="en-GB"/>
        </w:rPr>
      </w:pPr>
      <w:r w:rsidRPr="001961AA">
        <w:rPr>
          <w:noProof/>
          <w:color w:val="000000"/>
          <w:lang w:val="en-GB"/>
        </w:rPr>
        <w:t xml:space="preserve">The reform measure consists in the conduct and finalisation of two pilot spending reviews and the subsequent integration of spending reviews in the budgetary process of the Brussels Region. With the support of the Structural Reform Support Programme (SRSP), the Brussels Region initiated two spending review pilots </w:t>
      </w:r>
      <w:r w:rsidRPr="001961AA">
        <w:rPr>
          <w:noProof/>
          <w:lang w:val="en-GB"/>
        </w:rPr>
        <w:t>in the areas of mobility and social housing</w:t>
      </w:r>
      <w:r w:rsidRPr="001961AA">
        <w:rPr>
          <w:noProof/>
          <w:color w:val="000000"/>
          <w:lang w:val="en-GB"/>
        </w:rPr>
        <w:t>. Their main objective is to strengthen the capacity within the Administration (in particular the Brussels Administration for Finance and Budget and the Brussels Institute for Statistics and Analysis) and to draw lessons to anchor the tool in a structural way. Also thanks to the SRSP, the Brussels government benefited from a comprehensive gap analysis of its public financial management system thanks to a</w:t>
      </w:r>
      <w:r w:rsidRPr="001961AA">
        <w:rPr>
          <w:i/>
          <w:noProof/>
          <w:color w:val="000000"/>
          <w:lang w:val="en-GB"/>
        </w:rPr>
        <w:t xml:space="preserve"> </w:t>
      </w:r>
      <w:r w:rsidRPr="001961AA">
        <w:rPr>
          <w:rStyle w:val="Emphasis"/>
          <w:noProof/>
          <w:lang w:val="en-GB"/>
        </w:rPr>
        <w:t>Public Expenditure and Financial Accountability</w:t>
      </w:r>
      <w:r w:rsidRPr="001961AA">
        <w:rPr>
          <w:rStyle w:val="acopre"/>
          <w:i/>
          <w:noProof/>
          <w:lang w:val="en-GB"/>
        </w:rPr>
        <w:t xml:space="preserve"> </w:t>
      </w:r>
      <w:r w:rsidRPr="001961AA">
        <w:rPr>
          <w:rStyle w:val="acopre"/>
          <w:noProof/>
          <w:lang w:val="en-GB"/>
        </w:rPr>
        <w:t>(PEFA) assessment to be concluded in July 2021. Based on the experiences in conducting the pilot reviews and the results of the PEFA analysis, the Brussels government shall decide on how to integrate spending reviews in a structural way in the budgetary process.</w:t>
      </w:r>
    </w:p>
    <w:p w14:paraId="0D52CA2C" w14:textId="2A653BB1" w:rsidR="006A41D9" w:rsidRPr="001961AA" w:rsidRDefault="006A41D9" w:rsidP="00BD6DD1">
      <w:pPr>
        <w:pStyle w:val="Text1"/>
        <w:ind w:left="0"/>
        <w:rPr>
          <w:noProof/>
          <w:color w:val="000000" w:themeColor="text1"/>
          <w:szCs w:val="24"/>
          <w:u w:val="single"/>
          <w:lang w:val="en-GB"/>
        </w:rPr>
      </w:pPr>
      <w:r w:rsidRPr="001961AA">
        <w:rPr>
          <w:noProof/>
          <w:color w:val="000000"/>
          <w:u w:val="single"/>
          <w:lang w:val="en-GB"/>
        </w:rPr>
        <w:t>Reform R-6.05: ‘Spending reviews’ of the French Community</w:t>
      </w:r>
    </w:p>
    <w:p w14:paraId="499F8A76" w14:textId="0F55C76B" w:rsidR="0071084B" w:rsidRPr="001961AA" w:rsidRDefault="006A41D9" w:rsidP="00BD6DD1">
      <w:pPr>
        <w:pStyle w:val="Text1"/>
        <w:ind w:left="0"/>
        <w:rPr>
          <w:noProof/>
          <w:color w:val="000000"/>
          <w:szCs w:val="24"/>
          <w:lang w:val="en-GB"/>
        </w:rPr>
        <w:sectPr w:rsidR="0071084B" w:rsidRPr="001961AA" w:rsidSect="0071084B">
          <w:headerReference w:type="even" r:id="rId234"/>
          <w:headerReference w:type="default" r:id="rId235"/>
          <w:footerReference w:type="even" r:id="rId236"/>
          <w:footerReference w:type="default" r:id="rId237"/>
          <w:headerReference w:type="first" r:id="rId238"/>
          <w:footerReference w:type="first" r:id="rId239"/>
          <w:pgSz w:w="11907" w:h="16839"/>
          <w:pgMar w:top="1134" w:right="1134" w:bottom="1134" w:left="1134" w:header="567" w:footer="567" w:gutter="0"/>
          <w:cols w:space="720"/>
          <w:docGrid w:linePitch="360"/>
        </w:sectPr>
      </w:pPr>
      <w:r w:rsidRPr="001961AA">
        <w:rPr>
          <w:noProof/>
          <w:color w:val="000000"/>
          <w:lang w:val="en-GB"/>
        </w:rPr>
        <w:t>The reform measure consist in the conduct of pilot spending reviews and the subsequent integration of spending reviews in the budgetary process of the French-speaking Community. A first wave of pilot reviews were selected for the elaboration of the 2022 budget. A second wave shall follow and be concluded by mid-2022. In the framework of the EU Technical Support Instrument, the Government of the French-speaking Community shall benefit from technical support to integrate spending reviews in its budgetary cycle allowing the Government to decide in Q2 2023 as how to integrate spending reviews in the budgetary cycle</w:t>
      </w:r>
    </w:p>
    <w:p w14:paraId="189C2298" w14:textId="0BDF448F" w:rsidR="006A41D9" w:rsidRPr="001961AA" w:rsidRDefault="0071084B" w:rsidP="0071084B">
      <w:pPr>
        <w:pStyle w:val="Text1"/>
        <w:ind w:left="0"/>
        <w:rPr>
          <w:b/>
          <w:bCs/>
          <w:noProof/>
          <w:szCs w:val="24"/>
          <w:u w:val="single"/>
          <w:lang w:val="en-GB"/>
        </w:rPr>
      </w:pPr>
      <w:r w:rsidRPr="001961AA">
        <w:rPr>
          <w:b/>
          <w:noProof/>
          <w:u w:val="single"/>
          <w:lang w:val="en-GB"/>
        </w:rPr>
        <w:t xml:space="preserve">Q.2. </w:t>
      </w:r>
      <w:r w:rsidRPr="001961AA">
        <w:rPr>
          <w:noProof/>
          <w:lang w:val="en-GB"/>
        </w:rPr>
        <w:tab/>
      </w:r>
      <w:r w:rsidRPr="001961AA">
        <w:rPr>
          <w:b/>
          <w:noProof/>
          <w:u w:val="single"/>
          <w:lang w:val="en-GB"/>
        </w:rPr>
        <w:t>Milestones, targets, indicators, and timetable for monitoring and implementation for non-repayable financial support1</w:t>
      </w:r>
    </w:p>
    <w:tbl>
      <w:tblPr>
        <w:tblW w:w="16013" w:type="dxa"/>
        <w:tblInd w:w="-601" w:type="dxa"/>
        <w:tblLayout w:type="fixed"/>
        <w:tblLook w:val="04A0" w:firstRow="1" w:lastRow="0" w:firstColumn="1" w:lastColumn="0" w:noHBand="0" w:noVBand="1"/>
      </w:tblPr>
      <w:tblGrid>
        <w:gridCol w:w="596"/>
        <w:gridCol w:w="1680"/>
        <w:gridCol w:w="1155"/>
        <w:gridCol w:w="1725"/>
        <w:gridCol w:w="1920"/>
        <w:gridCol w:w="1200"/>
        <w:gridCol w:w="960"/>
        <w:gridCol w:w="720"/>
        <w:gridCol w:w="960"/>
        <w:gridCol w:w="840"/>
        <w:gridCol w:w="4257"/>
      </w:tblGrid>
      <w:tr w:rsidR="004868CC" w:rsidRPr="001961AA" w14:paraId="11463D92" w14:textId="77777777" w:rsidTr="00300C11">
        <w:trPr>
          <w:trHeight w:val="939"/>
          <w:tblHeader/>
        </w:trPr>
        <w:tc>
          <w:tcPr>
            <w:tcW w:w="596"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1116E7CD" w14:textId="6D20B04B" w:rsidR="006A41D9" w:rsidRPr="001961AA" w:rsidRDefault="006A41D9" w:rsidP="00BD6DD1">
            <w:pPr>
              <w:spacing w:after="0"/>
              <w:jc w:val="center"/>
              <w:rPr>
                <w:rFonts w:ascii="Times New Roman" w:eastAsia="Times New Roman" w:hAnsi="Times New Roman" w:cs="Times New Roman"/>
                <w:b/>
                <w:noProof/>
                <w:sz w:val="20"/>
                <w:szCs w:val="20"/>
                <w:lang w:val="en-GB"/>
              </w:rPr>
            </w:pPr>
            <w:r w:rsidRPr="001961AA">
              <w:rPr>
                <w:rFonts w:ascii="Times New Roman" w:hAnsi="Times New Roman"/>
                <w:b/>
                <w:noProof/>
                <w:sz w:val="20"/>
                <w:lang w:val="en-GB"/>
              </w:rPr>
              <w:t>Seq. Nb.</w:t>
            </w:r>
          </w:p>
        </w:tc>
        <w:tc>
          <w:tcPr>
            <w:tcW w:w="1680"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36C74DF5" w14:textId="77777777" w:rsidR="006A41D9" w:rsidRPr="001961AA" w:rsidRDefault="006A41D9" w:rsidP="00BD6DD1">
            <w:pPr>
              <w:spacing w:after="0"/>
              <w:jc w:val="center"/>
              <w:rPr>
                <w:rFonts w:ascii="Times New Roman" w:eastAsia="Times New Roman" w:hAnsi="Times New Roman" w:cs="Times New Roman"/>
                <w:b/>
                <w:noProof/>
                <w:sz w:val="20"/>
                <w:szCs w:val="20"/>
                <w:lang w:val="en-GB"/>
              </w:rPr>
            </w:pPr>
            <w:r w:rsidRPr="001961AA">
              <w:rPr>
                <w:rFonts w:ascii="Times New Roman" w:hAnsi="Times New Roman"/>
                <w:b/>
                <w:noProof/>
                <w:sz w:val="20"/>
                <w:lang w:val="en-GB"/>
              </w:rPr>
              <w:t>Related Measure (Reform or Investment)</w:t>
            </w:r>
          </w:p>
        </w:tc>
        <w:tc>
          <w:tcPr>
            <w:tcW w:w="1155"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17068979" w14:textId="77777777" w:rsidR="006A41D9" w:rsidRPr="001961AA" w:rsidRDefault="006A41D9" w:rsidP="00BD6DD1">
            <w:pPr>
              <w:spacing w:after="0"/>
              <w:jc w:val="center"/>
              <w:rPr>
                <w:rFonts w:ascii="Times New Roman" w:eastAsia="Times New Roman" w:hAnsi="Times New Roman" w:cs="Times New Roman"/>
                <w:b/>
                <w:noProof/>
                <w:sz w:val="20"/>
                <w:szCs w:val="20"/>
                <w:lang w:val="en-GB"/>
              </w:rPr>
            </w:pPr>
            <w:r w:rsidRPr="001961AA">
              <w:rPr>
                <w:rFonts w:ascii="Times New Roman" w:hAnsi="Times New Roman"/>
                <w:b/>
                <w:noProof/>
                <w:sz w:val="20"/>
                <w:lang w:val="en-GB"/>
              </w:rPr>
              <w:t>Milestone / Target</w:t>
            </w:r>
          </w:p>
        </w:tc>
        <w:tc>
          <w:tcPr>
            <w:tcW w:w="1725"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14:paraId="70D495C9" w14:textId="77777777" w:rsidR="006A41D9" w:rsidRPr="001961AA" w:rsidRDefault="006A41D9" w:rsidP="00BD6DD1">
            <w:pPr>
              <w:spacing w:after="0"/>
              <w:jc w:val="center"/>
              <w:rPr>
                <w:rFonts w:ascii="Times New Roman" w:eastAsia="Times New Roman" w:hAnsi="Times New Roman" w:cs="Times New Roman"/>
                <w:b/>
                <w:noProof/>
                <w:sz w:val="20"/>
                <w:szCs w:val="20"/>
                <w:lang w:val="en-GB"/>
              </w:rPr>
            </w:pPr>
            <w:r w:rsidRPr="001961AA">
              <w:rPr>
                <w:rFonts w:ascii="Times New Roman" w:hAnsi="Times New Roman"/>
                <w:b/>
                <w:noProof/>
                <w:sz w:val="20"/>
                <w:lang w:val="en-GB"/>
              </w:rPr>
              <w:t>Name</w:t>
            </w:r>
          </w:p>
        </w:tc>
        <w:tc>
          <w:tcPr>
            <w:tcW w:w="1920"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26832E04" w14:textId="77777777" w:rsidR="006A41D9" w:rsidRPr="001961AA" w:rsidRDefault="006A41D9" w:rsidP="00BD6DD1">
            <w:pPr>
              <w:spacing w:after="0"/>
              <w:jc w:val="center"/>
              <w:rPr>
                <w:rFonts w:ascii="Times New Roman" w:eastAsia="Times New Roman" w:hAnsi="Times New Roman" w:cs="Times New Roman"/>
                <w:b/>
                <w:noProof/>
                <w:sz w:val="20"/>
                <w:szCs w:val="20"/>
                <w:lang w:val="en-GB"/>
              </w:rPr>
            </w:pPr>
            <w:r w:rsidRPr="001961AA">
              <w:rPr>
                <w:rFonts w:ascii="Times New Roman" w:hAnsi="Times New Roman"/>
                <w:b/>
                <w:noProof/>
                <w:sz w:val="20"/>
                <w:lang w:val="en-GB"/>
              </w:rPr>
              <w:t xml:space="preserve">Qualitative indicators </w:t>
            </w:r>
            <w:r w:rsidRPr="001961AA">
              <w:rPr>
                <w:noProof/>
                <w:lang w:val="en-GB"/>
              </w:rPr>
              <w:t xml:space="preserve"> </w:t>
            </w:r>
            <w:r w:rsidRPr="001961AA">
              <w:rPr>
                <w:noProof/>
                <w:lang w:val="en-GB"/>
              </w:rPr>
              <w:br/>
            </w:r>
            <w:r w:rsidRPr="001961AA">
              <w:rPr>
                <w:rFonts w:ascii="Times New Roman" w:hAnsi="Times New Roman"/>
                <w:b/>
                <w:noProof/>
                <w:sz w:val="20"/>
                <w:lang w:val="en-GB"/>
              </w:rPr>
              <w:t>(for milestones)</w:t>
            </w:r>
          </w:p>
        </w:tc>
        <w:tc>
          <w:tcPr>
            <w:tcW w:w="2880" w:type="dxa"/>
            <w:gridSpan w:val="3"/>
            <w:tcBorders>
              <w:top w:val="single" w:sz="4" w:space="0" w:color="auto"/>
              <w:left w:val="nil"/>
              <w:bottom w:val="single" w:sz="4" w:space="0" w:color="auto"/>
              <w:right w:val="single" w:sz="4" w:space="0" w:color="auto"/>
            </w:tcBorders>
            <w:shd w:val="clear" w:color="auto" w:fill="BDD7EE"/>
            <w:vAlign w:val="center"/>
            <w:hideMark/>
          </w:tcPr>
          <w:p w14:paraId="11891BCF" w14:textId="77777777" w:rsidR="006A41D9" w:rsidRPr="001961AA" w:rsidRDefault="006A41D9" w:rsidP="00BD6DD1">
            <w:pPr>
              <w:spacing w:after="0"/>
              <w:jc w:val="center"/>
              <w:rPr>
                <w:rFonts w:ascii="Times New Roman" w:eastAsia="Times New Roman" w:hAnsi="Times New Roman" w:cs="Times New Roman"/>
                <w:b/>
                <w:noProof/>
                <w:sz w:val="20"/>
                <w:szCs w:val="20"/>
                <w:lang w:val="en-GB"/>
              </w:rPr>
            </w:pPr>
            <w:r w:rsidRPr="001961AA">
              <w:rPr>
                <w:rFonts w:ascii="Times New Roman" w:hAnsi="Times New Roman"/>
                <w:b/>
                <w:noProof/>
                <w:sz w:val="20"/>
                <w:lang w:val="en-GB"/>
              </w:rPr>
              <w:t xml:space="preserve">Quantitative indicators </w:t>
            </w:r>
            <w:r w:rsidRPr="001961AA">
              <w:rPr>
                <w:noProof/>
                <w:lang w:val="en-GB"/>
              </w:rPr>
              <w:t xml:space="preserve"> </w:t>
            </w:r>
            <w:r w:rsidRPr="001961AA">
              <w:rPr>
                <w:noProof/>
                <w:lang w:val="en-GB"/>
              </w:rPr>
              <w:br/>
            </w:r>
            <w:r w:rsidRPr="001961AA">
              <w:rPr>
                <w:rFonts w:ascii="Times New Roman" w:hAnsi="Times New Roman"/>
                <w:b/>
                <w:noProof/>
                <w:sz w:val="20"/>
                <w:lang w:val="en-GB"/>
              </w:rPr>
              <w:t>(for targets)</w:t>
            </w:r>
          </w:p>
        </w:tc>
        <w:tc>
          <w:tcPr>
            <w:tcW w:w="1800" w:type="dxa"/>
            <w:gridSpan w:val="2"/>
            <w:tcBorders>
              <w:top w:val="single" w:sz="4" w:space="0" w:color="auto"/>
              <w:left w:val="nil"/>
              <w:bottom w:val="single" w:sz="4" w:space="0" w:color="auto"/>
              <w:right w:val="single" w:sz="4" w:space="0" w:color="auto"/>
            </w:tcBorders>
            <w:shd w:val="clear" w:color="auto" w:fill="BDD7EE"/>
            <w:vAlign w:val="center"/>
            <w:hideMark/>
          </w:tcPr>
          <w:p w14:paraId="53FC8B32" w14:textId="77777777" w:rsidR="006A41D9" w:rsidRPr="001961AA" w:rsidRDefault="006A41D9" w:rsidP="00BD6DD1">
            <w:pPr>
              <w:spacing w:after="0"/>
              <w:jc w:val="center"/>
              <w:rPr>
                <w:rFonts w:ascii="Times New Roman" w:eastAsia="Times New Roman" w:hAnsi="Times New Roman" w:cs="Times New Roman"/>
                <w:b/>
                <w:noProof/>
                <w:sz w:val="20"/>
                <w:szCs w:val="20"/>
                <w:lang w:val="en-GB"/>
              </w:rPr>
            </w:pPr>
            <w:r w:rsidRPr="001961AA">
              <w:rPr>
                <w:rFonts w:ascii="Times New Roman" w:hAnsi="Times New Roman"/>
                <w:b/>
                <w:noProof/>
                <w:sz w:val="20"/>
                <w:lang w:val="en-GB"/>
              </w:rPr>
              <w:t xml:space="preserve">Indicative timeline for completion </w:t>
            </w:r>
          </w:p>
        </w:tc>
        <w:tc>
          <w:tcPr>
            <w:tcW w:w="4257"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A74E372" w14:textId="77777777" w:rsidR="006A41D9" w:rsidRPr="001961AA" w:rsidRDefault="006A41D9" w:rsidP="00BD6DD1">
            <w:pPr>
              <w:spacing w:after="0"/>
              <w:jc w:val="center"/>
              <w:rPr>
                <w:rFonts w:ascii="Times New Roman" w:eastAsia="Times New Roman" w:hAnsi="Times New Roman" w:cs="Times New Roman"/>
                <w:b/>
                <w:noProof/>
                <w:sz w:val="20"/>
                <w:szCs w:val="20"/>
                <w:lang w:val="en-GB"/>
              </w:rPr>
            </w:pPr>
            <w:r w:rsidRPr="001961AA">
              <w:rPr>
                <w:rFonts w:ascii="Times New Roman" w:hAnsi="Times New Roman"/>
                <w:b/>
                <w:noProof/>
                <w:sz w:val="20"/>
                <w:lang w:val="en-GB"/>
              </w:rPr>
              <w:t>Description of each milestone and target</w:t>
            </w:r>
          </w:p>
        </w:tc>
      </w:tr>
      <w:tr w:rsidR="004868CC" w:rsidRPr="001961AA" w14:paraId="2ECEC7A9" w14:textId="77777777" w:rsidTr="00300C11">
        <w:trPr>
          <w:trHeight w:val="1027"/>
        </w:trPr>
        <w:tc>
          <w:tcPr>
            <w:tcW w:w="596" w:type="dxa"/>
            <w:vMerge/>
            <w:tcBorders>
              <w:top w:val="single" w:sz="4" w:space="0" w:color="auto"/>
              <w:left w:val="single" w:sz="4" w:space="0" w:color="auto"/>
              <w:bottom w:val="single" w:sz="4" w:space="0" w:color="000000"/>
              <w:right w:val="single" w:sz="4" w:space="0" w:color="auto"/>
            </w:tcBorders>
            <w:vAlign w:val="center"/>
            <w:hideMark/>
          </w:tcPr>
          <w:p w14:paraId="4EB4C382" w14:textId="77777777" w:rsidR="006A41D9" w:rsidRPr="001961AA" w:rsidRDefault="006A41D9" w:rsidP="00BD6DD1">
            <w:pPr>
              <w:spacing w:after="0"/>
              <w:rPr>
                <w:rFonts w:ascii="Times New Roman" w:eastAsia="Times New Roman" w:hAnsi="Times New Roman" w:cs="Times New Roman"/>
                <w:b/>
                <w:bCs/>
                <w:noProof/>
                <w:szCs w:val="24"/>
                <w:lang w:val="en-GB" w:eastAsia="en-GB"/>
              </w:rPr>
            </w:pPr>
          </w:p>
        </w:tc>
        <w:tc>
          <w:tcPr>
            <w:tcW w:w="1680" w:type="dxa"/>
            <w:vMerge/>
            <w:tcBorders>
              <w:top w:val="single" w:sz="4" w:space="0" w:color="auto"/>
              <w:left w:val="single" w:sz="4" w:space="0" w:color="auto"/>
              <w:bottom w:val="single" w:sz="4" w:space="0" w:color="000000"/>
              <w:right w:val="single" w:sz="4" w:space="0" w:color="auto"/>
            </w:tcBorders>
            <w:vAlign w:val="center"/>
            <w:hideMark/>
          </w:tcPr>
          <w:p w14:paraId="07BD3848" w14:textId="77777777" w:rsidR="006A41D9" w:rsidRPr="001961AA" w:rsidRDefault="006A41D9" w:rsidP="00BD6DD1">
            <w:pPr>
              <w:spacing w:after="0"/>
              <w:rPr>
                <w:rFonts w:ascii="Times New Roman" w:eastAsia="Times New Roman" w:hAnsi="Times New Roman" w:cs="Times New Roman"/>
                <w:b/>
                <w:bCs/>
                <w:noProof/>
                <w:szCs w:val="24"/>
                <w:lang w:val="en-GB" w:eastAsia="en-GB"/>
              </w:rPr>
            </w:pPr>
          </w:p>
        </w:tc>
        <w:tc>
          <w:tcPr>
            <w:tcW w:w="1155" w:type="dxa"/>
            <w:vMerge/>
            <w:tcBorders>
              <w:top w:val="single" w:sz="4" w:space="0" w:color="auto"/>
              <w:left w:val="single" w:sz="4" w:space="0" w:color="auto"/>
              <w:bottom w:val="single" w:sz="4" w:space="0" w:color="000000"/>
              <w:right w:val="single" w:sz="4" w:space="0" w:color="auto"/>
            </w:tcBorders>
            <w:vAlign w:val="center"/>
            <w:hideMark/>
          </w:tcPr>
          <w:p w14:paraId="0124E4C6" w14:textId="77777777" w:rsidR="006A41D9" w:rsidRPr="001961AA" w:rsidRDefault="006A41D9" w:rsidP="00BD6DD1">
            <w:pPr>
              <w:spacing w:after="0"/>
              <w:rPr>
                <w:rFonts w:ascii="Times New Roman" w:eastAsia="Times New Roman" w:hAnsi="Times New Roman" w:cs="Times New Roman"/>
                <w:b/>
                <w:bCs/>
                <w:noProof/>
                <w:szCs w:val="24"/>
                <w:lang w:val="en-GB" w:eastAsia="en-GB"/>
              </w:rPr>
            </w:pPr>
          </w:p>
        </w:tc>
        <w:tc>
          <w:tcPr>
            <w:tcW w:w="1725" w:type="dxa"/>
            <w:vMerge/>
            <w:tcBorders>
              <w:top w:val="single" w:sz="4" w:space="0" w:color="auto"/>
              <w:left w:val="nil"/>
              <w:bottom w:val="single" w:sz="4" w:space="0" w:color="000000"/>
              <w:right w:val="single" w:sz="4" w:space="0" w:color="auto"/>
            </w:tcBorders>
            <w:vAlign w:val="center"/>
            <w:hideMark/>
          </w:tcPr>
          <w:p w14:paraId="7F691F65" w14:textId="77777777" w:rsidR="006A41D9" w:rsidRPr="001961AA" w:rsidRDefault="006A41D9" w:rsidP="00BD6DD1">
            <w:pPr>
              <w:spacing w:after="0"/>
              <w:rPr>
                <w:rFonts w:ascii="Times New Roman" w:eastAsia="Times New Roman" w:hAnsi="Times New Roman" w:cs="Times New Roman"/>
                <w:b/>
                <w:bCs/>
                <w:noProof/>
                <w:szCs w:val="24"/>
                <w:lang w:val="en-GB" w:eastAsia="en-GB"/>
              </w:rPr>
            </w:pPr>
          </w:p>
        </w:tc>
        <w:tc>
          <w:tcPr>
            <w:tcW w:w="1920" w:type="dxa"/>
            <w:vMerge/>
            <w:tcBorders>
              <w:top w:val="single" w:sz="4" w:space="0" w:color="auto"/>
              <w:left w:val="single" w:sz="4" w:space="0" w:color="auto"/>
              <w:bottom w:val="single" w:sz="4" w:space="0" w:color="000000"/>
              <w:right w:val="single" w:sz="4" w:space="0" w:color="auto"/>
            </w:tcBorders>
            <w:vAlign w:val="center"/>
            <w:hideMark/>
          </w:tcPr>
          <w:p w14:paraId="7EE670FB" w14:textId="77777777" w:rsidR="006A41D9" w:rsidRPr="001961AA" w:rsidRDefault="006A41D9" w:rsidP="00BD6DD1">
            <w:pPr>
              <w:spacing w:after="0"/>
              <w:rPr>
                <w:rFonts w:ascii="Times New Roman" w:eastAsia="Times New Roman" w:hAnsi="Times New Roman" w:cs="Times New Roman"/>
                <w:b/>
                <w:bCs/>
                <w:noProof/>
                <w:szCs w:val="24"/>
                <w:lang w:val="en-GB" w:eastAsia="en-GB"/>
              </w:rPr>
            </w:pPr>
          </w:p>
        </w:tc>
        <w:tc>
          <w:tcPr>
            <w:tcW w:w="1200" w:type="dxa"/>
            <w:tcBorders>
              <w:top w:val="nil"/>
              <w:left w:val="nil"/>
              <w:bottom w:val="single" w:sz="4" w:space="0" w:color="auto"/>
              <w:right w:val="single" w:sz="4" w:space="0" w:color="auto"/>
            </w:tcBorders>
            <w:shd w:val="clear" w:color="auto" w:fill="BDD7EE"/>
            <w:vAlign w:val="center"/>
            <w:hideMark/>
          </w:tcPr>
          <w:p w14:paraId="69894C56" w14:textId="77777777" w:rsidR="006A41D9" w:rsidRPr="001961AA" w:rsidRDefault="006A41D9" w:rsidP="00BD6DD1">
            <w:pPr>
              <w:spacing w:after="0"/>
              <w:jc w:val="center"/>
              <w:rPr>
                <w:rFonts w:ascii="Times New Roman" w:eastAsia="Times New Roman" w:hAnsi="Times New Roman" w:cs="Times New Roman"/>
                <w:b/>
                <w:noProof/>
                <w:sz w:val="20"/>
                <w:szCs w:val="20"/>
                <w:lang w:val="en-GB"/>
              </w:rPr>
            </w:pPr>
            <w:r w:rsidRPr="001961AA">
              <w:rPr>
                <w:rFonts w:ascii="Times New Roman" w:hAnsi="Times New Roman"/>
                <w:b/>
                <w:noProof/>
                <w:sz w:val="20"/>
                <w:lang w:val="en-GB"/>
              </w:rPr>
              <w:t>Unit of measure</w:t>
            </w:r>
          </w:p>
        </w:tc>
        <w:tc>
          <w:tcPr>
            <w:tcW w:w="960" w:type="dxa"/>
            <w:tcBorders>
              <w:top w:val="nil"/>
              <w:left w:val="nil"/>
              <w:bottom w:val="single" w:sz="4" w:space="0" w:color="auto"/>
              <w:right w:val="single" w:sz="4" w:space="0" w:color="auto"/>
            </w:tcBorders>
            <w:shd w:val="clear" w:color="auto" w:fill="BDD7EE"/>
            <w:vAlign w:val="center"/>
            <w:hideMark/>
          </w:tcPr>
          <w:p w14:paraId="53426285" w14:textId="77777777" w:rsidR="006A41D9" w:rsidRPr="001961AA" w:rsidRDefault="006A41D9" w:rsidP="00BD6DD1">
            <w:pPr>
              <w:spacing w:after="0"/>
              <w:jc w:val="center"/>
              <w:rPr>
                <w:rFonts w:ascii="Times New Roman" w:eastAsia="Times New Roman" w:hAnsi="Times New Roman" w:cs="Times New Roman"/>
                <w:b/>
                <w:noProof/>
                <w:sz w:val="20"/>
                <w:szCs w:val="20"/>
                <w:lang w:val="en-GB"/>
              </w:rPr>
            </w:pPr>
            <w:r w:rsidRPr="001961AA">
              <w:rPr>
                <w:rFonts w:ascii="Times New Roman" w:hAnsi="Times New Roman"/>
                <w:b/>
                <w:noProof/>
                <w:sz w:val="20"/>
                <w:lang w:val="en-GB"/>
              </w:rPr>
              <w:t xml:space="preserve">Baseline </w:t>
            </w:r>
          </w:p>
        </w:tc>
        <w:tc>
          <w:tcPr>
            <w:tcW w:w="720" w:type="dxa"/>
            <w:tcBorders>
              <w:top w:val="nil"/>
              <w:left w:val="nil"/>
              <w:bottom w:val="single" w:sz="4" w:space="0" w:color="auto"/>
              <w:right w:val="single" w:sz="4" w:space="0" w:color="auto"/>
            </w:tcBorders>
            <w:shd w:val="clear" w:color="auto" w:fill="BDD7EE"/>
            <w:vAlign w:val="center"/>
            <w:hideMark/>
          </w:tcPr>
          <w:p w14:paraId="34CA7C02" w14:textId="77777777" w:rsidR="006A41D9" w:rsidRPr="001961AA" w:rsidRDefault="006A41D9" w:rsidP="00BD6DD1">
            <w:pPr>
              <w:spacing w:after="0"/>
              <w:jc w:val="center"/>
              <w:rPr>
                <w:rFonts w:ascii="Times New Roman" w:eastAsia="Times New Roman" w:hAnsi="Times New Roman" w:cs="Times New Roman"/>
                <w:b/>
                <w:noProof/>
                <w:sz w:val="20"/>
                <w:szCs w:val="20"/>
                <w:lang w:val="en-GB"/>
              </w:rPr>
            </w:pPr>
            <w:r w:rsidRPr="001961AA">
              <w:rPr>
                <w:rFonts w:ascii="Times New Roman" w:hAnsi="Times New Roman"/>
                <w:b/>
                <w:noProof/>
                <w:sz w:val="20"/>
                <w:lang w:val="en-GB"/>
              </w:rPr>
              <w:t xml:space="preserve">Goal </w:t>
            </w:r>
          </w:p>
        </w:tc>
        <w:tc>
          <w:tcPr>
            <w:tcW w:w="960" w:type="dxa"/>
            <w:tcBorders>
              <w:top w:val="nil"/>
              <w:left w:val="nil"/>
              <w:bottom w:val="single" w:sz="4" w:space="0" w:color="auto"/>
              <w:right w:val="single" w:sz="4" w:space="0" w:color="auto"/>
            </w:tcBorders>
            <w:shd w:val="clear" w:color="auto" w:fill="BDD7EE"/>
            <w:vAlign w:val="center"/>
            <w:hideMark/>
          </w:tcPr>
          <w:p w14:paraId="57041D96" w14:textId="77777777" w:rsidR="006A41D9" w:rsidRPr="001961AA" w:rsidRDefault="006A41D9" w:rsidP="00BD6DD1">
            <w:pPr>
              <w:spacing w:after="0"/>
              <w:jc w:val="center"/>
              <w:rPr>
                <w:rFonts w:ascii="Times New Roman" w:eastAsia="Times New Roman" w:hAnsi="Times New Roman" w:cs="Times New Roman"/>
                <w:b/>
                <w:noProof/>
                <w:sz w:val="20"/>
                <w:szCs w:val="20"/>
                <w:lang w:val="en-GB"/>
              </w:rPr>
            </w:pPr>
            <w:r w:rsidRPr="001961AA">
              <w:rPr>
                <w:rFonts w:ascii="Times New Roman" w:hAnsi="Times New Roman"/>
                <w:b/>
                <w:noProof/>
                <w:sz w:val="20"/>
                <w:lang w:val="en-GB"/>
              </w:rPr>
              <w:t>Quarter</w:t>
            </w:r>
          </w:p>
        </w:tc>
        <w:tc>
          <w:tcPr>
            <w:tcW w:w="840" w:type="dxa"/>
            <w:tcBorders>
              <w:top w:val="nil"/>
              <w:left w:val="nil"/>
              <w:bottom w:val="single" w:sz="4" w:space="0" w:color="auto"/>
              <w:right w:val="single" w:sz="4" w:space="0" w:color="auto"/>
            </w:tcBorders>
            <w:shd w:val="clear" w:color="auto" w:fill="BDD7EE"/>
            <w:vAlign w:val="center"/>
            <w:hideMark/>
          </w:tcPr>
          <w:p w14:paraId="53EFDA8F" w14:textId="77777777" w:rsidR="006A41D9" w:rsidRPr="001961AA" w:rsidRDefault="006A41D9" w:rsidP="00BD6DD1">
            <w:pPr>
              <w:spacing w:after="0"/>
              <w:jc w:val="center"/>
              <w:rPr>
                <w:rFonts w:ascii="Times New Roman" w:eastAsia="Times New Roman" w:hAnsi="Times New Roman" w:cs="Times New Roman"/>
                <w:b/>
                <w:noProof/>
                <w:sz w:val="20"/>
                <w:szCs w:val="20"/>
                <w:lang w:val="en-GB"/>
              </w:rPr>
            </w:pPr>
            <w:r w:rsidRPr="001961AA">
              <w:rPr>
                <w:rFonts w:ascii="Times New Roman" w:hAnsi="Times New Roman"/>
                <w:b/>
                <w:noProof/>
                <w:sz w:val="20"/>
                <w:lang w:val="en-GB"/>
              </w:rPr>
              <w:t>Year</w:t>
            </w:r>
          </w:p>
        </w:tc>
        <w:tc>
          <w:tcPr>
            <w:tcW w:w="4257" w:type="dxa"/>
            <w:vMerge/>
            <w:tcBorders>
              <w:top w:val="single" w:sz="4" w:space="0" w:color="auto"/>
              <w:left w:val="single" w:sz="4" w:space="0" w:color="auto"/>
              <w:bottom w:val="single" w:sz="4" w:space="0" w:color="auto"/>
              <w:right w:val="single" w:sz="4" w:space="0" w:color="auto"/>
            </w:tcBorders>
            <w:vAlign w:val="center"/>
            <w:hideMark/>
          </w:tcPr>
          <w:p w14:paraId="33A07C56" w14:textId="77777777" w:rsidR="006A41D9" w:rsidRPr="001961AA" w:rsidRDefault="006A41D9" w:rsidP="00BD6DD1">
            <w:pPr>
              <w:spacing w:after="0"/>
              <w:rPr>
                <w:rFonts w:ascii="Times New Roman" w:eastAsia="Times New Roman" w:hAnsi="Times New Roman" w:cs="Times New Roman"/>
                <w:b/>
                <w:bCs/>
                <w:noProof/>
                <w:szCs w:val="24"/>
                <w:lang w:val="en-GB" w:eastAsia="en-GB"/>
              </w:rPr>
            </w:pPr>
          </w:p>
        </w:tc>
      </w:tr>
      <w:tr w:rsidR="004868CC" w:rsidRPr="001961AA" w14:paraId="318C4163" w14:textId="77777777" w:rsidTr="00300C11">
        <w:trPr>
          <w:trHeight w:val="313"/>
        </w:trPr>
        <w:tc>
          <w:tcPr>
            <w:tcW w:w="59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DCE5EC2"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205</w:t>
            </w:r>
          </w:p>
        </w:tc>
        <w:tc>
          <w:tcPr>
            <w:tcW w:w="1680" w:type="dxa"/>
            <w:tcBorders>
              <w:top w:val="single" w:sz="4" w:space="0" w:color="auto"/>
              <w:left w:val="nil"/>
              <w:bottom w:val="single" w:sz="4" w:space="0" w:color="auto"/>
              <w:right w:val="single" w:sz="4" w:space="0" w:color="auto"/>
            </w:tcBorders>
            <w:shd w:val="clear" w:color="auto" w:fill="C6EFCE"/>
            <w:noWrap/>
            <w:vAlign w:val="center"/>
          </w:tcPr>
          <w:p w14:paraId="01161372" w14:textId="77777777" w:rsidR="006A41D9" w:rsidRPr="001961AA" w:rsidRDefault="006A41D9" w:rsidP="00BD6DD1">
            <w:pPr>
              <w:spacing w:after="0"/>
              <w:rPr>
                <w:rFonts w:ascii="Times New Roman" w:hAnsi="Times New Roman" w:cs="Times New Roman"/>
                <w:noProof/>
                <w:color w:val="006100"/>
                <w:lang w:val="en-GB"/>
              </w:rPr>
            </w:pPr>
            <w:r w:rsidRPr="001961AA">
              <w:rPr>
                <w:rFonts w:ascii="Times New Roman" w:hAnsi="Times New Roman"/>
                <w:noProof/>
                <w:color w:val="006100"/>
                <w:lang w:val="en-GB"/>
              </w:rPr>
              <w:t>Spending reviews (R-6)</w:t>
            </w:r>
          </w:p>
        </w:tc>
        <w:tc>
          <w:tcPr>
            <w:tcW w:w="1155" w:type="dxa"/>
            <w:tcBorders>
              <w:top w:val="single" w:sz="4" w:space="0" w:color="auto"/>
              <w:left w:val="nil"/>
              <w:bottom w:val="single" w:sz="4" w:space="0" w:color="auto"/>
              <w:right w:val="single" w:sz="4" w:space="0" w:color="auto"/>
            </w:tcBorders>
            <w:shd w:val="clear" w:color="auto" w:fill="C6EFCE"/>
            <w:noWrap/>
            <w:vAlign w:val="center"/>
          </w:tcPr>
          <w:p w14:paraId="46F49D28" w14:textId="3F48B47B" w:rsidR="006A41D9" w:rsidRPr="001961AA" w:rsidRDefault="006A41D9" w:rsidP="0082549E">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M</w:t>
            </w:r>
          </w:p>
        </w:tc>
        <w:tc>
          <w:tcPr>
            <w:tcW w:w="1725" w:type="dxa"/>
            <w:tcBorders>
              <w:top w:val="single" w:sz="4" w:space="0" w:color="auto"/>
              <w:left w:val="nil"/>
              <w:bottom w:val="single" w:sz="4" w:space="0" w:color="auto"/>
              <w:right w:val="single" w:sz="4" w:space="0" w:color="auto"/>
            </w:tcBorders>
            <w:shd w:val="clear" w:color="auto" w:fill="C6EFCE"/>
            <w:noWrap/>
            <w:vAlign w:val="center"/>
          </w:tcPr>
          <w:p w14:paraId="313DEFD5"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Spending review pilot or integration into budgetary process (1)</w:t>
            </w:r>
          </w:p>
        </w:tc>
        <w:tc>
          <w:tcPr>
            <w:tcW w:w="1920" w:type="dxa"/>
            <w:tcBorders>
              <w:top w:val="single" w:sz="4" w:space="0" w:color="auto"/>
              <w:left w:val="nil"/>
              <w:bottom w:val="single" w:sz="4" w:space="0" w:color="auto"/>
              <w:right w:val="single" w:sz="4" w:space="0" w:color="auto"/>
            </w:tcBorders>
            <w:shd w:val="clear" w:color="auto" w:fill="C6EFCE"/>
            <w:noWrap/>
            <w:vAlign w:val="center"/>
          </w:tcPr>
          <w:p w14:paraId="30269DB0"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Completed pilots and associated reports</w:t>
            </w:r>
          </w:p>
        </w:tc>
        <w:tc>
          <w:tcPr>
            <w:tcW w:w="1200" w:type="dxa"/>
            <w:tcBorders>
              <w:top w:val="single" w:sz="4" w:space="0" w:color="auto"/>
              <w:left w:val="nil"/>
              <w:bottom w:val="single" w:sz="4" w:space="0" w:color="auto"/>
              <w:right w:val="single" w:sz="4" w:space="0" w:color="auto"/>
            </w:tcBorders>
            <w:shd w:val="clear" w:color="auto" w:fill="C6EFCE"/>
            <w:noWrap/>
            <w:vAlign w:val="center"/>
          </w:tcPr>
          <w:p w14:paraId="547C4493" w14:textId="6340AC72"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960" w:type="dxa"/>
            <w:tcBorders>
              <w:top w:val="single" w:sz="4" w:space="0" w:color="auto"/>
              <w:left w:val="nil"/>
              <w:bottom w:val="single" w:sz="4" w:space="0" w:color="auto"/>
              <w:right w:val="single" w:sz="4" w:space="0" w:color="auto"/>
            </w:tcBorders>
            <w:shd w:val="clear" w:color="auto" w:fill="C6EFCE"/>
            <w:noWrap/>
            <w:vAlign w:val="center"/>
          </w:tcPr>
          <w:p w14:paraId="3E5F9ADD" w14:textId="4324827B" w:rsidR="006A41D9" w:rsidRPr="001961AA" w:rsidRDefault="006A41D9" w:rsidP="00487D70">
            <w:pPr>
              <w:spacing w:after="0"/>
              <w:jc w:val="center"/>
              <w:rPr>
                <w:rFonts w:ascii="Times New Roman" w:eastAsia="Times New Roman" w:hAnsi="Times New Roman" w:cs="Times New Roman"/>
                <w:noProof/>
                <w:color w:val="006100"/>
                <w:lang w:val="en-GB" w:eastAsia="en-GB"/>
              </w:rPr>
            </w:pPr>
          </w:p>
        </w:tc>
        <w:tc>
          <w:tcPr>
            <w:tcW w:w="720" w:type="dxa"/>
            <w:tcBorders>
              <w:top w:val="single" w:sz="4" w:space="0" w:color="auto"/>
              <w:left w:val="nil"/>
              <w:bottom w:val="single" w:sz="4" w:space="0" w:color="auto"/>
              <w:right w:val="single" w:sz="4" w:space="0" w:color="auto"/>
            </w:tcBorders>
            <w:shd w:val="clear" w:color="auto" w:fill="C6EFCE"/>
            <w:noWrap/>
            <w:vAlign w:val="center"/>
          </w:tcPr>
          <w:p w14:paraId="74C4D37E" w14:textId="6AAE8631" w:rsidR="006A41D9" w:rsidRPr="001961AA" w:rsidRDefault="006A41D9" w:rsidP="00BD6DD1">
            <w:pPr>
              <w:spacing w:after="0"/>
              <w:jc w:val="right"/>
              <w:rPr>
                <w:rFonts w:ascii="Times New Roman" w:eastAsia="Times New Roman" w:hAnsi="Times New Roman" w:cs="Times New Roman"/>
                <w:noProof/>
                <w:color w:val="006100"/>
                <w:lang w:val="en-GB" w:eastAsia="en-GB"/>
              </w:rPr>
            </w:pPr>
          </w:p>
        </w:tc>
        <w:tc>
          <w:tcPr>
            <w:tcW w:w="960" w:type="dxa"/>
            <w:tcBorders>
              <w:top w:val="single" w:sz="4" w:space="0" w:color="auto"/>
              <w:left w:val="nil"/>
              <w:bottom w:val="single" w:sz="4" w:space="0" w:color="auto"/>
              <w:right w:val="single" w:sz="4" w:space="0" w:color="auto"/>
            </w:tcBorders>
            <w:shd w:val="clear" w:color="auto" w:fill="C6EFCE"/>
            <w:noWrap/>
            <w:vAlign w:val="center"/>
          </w:tcPr>
          <w:p w14:paraId="3DF2865B"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Q4</w:t>
            </w:r>
          </w:p>
        </w:tc>
        <w:tc>
          <w:tcPr>
            <w:tcW w:w="840" w:type="dxa"/>
            <w:tcBorders>
              <w:top w:val="single" w:sz="4" w:space="0" w:color="auto"/>
              <w:left w:val="nil"/>
              <w:bottom w:val="single" w:sz="4" w:space="0" w:color="auto"/>
              <w:right w:val="single" w:sz="4" w:space="0" w:color="auto"/>
            </w:tcBorders>
            <w:shd w:val="clear" w:color="auto" w:fill="C6EFCE"/>
            <w:noWrap/>
            <w:vAlign w:val="center"/>
          </w:tcPr>
          <w:p w14:paraId="1C191505"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2021</w:t>
            </w:r>
          </w:p>
        </w:tc>
        <w:tc>
          <w:tcPr>
            <w:tcW w:w="425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94830FE"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For the federal, Walloon Region, and Brussels Capital Region authorities: Spending review pilot completion and drafting of report. For the Flemish Region authorities: Spending review integration into budgetary process (1): Government decisions defining how spending reviews (or similar approach) are integrated into budgetary process. The decisions define the spending review strategy and a calendar for future reviews, potentially including quantified targets. In line with the Eurogroup guidance, ensure, amongst other elements, clear scope and design of the reviews as well as transparent monitoring, reporting and evaluation.</w:t>
            </w:r>
          </w:p>
        </w:tc>
      </w:tr>
      <w:tr w:rsidR="004868CC" w:rsidRPr="001961AA" w14:paraId="28ABA4C6" w14:textId="77777777" w:rsidTr="00300C11">
        <w:trPr>
          <w:trHeight w:val="313"/>
        </w:trPr>
        <w:tc>
          <w:tcPr>
            <w:tcW w:w="596" w:type="dxa"/>
            <w:tcBorders>
              <w:top w:val="nil"/>
              <w:left w:val="single" w:sz="4" w:space="0" w:color="auto"/>
              <w:bottom w:val="single" w:sz="4" w:space="0" w:color="auto"/>
              <w:right w:val="single" w:sz="4" w:space="0" w:color="auto"/>
            </w:tcBorders>
            <w:shd w:val="clear" w:color="auto" w:fill="C6EFCE"/>
            <w:noWrap/>
            <w:vAlign w:val="center"/>
            <w:hideMark/>
          </w:tcPr>
          <w:p w14:paraId="6CB546E2"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206</w:t>
            </w:r>
          </w:p>
        </w:tc>
        <w:tc>
          <w:tcPr>
            <w:tcW w:w="1680" w:type="dxa"/>
            <w:tcBorders>
              <w:top w:val="nil"/>
              <w:left w:val="nil"/>
              <w:bottom w:val="single" w:sz="4" w:space="0" w:color="auto"/>
              <w:right w:val="single" w:sz="4" w:space="0" w:color="auto"/>
            </w:tcBorders>
            <w:shd w:val="clear" w:color="auto" w:fill="C6EFCE"/>
            <w:noWrap/>
            <w:vAlign w:val="center"/>
          </w:tcPr>
          <w:p w14:paraId="016D36BB"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Spending reviews (R-6)</w:t>
            </w:r>
          </w:p>
        </w:tc>
        <w:tc>
          <w:tcPr>
            <w:tcW w:w="1155" w:type="dxa"/>
            <w:tcBorders>
              <w:top w:val="nil"/>
              <w:left w:val="nil"/>
              <w:bottom w:val="single" w:sz="4" w:space="0" w:color="auto"/>
              <w:right w:val="single" w:sz="4" w:space="0" w:color="auto"/>
            </w:tcBorders>
            <w:shd w:val="clear" w:color="auto" w:fill="C6EFCE"/>
            <w:noWrap/>
            <w:vAlign w:val="center"/>
          </w:tcPr>
          <w:p w14:paraId="55D94354" w14:textId="445EFA04" w:rsidR="006A41D9" w:rsidRPr="001961AA" w:rsidRDefault="006A41D9" w:rsidP="0082549E">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M</w:t>
            </w:r>
          </w:p>
        </w:tc>
        <w:tc>
          <w:tcPr>
            <w:tcW w:w="1725" w:type="dxa"/>
            <w:tcBorders>
              <w:top w:val="nil"/>
              <w:left w:val="nil"/>
              <w:bottom w:val="single" w:sz="4" w:space="0" w:color="auto"/>
              <w:right w:val="single" w:sz="4" w:space="0" w:color="auto"/>
            </w:tcBorders>
            <w:shd w:val="clear" w:color="auto" w:fill="C6EFCE"/>
            <w:noWrap/>
            <w:vAlign w:val="center"/>
          </w:tcPr>
          <w:p w14:paraId="0AF8CB7B"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Spending review integration into budgetary process (1) or pilot completion</w:t>
            </w:r>
          </w:p>
        </w:tc>
        <w:tc>
          <w:tcPr>
            <w:tcW w:w="1920" w:type="dxa"/>
            <w:tcBorders>
              <w:top w:val="nil"/>
              <w:left w:val="nil"/>
              <w:bottom w:val="single" w:sz="4" w:space="0" w:color="auto"/>
              <w:right w:val="single" w:sz="4" w:space="0" w:color="auto"/>
            </w:tcBorders>
            <w:shd w:val="clear" w:color="auto" w:fill="C6EFCE"/>
            <w:noWrap/>
            <w:vAlign w:val="center"/>
          </w:tcPr>
          <w:p w14:paraId="05A2E416"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Government decision</w:t>
            </w:r>
          </w:p>
        </w:tc>
        <w:tc>
          <w:tcPr>
            <w:tcW w:w="1200" w:type="dxa"/>
            <w:tcBorders>
              <w:top w:val="nil"/>
              <w:left w:val="nil"/>
              <w:bottom w:val="single" w:sz="4" w:space="0" w:color="auto"/>
              <w:right w:val="single" w:sz="4" w:space="0" w:color="auto"/>
            </w:tcBorders>
            <w:shd w:val="clear" w:color="auto" w:fill="C6EFCE"/>
            <w:noWrap/>
            <w:vAlign w:val="center"/>
          </w:tcPr>
          <w:p w14:paraId="5514CE86" w14:textId="6933855E" w:rsidR="006A41D9" w:rsidRPr="001961AA" w:rsidRDefault="006A41D9" w:rsidP="00BD6DD1">
            <w:pPr>
              <w:spacing w:after="0"/>
              <w:rPr>
                <w:rFonts w:ascii="Times New Roman" w:eastAsia="Times New Roman" w:hAnsi="Times New Roman" w:cs="Times New Roman"/>
                <w:noProof/>
                <w:color w:val="006100"/>
                <w:lang w:val="en-GB" w:eastAsia="en-GB"/>
              </w:rPr>
            </w:pPr>
          </w:p>
        </w:tc>
        <w:tc>
          <w:tcPr>
            <w:tcW w:w="960" w:type="dxa"/>
            <w:tcBorders>
              <w:top w:val="nil"/>
              <w:left w:val="nil"/>
              <w:bottom w:val="single" w:sz="4" w:space="0" w:color="auto"/>
              <w:right w:val="single" w:sz="4" w:space="0" w:color="auto"/>
            </w:tcBorders>
            <w:shd w:val="clear" w:color="auto" w:fill="C6EFCE"/>
            <w:noWrap/>
            <w:vAlign w:val="center"/>
          </w:tcPr>
          <w:p w14:paraId="1A43BCCE" w14:textId="26B78344" w:rsidR="006A41D9" w:rsidRPr="001961AA" w:rsidRDefault="006A41D9" w:rsidP="00BD6DD1">
            <w:pPr>
              <w:spacing w:after="0"/>
              <w:jc w:val="right"/>
              <w:rPr>
                <w:rFonts w:ascii="Times New Roman" w:eastAsia="Times New Roman" w:hAnsi="Times New Roman" w:cs="Times New Roman"/>
                <w:noProof/>
                <w:color w:val="006100"/>
                <w:lang w:val="en-GB" w:eastAsia="en-GB"/>
              </w:rPr>
            </w:pPr>
          </w:p>
        </w:tc>
        <w:tc>
          <w:tcPr>
            <w:tcW w:w="720" w:type="dxa"/>
            <w:tcBorders>
              <w:top w:val="nil"/>
              <w:left w:val="nil"/>
              <w:bottom w:val="single" w:sz="4" w:space="0" w:color="auto"/>
              <w:right w:val="single" w:sz="4" w:space="0" w:color="auto"/>
            </w:tcBorders>
            <w:shd w:val="clear" w:color="auto" w:fill="C6EFCE"/>
            <w:noWrap/>
            <w:vAlign w:val="center"/>
          </w:tcPr>
          <w:p w14:paraId="33AEE14F" w14:textId="6E7C0422" w:rsidR="006A41D9" w:rsidRPr="001961AA" w:rsidRDefault="006A41D9" w:rsidP="00BD6DD1">
            <w:pPr>
              <w:spacing w:after="0"/>
              <w:jc w:val="right"/>
              <w:rPr>
                <w:rFonts w:ascii="Times New Roman" w:eastAsia="Times New Roman" w:hAnsi="Times New Roman" w:cs="Times New Roman"/>
                <w:noProof/>
                <w:color w:val="006100"/>
                <w:lang w:val="en-GB" w:eastAsia="en-GB"/>
              </w:rPr>
            </w:pPr>
          </w:p>
        </w:tc>
        <w:tc>
          <w:tcPr>
            <w:tcW w:w="960" w:type="dxa"/>
            <w:tcBorders>
              <w:top w:val="nil"/>
              <w:left w:val="nil"/>
              <w:bottom w:val="single" w:sz="4" w:space="0" w:color="auto"/>
              <w:right w:val="single" w:sz="4" w:space="0" w:color="auto"/>
            </w:tcBorders>
            <w:shd w:val="clear" w:color="auto" w:fill="C6EFCE"/>
            <w:noWrap/>
            <w:vAlign w:val="center"/>
          </w:tcPr>
          <w:p w14:paraId="57066F8F"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Q4</w:t>
            </w:r>
          </w:p>
        </w:tc>
        <w:tc>
          <w:tcPr>
            <w:tcW w:w="840" w:type="dxa"/>
            <w:tcBorders>
              <w:top w:val="nil"/>
              <w:left w:val="nil"/>
              <w:bottom w:val="single" w:sz="4" w:space="0" w:color="auto"/>
              <w:right w:val="single" w:sz="4" w:space="0" w:color="auto"/>
            </w:tcBorders>
            <w:shd w:val="clear" w:color="auto" w:fill="C6EFCE"/>
            <w:noWrap/>
            <w:vAlign w:val="center"/>
          </w:tcPr>
          <w:p w14:paraId="2CF2B550"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2022</w:t>
            </w:r>
          </w:p>
        </w:tc>
        <w:tc>
          <w:tcPr>
            <w:tcW w:w="4257" w:type="dxa"/>
            <w:tcBorders>
              <w:top w:val="nil"/>
              <w:left w:val="single" w:sz="4" w:space="0" w:color="auto"/>
              <w:bottom w:val="single" w:sz="4" w:space="0" w:color="auto"/>
              <w:right w:val="single" w:sz="4" w:space="0" w:color="auto"/>
            </w:tcBorders>
            <w:shd w:val="clear" w:color="auto" w:fill="C6EFCE"/>
            <w:noWrap/>
            <w:vAlign w:val="center"/>
          </w:tcPr>
          <w:p w14:paraId="76229B45"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For the federal, Walloon Region, and Brussels Capital Region authorities: Spending review integration into budgetary process (1): Government decisions defining how spending reviews (or similar approach) are integrated into budgetary process. The decisions define the spending review strategy and a calendar for future reviews, potentially including quantified targets. In line with the Eurogroup guidance, ensure, amongst other elements, clear scope and design of the reviews as well as transparent monitoring, reporting and evaluation. For the French Community authorities: Spending review pilot completion and report redaction.</w:t>
            </w:r>
          </w:p>
        </w:tc>
      </w:tr>
      <w:tr w:rsidR="004868CC" w:rsidRPr="001961AA" w14:paraId="2836C8FC" w14:textId="77777777" w:rsidTr="00300C11">
        <w:trPr>
          <w:trHeight w:val="1591"/>
        </w:trPr>
        <w:tc>
          <w:tcPr>
            <w:tcW w:w="596" w:type="dxa"/>
            <w:tcBorders>
              <w:top w:val="nil"/>
              <w:left w:val="single" w:sz="4" w:space="0" w:color="auto"/>
              <w:bottom w:val="single" w:sz="4" w:space="0" w:color="auto"/>
              <w:right w:val="single" w:sz="4" w:space="0" w:color="auto"/>
            </w:tcBorders>
            <w:shd w:val="clear" w:color="auto" w:fill="C6EFCE"/>
            <w:noWrap/>
            <w:vAlign w:val="center"/>
            <w:hideMark/>
          </w:tcPr>
          <w:p w14:paraId="5BDCF966"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207</w:t>
            </w:r>
          </w:p>
        </w:tc>
        <w:tc>
          <w:tcPr>
            <w:tcW w:w="1680" w:type="dxa"/>
            <w:tcBorders>
              <w:top w:val="nil"/>
              <w:left w:val="nil"/>
              <w:bottom w:val="single" w:sz="4" w:space="0" w:color="auto"/>
              <w:right w:val="single" w:sz="4" w:space="0" w:color="auto"/>
            </w:tcBorders>
            <w:shd w:val="clear" w:color="auto" w:fill="C6EFCE"/>
            <w:noWrap/>
            <w:vAlign w:val="center"/>
          </w:tcPr>
          <w:p w14:paraId="4758A41B"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Spending reviews (R-6)</w:t>
            </w:r>
          </w:p>
        </w:tc>
        <w:tc>
          <w:tcPr>
            <w:tcW w:w="1155" w:type="dxa"/>
            <w:tcBorders>
              <w:top w:val="nil"/>
              <w:left w:val="nil"/>
              <w:bottom w:val="single" w:sz="4" w:space="0" w:color="auto"/>
              <w:right w:val="single" w:sz="4" w:space="0" w:color="auto"/>
            </w:tcBorders>
            <w:shd w:val="clear" w:color="auto" w:fill="C6EFCE"/>
            <w:noWrap/>
            <w:vAlign w:val="center"/>
          </w:tcPr>
          <w:p w14:paraId="2E9C88C9" w14:textId="0AAA3ABB" w:rsidR="006A41D9" w:rsidRPr="001961AA" w:rsidRDefault="006A41D9" w:rsidP="0082549E">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M</w:t>
            </w:r>
          </w:p>
        </w:tc>
        <w:tc>
          <w:tcPr>
            <w:tcW w:w="1725" w:type="dxa"/>
            <w:tcBorders>
              <w:top w:val="nil"/>
              <w:left w:val="nil"/>
              <w:bottom w:val="single" w:sz="4" w:space="0" w:color="auto"/>
              <w:right w:val="single" w:sz="4" w:space="0" w:color="auto"/>
            </w:tcBorders>
            <w:shd w:val="clear" w:color="auto" w:fill="C6EFCE"/>
            <w:noWrap/>
            <w:vAlign w:val="center"/>
          </w:tcPr>
          <w:p w14:paraId="46384CDA"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Spending review integration into budgetary process (1) or (2)</w:t>
            </w:r>
          </w:p>
        </w:tc>
        <w:tc>
          <w:tcPr>
            <w:tcW w:w="1920" w:type="dxa"/>
            <w:tcBorders>
              <w:top w:val="nil"/>
              <w:left w:val="nil"/>
              <w:bottom w:val="single" w:sz="4" w:space="0" w:color="auto"/>
              <w:right w:val="single" w:sz="4" w:space="0" w:color="auto"/>
            </w:tcBorders>
            <w:shd w:val="clear" w:color="auto" w:fill="C6EFCE"/>
            <w:noWrap/>
            <w:vAlign w:val="center"/>
          </w:tcPr>
          <w:p w14:paraId="78E92C1F"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Government decision</w:t>
            </w:r>
          </w:p>
        </w:tc>
        <w:tc>
          <w:tcPr>
            <w:tcW w:w="1200" w:type="dxa"/>
            <w:tcBorders>
              <w:top w:val="nil"/>
              <w:left w:val="nil"/>
              <w:bottom w:val="single" w:sz="4" w:space="0" w:color="auto"/>
              <w:right w:val="single" w:sz="4" w:space="0" w:color="auto"/>
            </w:tcBorders>
            <w:shd w:val="clear" w:color="auto" w:fill="C6EFCE"/>
            <w:noWrap/>
            <w:vAlign w:val="center"/>
          </w:tcPr>
          <w:p w14:paraId="244E94CE"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 xml:space="preserve"> </w:t>
            </w:r>
          </w:p>
        </w:tc>
        <w:tc>
          <w:tcPr>
            <w:tcW w:w="960" w:type="dxa"/>
            <w:tcBorders>
              <w:top w:val="nil"/>
              <w:left w:val="nil"/>
              <w:bottom w:val="single" w:sz="4" w:space="0" w:color="auto"/>
              <w:right w:val="single" w:sz="4" w:space="0" w:color="auto"/>
            </w:tcBorders>
            <w:shd w:val="clear" w:color="auto" w:fill="C6EFCE"/>
            <w:noWrap/>
            <w:vAlign w:val="center"/>
          </w:tcPr>
          <w:p w14:paraId="75AF59E8"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 xml:space="preserve"> </w:t>
            </w:r>
          </w:p>
        </w:tc>
        <w:tc>
          <w:tcPr>
            <w:tcW w:w="720" w:type="dxa"/>
            <w:tcBorders>
              <w:top w:val="nil"/>
              <w:left w:val="nil"/>
              <w:bottom w:val="single" w:sz="4" w:space="0" w:color="auto"/>
              <w:right w:val="single" w:sz="4" w:space="0" w:color="auto"/>
            </w:tcBorders>
            <w:shd w:val="clear" w:color="auto" w:fill="C6EFCE"/>
            <w:noWrap/>
            <w:vAlign w:val="center"/>
          </w:tcPr>
          <w:p w14:paraId="63190686"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 xml:space="preserve"> </w:t>
            </w:r>
          </w:p>
        </w:tc>
        <w:tc>
          <w:tcPr>
            <w:tcW w:w="960" w:type="dxa"/>
            <w:tcBorders>
              <w:top w:val="nil"/>
              <w:left w:val="nil"/>
              <w:bottom w:val="single" w:sz="4" w:space="0" w:color="auto"/>
              <w:right w:val="single" w:sz="4" w:space="0" w:color="auto"/>
            </w:tcBorders>
            <w:shd w:val="clear" w:color="auto" w:fill="C6EFCE"/>
            <w:noWrap/>
            <w:vAlign w:val="center"/>
          </w:tcPr>
          <w:p w14:paraId="521C3C96"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Q4</w:t>
            </w:r>
          </w:p>
        </w:tc>
        <w:tc>
          <w:tcPr>
            <w:tcW w:w="840" w:type="dxa"/>
            <w:tcBorders>
              <w:top w:val="nil"/>
              <w:left w:val="nil"/>
              <w:bottom w:val="single" w:sz="4" w:space="0" w:color="auto"/>
              <w:right w:val="single" w:sz="4" w:space="0" w:color="auto"/>
            </w:tcBorders>
            <w:shd w:val="clear" w:color="auto" w:fill="C6EFCE"/>
            <w:noWrap/>
            <w:vAlign w:val="center"/>
          </w:tcPr>
          <w:p w14:paraId="204D34A4"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2023</w:t>
            </w:r>
          </w:p>
        </w:tc>
        <w:tc>
          <w:tcPr>
            <w:tcW w:w="4257" w:type="dxa"/>
            <w:tcBorders>
              <w:top w:val="nil"/>
              <w:left w:val="single" w:sz="4" w:space="0" w:color="auto"/>
              <w:bottom w:val="single" w:sz="4" w:space="0" w:color="auto"/>
              <w:right w:val="single" w:sz="4" w:space="0" w:color="auto"/>
            </w:tcBorders>
            <w:shd w:val="clear" w:color="auto" w:fill="C6EFCE"/>
            <w:noWrap/>
            <w:vAlign w:val="center"/>
          </w:tcPr>
          <w:p w14:paraId="4CE92B81"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 xml:space="preserve">For the French Community authorities: Spending review integration into budgetary process (1): Government decisions defining how spending reviews (or similar approach) are integrated into budgetary process. The decisions define the spending review strategy and a calendar for future reviews, potentially including quantified targets. In line with the Eurogroup guidance, ensure, amongst other elements, clear scope and design of the reviews as well as transparent monitoring, reporting and evaluation. For the federal, Flemish Region, Walloon Region, Brussels Capital-Region, and French Community authorities: Spending review integration into budgetary process (2): Systematic inclusion of the outcome of spending reviews into annual and multiannual budget planning as of the preparation of the budgetary law for 2024. This shall include, among others, the quantification ex-post of the outcomes, including savings, associated to the spending review programme. </w:t>
            </w:r>
          </w:p>
        </w:tc>
      </w:tr>
      <w:tr w:rsidR="004868CC" w:rsidRPr="001961AA" w14:paraId="7E69490E" w14:textId="77777777" w:rsidTr="00300C11">
        <w:trPr>
          <w:trHeight w:val="313"/>
        </w:trPr>
        <w:tc>
          <w:tcPr>
            <w:tcW w:w="596" w:type="dxa"/>
            <w:tcBorders>
              <w:top w:val="nil"/>
              <w:left w:val="single" w:sz="4" w:space="0" w:color="auto"/>
              <w:bottom w:val="single" w:sz="4" w:space="0" w:color="auto"/>
              <w:right w:val="single" w:sz="4" w:space="0" w:color="auto"/>
            </w:tcBorders>
            <w:shd w:val="clear" w:color="auto" w:fill="C6EFCE"/>
            <w:noWrap/>
            <w:vAlign w:val="center"/>
            <w:hideMark/>
          </w:tcPr>
          <w:p w14:paraId="58C92C35"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208</w:t>
            </w:r>
          </w:p>
        </w:tc>
        <w:tc>
          <w:tcPr>
            <w:tcW w:w="1680" w:type="dxa"/>
            <w:tcBorders>
              <w:top w:val="nil"/>
              <w:left w:val="nil"/>
              <w:bottom w:val="single" w:sz="4" w:space="0" w:color="auto"/>
              <w:right w:val="single" w:sz="4" w:space="0" w:color="auto"/>
            </w:tcBorders>
            <w:shd w:val="clear" w:color="auto" w:fill="C6EFCE"/>
            <w:noWrap/>
            <w:vAlign w:val="center"/>
          </w:tcPr>
          <w:p w14:paraId="38B1E417"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Spending reviews (R-6)</w:t>
            </w:r>
          </w:p>
        </w:tc>
        <w:tc>
          <w:tcPr>
            <w:tcW w:w="1155" w:type="dxa"/>
            <w:tcBorders>
              <w:top w:val="nil"/>
              <w:left w:val="nil"/>
              <w:bottom w:val="single" w:sz="4" w:space="0" w:color="auto"/>
              <w:right w:val="single" w:sz="4" w:space="0" w:color="auto"/>
            </w:tcBorders>
            <w:shd w:val="clear" w:color="auto" w:fill="C6EFCE"/>
            <w:noWrap/>
            <w:vAlign w:val="center"/>
          </w:tcPr>
          <w:p w14:paraId="1B882358" w14:textId="3F9BD227" w:rsidR="006A41D9" w:rsidRPr="001961AA" w:rsidRDefault="006A41D9" w:rsidP="0082549E">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M</w:t>
            </w:r>
          </w:p>
        </w:tc>
        <w:tc>
          <w:tcPr>
            <w:tcW w:w="1725" w:type="dxa"/>
            <w:tcBorders>
              <w:top w:val="nil"/>
              <w:left w:val="nil"/>
              <w:bottom w:val="single" w:sz="4" w:space="0" w:color="auto"/>
              <w:right w:val="single" w:sz="4" w:space="0" w:color="auto"/>
            </w:tcBorders>
            <w:shd w:val="clear" w:color="auto" w:fill="C6EFCE"/>
            <w:noWrap/>
            <w:vAlign w:val="center"/>
          </w:tcPr>
          <w:p w14:paraId="50C0AA67"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Spending review ex-post analysis</w:t>
            </w:r>
          </w:p>
        </w:tc>
        <w:tc>
          <w:tcPr>
            <w:tcW w:w="1920" w:type="dxa"/>
            <w:tcBorders>
              <w:top w:val="nil"/>
              <w:left w:val="nil"/>
              <w:bottom w:val="single" w:sz="4" w:space="0" w:color="auto"/>
              <w:right w:val="single" w:sz="4" w:space="0" w:color="auto"/>
            </w:tcBorders>
            <w:shd w:val="clear" w:color="auto" w:fill="C6EFCE"/>
            <w:noWrap/>
            <w:vAlign w:val="center"/>
          </w:tcPr>
          <w:p w14:paraId="0A561D8B"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Assessment report</w:t>
            </w:r>
          </w:p>
        </w:tc>
        <w:tc>
          <w:tcPr>
            <w:tcW w:w="1200" w:type="dxa"/>
            <w:tcBorders>
              <w:top w:val="nil"/>
              <w:left w:val="nil"/>
              <w:bottom w:val="single" w:sz="4" w:space="0" w:color="auto"/>
              <w:right w:val="single" w:sz="4" w:space="0" w:color="auto"/>
            </w:tcBorders>
            <w:shd w:val="clear" w:color="auto" w:fill="C6EFCE"/>
            <w:noWrap/>
            <w:vAlign w:val="center"/>
          </w:tcPr>
          <w:p w14:paraId="24B81518"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 xml:space="preserve"> </w:t>
            </w:r>
          </w:p>
        </w:tc>
        <w:tc>
          <w:tcPr>
            <w:tcW w:w="960" w:type="dxa"/>
            <w:tcBorders>
              <w:top w:val="nil"/>
              <w:left w:val="nil"/>
              <w:bottom w:val="single" w:sz="4" w:space="0" w:color="auto"/>
              <w:right w:val="single" w:sz="4" w:space="0" w:color="auto"/>
            </w:tcBorders>
            <w:shd w:val="clear" w:color="auto" w:fill="C6EFCE"/>
            <w:noWrap/>
            <w:vAlign w:val="center"/>
          </w:tcPr>
          <w:p w14:paraId="450E0B04"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 xml:space="preserve"> </w:t>
            </w:r>
          </w:p>
        </w:tc>
        <w:tc>
          <w:tcPr>
            <w:tcW w:w="720" w:type="dxa"/>
            <w:tcBorders>
              <w:top w:val="nil"/>
              <w:left w:val="nil"/>
              <w:bottom w:val="single" w:sz="4" w:space="0" w:color="auto"/>
              <w:right w:val="single" w:sz="4" w:space="0" w:color="auto"/>
            </w:tcBorders>
            <w:shd w:val="clear" w:color="auto" w:fill="C6EFCE"/>
            <w:noWrap/>
            <w:vAlign w:val="center"/>
          </w:tcPr>
          <w:p w14:paraId="46C9755D"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 xml:space="preserve"> </w:t>
            </w:r>
          </w:p>
        </w:tc>
        <w:tc>
          <w:tcPr>
            <w:tcW w:w="960" w:type="dxa"/>
            <w:tcBorders>
              <w:top w:val="nil"/>
              <w:left w:val="nil"/>
              <w:bottom w:val="single" w:sz="4" w:space="0" w:color="auto"/>
              <w:right w:val="single" w:sz="4" w:space="0" w:color="auto"/>
            </w:tcBorders>
            <w:shd w:val="clear" w:color="auto" w:fill="C6EFCE"/>
            <w:noWrap/>
            <w:vAlign w:val="center"/>
          </w:tcPr>
          <w:p w14:paraId="39A8539E"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Q4</w:t>
            </w:r>
          </w:p>
        </w:tc>
        <w:tc>
          <w:tcPr>
            <w:tcW w:w="840" w:type="dxa"/>
            <w:tcBorders>
              <w:top w:val="nil"/>
              <w:left w:val="nil"/>
              <w:bottom w:val="single" w:sz="4" w:space="0" w:color="auto"/>
              <w:right w:val="single" w:sz="4" w:space="0" w:color="auto"/>
            </w:tcBorders>
            <w:shd w:val="clear" w:color="auto" w:fill="C6EFCE"/>
            <w:noWrap/>
            <w:vAlign w:val="center"/>
          </w:tcPr>
          <w:p w14:paraId="099C9E48"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2024</w:t>
            </w:r>
          </w:p>
        </w:tc>
        <w:tc>
          <w:tcPr>
            <w:tcW w:w="4257" w:type="dxa"/>
            <w:tcBorders>
              <w:top w:val="nil"/>
              <w:left w:val="single" w:sz="4" w:space="0" w:color="auto"/>
              <w:bottom w:val="single" w:sz="4" w:space="0" w:color="auto"/>
              <w:right w:val="single" w:sz="4" w:space="0" w:color="auto"/>
            </w:tcBorders>
            <w:shd w:val="clear" w:color="auto" w:fill="C6EFCE"/>
            <w:noWrap/>
            <w:vAlign w:val="center"/>
          </w:tcPr>
          <w:p w14:paraId="5870E761"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For the federal, Flemish Region, Walloon Region, Brussels-Capital Region, and French Community authorities: Spending review ex-post analysis: Publication of assessment report of spending reviews.</w:t>
            </w:r>
          </w:p>
        </w:tc>
      </w:tr>
    </w:tbl>
    <w:p w14:paraId="28248F9B" w14:textId="77777777" w:rsidR="006A41D9" w:rsidRPr="001961AA" w:rsidRDefault="006A41D9" w:rsidP="00BD6DD1">
      <w:pPr>
        <w:pStyle w:val="Text1"/>
        <w:ind w:left="709"/>
        <w:rPr>
          <w:noProof/>
          <w:lang w:val="en-GB"/>
        </w:rPr>
        <w:sectPr w:rsidR="006A41D9" w:rsidRPr="001961AA" w:rsidSect="007F56C3">
          <w:headerReference w:type="even" r:id="rId240"/>
          <w:headerReference w:type="default" r:id="rId241"/>
          <w:footerReference w:type="even" r:id="rId242"/>
          <w:footerReference w:type="default" r:id="rId243"/>
          <w:headerReference w:type="first" r:id="rId244"/>
          <w:footerReference w:type="first" r:id="rId245"/>
          <w:pgSz w:w="16839" w:h="11907" w:orient="landscape"/>
          <w:pgMar w:top="1134" w:right="1134" w:bottom="1134" w:left="1134" w:header="567" w:footer="567" w:gutter="0"/>
          <w:cols w:space="720"/>
          <w:docGrid w:linePitch="360"/>
        </w:sectPr>
      </w:pPr>
    </w:p>
    <w:p w14:paraId="5F350C70" w14:textId="77777777" w:rsidR="006A41D9" w:rsidRPr="001961AA" w:rsidRDefault="006A41D9" w:rsidP="00BD6DD1">
      <w:pPr>
        <w:pStyle w:val="Jalonsetcibles"/>
        <w:spacing w:before="120" w:after="120" w:line="240" w:lineRule="auto"/>
        <w:rPr>
          <w:caps/>
          <w:noProof/>
          <w:color w:val="auto"/>
          <w:sz w:val="24"/>
          <w:szCs w:val="24"/>
          <w:lang w:val="en-GB"/>
        </w:rPr>
      </w:pPr>
      <w:r w:rsidRPr="001961AA">
        <w:rPr>
          <w:caps/>
          <w:noProof/>
          <w:color w:val="auto"/>
          <w:sz w:val="24"/>
          <w:lang w:val="en-GB"/>
        </w:rPr>
        <w:t>REPowerEU Chapter</w:t>
      </w:r>
    </w:p>
    <w:p w14:paraId="112B0B91" w14:textId="1E0DB633" w:rsidR="006A41D9" w:rsidRPr="001961AA" w:rsidRDefault="00CA5AB7" w:rsidP="00BB70A9">
      <w:pPr>
        <w:pStyle w:val="ManualHeading1"/>
        <w:spacing w:before="120"/>
        <w:ind w:left="0" w:hanging="130"/>
        <w:rPr>
          <w:noProof/>
          <w:szCs w:val="24"/>
          <w:lang w:val="en-GB"/>
        </w:rPr>
      </w:pPr>
      <w:r w:rsidRPr="001961AA">
        <w:rPr>
          <w:noProof/>
          <w:lang w:val="en-GB"/>
        </w:rPr>
        <w:t xml:space="preserve">R. </w:t>
      </w:r>
      <w:r w:rsidRPr="001961AA">
        <w:rPr>
          <w:caps/>
          <w:smallCaps w:val="0"/>
          <w:noProof/>
          <w:lang w:val="en-GB"/>
        </w:rPr>
        <w:t>COMPONENT</w:t>
      </w:r>
      <w:r w:rsidRPr="001961AA">
        <w:rPr>
          <w:noProof/>
          <w:lang w:val="en-GB"/>
        </w:rPr>
        <w:t xml:space="preserve"> 7.1: Renovation of buildings</w:t>
      </w:r>
    </w:p>
    <w:p w14:paraId="3B677C36" w14:textId="77777777" w:rsidR="006A41D9" w:rsidRPr="001961AA" w:rsidRDefault="006A41D9" w:rsidP="00BD6DD1">
      <w:pPr>
        <w:pStyle w:val="Text1"/>
        <w:ind w:left="0"/>
        <w:rPr>
          <w:noProof/>
          <w:lang w:val="en-GB"/>
        </w:rPr>
      </w:pPr>
      <w:r w:rsidRPr="001961AA">
        <w:rPr>
          <w:noProof/>
          <w:lang w:val="en-GB"/>
        </w:rPr>
        <w:t xml:space="preserve">The REPowerEU chapter addresses the challenge of reducing reliance on fossil fuels and boost energy efficiency. The objective of this component of the REPowerEU chapter of the Belgian recovery and resilience plan is to renovate the existing building stock and make it more energy and resource efficient. The component is focused on the renovation of private and public buildings, including social infrastructure and residential housing, and more generally the less performing buildings in terms of energy efficiency. Therefore, this component contributes to reducing greenhouse gas emissions and fostering growth in sustainable construction, as well as social resilience through the reduction of energy bills. </w:t>
      </w:r>
    </w:p>
    <w:p w14:paraId="0C1508D9" w14:textId="77777777" w:rsidR="006A41D9" w:rsidRPr="001961AA" w:rsidRDefault="006A41D9" w:rsidP="00BD6DD1">
      <w:pPr>
        <w:pStyle w:val="Text1"/>
        <w:ind w:left="0"/>
        <w:rPr>
          <w:noProof/>
          <w:lang w:val="en-GB"/>
        </w:rPr>
      </w:pPr>
      <w:r w:rsidRPr="001961AA">
        <w:rPr>
          <w:noProof/>
          <w:lang w:val="en-GB"/>
        </w:rPr>
        <w:t xml:space="preserve">The component contributes to addressing Country Specific Recommendations 2022.4 and 2023.4, calling on Belgium to </w:t>
      </w:r>
      <w:r w:rsidRPr="001961AA">
        <w:rPr>
          <w:i/>
          <w:noProof/>
          <w:lang w:val="en-GB"/>
        </w:rPr>
        <w:t>reduce overall reliance on fossil fuels by stepping up energy efficiency improvements and the reduction of fossil fuel use in buildings</w:t>
      </w:r>
      <w:r w:rsidRPr="001961AA">
        <w:rPr>
          <w:noProof/>
          <w:lang w:val="en-GB"/>
        </w:rPr>
        <w:t>.</w:t>
      </w:r>
    </w:p>
    <w:p w14:paraId="1E012F85" w14:textId="77777777" w:rsidR="006A41D9" w:rsidRPr="001961AA" w:rsidRDefault="006A41D9" w:rsidP="00BD6DD1">
      <w:pPr>
        <w:spacing w:before="120" w:after="120" w:line="240" w:lineRule="auto"/>
        <w:jc w:val="both"/>
        <w:rPr>
          <w:rFonts w:ascii="Times New Roman" w:hAnsi="Times New Roman" w:cs="Times New Roman"/>
          <w:noProof/>
          <w:sz w:val="24"/>
          <w:szCs w:val="24"/>
          <w:lang w:val="en-GB"/>
        </w:rPr>
      </w:pPr>
      <w:r w:rsidRPr="001961AA">
        <w:rPr>
          <w:rFonts w:ascii="Times New Roman" w:hAnsi="Times New Roman"/>
          <w:noProof/>
          <w:sz w:val="24"/>
          <w:lang w:val="en-GB"/>
        </w:rPr>
        <w:t>It is expected that no measure in this component does significant harm to environmental objectives within the meaning of Article 17 of Regulation (EU) 2020/852, taking into account the description of the measures and the mitigating steps set out in the recovery and resilience plan in accordance with the DNSH Technical Guidance (2021/C58/01).</w:t>
      </w:r>
    </w:p>
    <w:p w14:paraId="2E88CE1F" w14:textId="72CB6EC8" w:rsidR="006A41D9" w:rsidRPr="001961AA" w:rsidRDefault="00CA5AB7" w:rsidP="00143925">
      <w:pPr>
        <w:spacing w:before="120" w:after="120" w:line="240" w:lineRule="auto"/>
        <w:jc w:val="both"/>
        <w:rPr>
          <w:rFonts w:ascii="Times New Roman" w:hAnsi="Times New Roman" w:cs="Times New Roman"/>
          <w:b/>
          <w:noProof/>
          <w:sz w:val="24"/>
          <w:szCs w:val="24"/>
          <w:u w:val="single"/>
          <w:lang w:val="en-GB"/>
        </w:rPr>
      </w:pPr>
      <w:r w:rsidRPr="001961AA">
        <w:rPr>
          <w:rFonts w:ascii="Times New Roman" w:hAnsi="Times New Roman"/>
          <w:b/>
          <w:noProof/>
          <w:sz w:val="24"/>
          <w:u w:val="single"/>
          <w:lang w:val="en-GB"/>
        </w:rPr>
        <w:t xml:space="preserve">R.1. </w:t>
      </w:r>
      <w:r w:rsidRPr="001961AA">
        <w:rPr>
          <w:noProof/>
          <w:lang w:val="en-GB"/>
        </w:rPr>
        <w:tab/>
      </w:r>
      <w:r w:rsidRPr="001961AA">
        <w:rPr>
          <w:rFonts w:ascii="Times New Roman" w:hAnsi="Times New Roman"/>
          <w:b/>
          <w:noProof/>
          <w:sz w:val="24"/>
          <w:u w:val="single"/>
          <w:lang w:val="en-GB"/>
        </w:rPr>
        <w:t>Description of the reforms and investments for non-repayable financial support</w:t>
      </w:r>
    </w:p>
    <w:p w14:paraId="515835B4" w14:textId="77777777" w:rsidR="006A41D9" w:rsidRPr="001961AA" w:rsidRDefault="006A41D9" w:rsidP="00BD6DD1">
      <w:pPr>
        <w:pStyle w:val="Jalonsetcibles"/>
        <w:spacing w:before="120" w:after="120" w:line="240" w:lineRule="auto"/>
        <w:jc w:val="both"/>
        <w:rPr>
          <w:b w:val="0"/>
          <w:noProof/>
          <w:color w:val="auto"/>
          <w:sz w:val="24"/>
          <w:szCs w:val="24"/>
          <w:u w:val="single"/>
          <w:lang w:val="en-GB"/>
        </w:rPr>
      </w:pPr>
      <w:r w:rsidRPr="001961AA">
        <w:rPr>
          <w:b w:val="0"/>
          <w:noProof/>
          <w:color w:val="auto"/>
          <w:sz w:val="24"/>
          <w:u w:val="single"/>
          <w:lang w:val="en-GB"/>
        </w:rPr>
        <w:t>Reform R-7.01: ‘Revision of the code on air, climate and energy’ of the Brussels-Capital Region</w:t>
      </w:r>
    </w:p>
    <w:p w14:paraId="6A3E65F0" w14:textId="77777777" w:rsidR="00ED1312" w:rsidRPr="001961AA" w:rsidRDefault="00ED1312" w:rsidP="00ED1312">
      <w:pPr>
        <w:pStyle w:val="Jalonsetcibles"/>
        <w:spacing w:before="120" w:after="120" w:line="240" w:lineRule="auto"/>
        <w:jc w:val="both"/>
        <w:rPr>
          <w:b w:val="0"/>
          <w:noProof/>
          <w:color w:val="auto"/>
          <w:sz w:val="24"/>
          <w:szCs w:val="24"/>
          <w:lang w:val="en-GB"/>
        </w:rPr>
      </w:pPr>
      <w:r w:rsidRPr="001961AA">
        <w:rPr>
          <w:b w:val="0"/>
          <w:noProof/>
          <w:color w:val="auto"/>
          <w:sz w:val="24"/>
          <w:lang w:val="en-GB"/>
        </w:rPr>
        <w:t xml:space="preserve">This reform consists in amending the Brussels code on air, climate and energy (COBRACE), introducing new obligations on the renovation of buildings and new buildings. An Energy Performance of Buildings (EPB) certificate shall be required for all residential and non-residential EPB units. For residential building stock, any EPB unit shall have to undergo renovation work in order to meet the following primary energy consumption requirements: EPB units of the residential building stock must at least correspond to a primary energy consumption level of less than 275 kWh/m²/year (limit of class E) within 10 years or by 2033 at the latest, and less than 150 kWh/m²/year (limit of class C) for the requirements to be achieved within 20 years. </w:t>
      </w:r>
    </w:p>
    <w:p w14:paraId="76D99C8C" w14:textId="77777777" w:rsidR="00ED1312" w:rsidRPr="001961AA" w:rsidRDefault="00ED1312" w:rsidP="00ED1312">
      <w:pPr>
        <w:pStyle w:val="Jalonsetcibles"/>
        <w:spacing w:before="120" w:after="120" w:line="240" w:lineRule="auto"/>
        <w:jc w:val="both"/>
        <w:rPr>
          <w:b w:val="0"/>
          <w:noProof/>
          <w:color w:val="auto"/>
          <w:sz w:val="24"/>
          <w:szCs w:val="24"/>
          <w:lang w:val="en-GB"/>
        </w:rPr>
      </w:pPr>
      <w:r w:rsidRPr="001961AA">
        <w:rPr>
          <w:b w:val="0"/>
          <w:noProof/>
          <w:color w:val="auto"/>
          <w:sz w:val="24"/>
          <w:lang w:val="en-GB"/>
        </w:rPr>
        <w:t xml:space="preserve">As from 1 January 2025, all new buildings shall have only heating systems for which heat generators meet the eco-design requirements of Directive 2009/125/EC and produce heat only from electricity and/or energy from renewable sources and/or are connected to an efficient district heating system. Secondly, as from 2027, any new construction owned, occupied or intended to be occupied by a public authority shall meet the ‘zero-emission’ objective and be equipped with an installation for the production of energy from solar energy. Thirdly, as from 2030, the zero-emission objective shall have to be achieved by any new construction. </w:t>
      </w:r>
    </w:p>
    <w:p w14:paraId="1557AA70" w14:textId="77777777" w:rsidR="00ED1312" w:rsidRPr="001961AA" w:rsidRDefault="00ED1312" w:rsidP="00ED1312">
      <w:pPr>
        <w:pStyle w:val="pf1"/>
        <w:jc w:val="both"/>
        <w:rPr>
          <w:noProof/>
          <w:lang w:val="en-GB"/>
        </w:rPr>
      </w:pPr>
      <w:r w:rsidRPr="001961AA">
        <w:rPr>
          <w:noProof/>
          <w:lang w:val="en-GB"/>
        </w:rPr>
        <w:t xml:space="preserve">The transition period for the implementation of the reform shall start on 30 June 2024 with the entry into force of the eco-design requirements for heating systems as of 1 January 2025. </w:t>
      </w:r>
    </w:p>
    <w:p w14:paraId="5F323CAA" w14:textId="77777777" w:rsidR="00ED1312" w:rsidRPr="001961AA" w:rsidRDefault="00ED1312" w:rsidP="00ED1312">
      <w:pPr>
        <w:rPr>
          <w:rFonts w:ascii="Times New Roman" w:hAnsi="Times New Roman" w:cs="Times New Roman"/>
          <w:noProof/>
          <w:sz w:val="24"/>
          <w:szCs w:val="24"/>
          <w:lang w:val="en-GB"/>
        </w:rPr>
      </w:pPr>
      <w:r w:rsidRPr="001961AA">
        <w:rPr>
          <w:rFonts w:ascii="Times New Roman" w:hAnsi="Times New Roman"/>
          <w:noProof/>
          <w:sz w:val="24"/>
          <w:lang w:val="en-GB"/>
        </w:rPr>
        <w:t xml:space="preserve">The </w:t>
      </w:r>
      <w:r w:rsidRPr="001961AA">
        <w:rPr>
          <w:rFonts w:ascii="Times New Roman" w:hAnsi="Times New Roman"/>
          <w:noProof/>
          <w:color w:val="000000" w:themeColor="text1"/>
          <w:sz w:val="24"/>
          <w:lang w:val="en-GB"/>
        </w:rPr>
        <w:t xml:space="preserve">implementation of the measure shall be completed </w:t>
      </w:r>
      <w:r w:rsidRPr="001961AA">
        <w:rPr>
          <w:rFonts w:ascii="Times New Roman" w:hAnsi="Times New Roman"/>
          <w:noProof/>
          <w:sz w:val="24"/>
          <w:lang w:val="en-GB"/>
        </w:rPr>
        <w:t xml:space="preserve">by 30 June 2024. </w:t>
      </w:r>
    </w:p>
    <w:p w14:paraId="6E2A4019" w14:textId="77777777" w:rsidR="006A41D9" w:rsidRPr="001961AA" w:rsidRDefault="006A41D9" w:rsidP="00BD6DD1">
      <w:pPr>
        <w:pStyle w:val="Jalonsetcibles"/>
        <w:spacing w:before="120" w:after="120" w:line="240" w:lineRule="auto"/>
        <w:jc w:val="both"/>
        <w:rPr>
          <w:b w:val="0"/>
          <w:noProof/>
          <w:color w:val="auto"/>
          <w:sz w:val="24"/>
          <w:szCs w:val="24"/>
          <w:u w:val="single"/>
          <w:lang w:val="en-GB"/>
        </w:rPr>
      </w:pPr>
      <w:r w:rsidRPr="001961AA">
        <w:rPr>
          <w:b w:val="0"/>
          <w:noProof/>
          <w:color w:val="auto"/>
          <w:sz w:val="24"/>
          <w:u w:val="single"/>
          <w:lang w:val="en-GB"/>
        </w:rPr>
        <w:t>Investment I-7.01: ‘Improved energy subsidy scheme’ of the Brussels-Capital Region</w:t>
      </w:r>
    </w:p>
    <w:p w14:paraId="65E9F026" w14:textId="5CA1C6E2" w:rsidR="006A41D9" w:rsidRPr="001961AA" w:rsidRDefault="006A41D9" w:rsidP="00BD6DD1">
      <w:pPr>
        <w:pStyle w:val="Jalonsetcibles"/>
        <w:spacing w:before="120" w:after="120" w:line="240" w:lineRule="auto"/>
        <w:jc w:val="both"/>
        <w:rPr>
          <w:b w:val="0"/>
          <w:noProof/>
          <w:color w:val="auto"/>
          <w:sz w:val="24"/>
          <w:szCs w:val="24"/>
          <w:lang w:val="en-GB"/>
        </w:rPr>
      </w:pPr>
      <w:r w:rsidRPr="001961AA">
        <w:rPr>
          <w:b w:val="0"/>
          <w:noProof/>
          <w:color w:val="auto"/>
          <w:sz w:val="24"/>
          <w:lang w:val="en-GB"/>
        </w:rPr>
        <w:t>This measure shall finance grants of the RENOLUTION renovation subsidy programme for energy efficiency renovations for low-income households. The investment shall be completed by 31 December 2024.</w:t>
      </w:r>
    </w:p>
    <w:p w14:paraId="5AAEBF64" w14:textId="24ED1B01" w:rsidR="006A41D9" w:rsidRPr="001961AA" w:rsidRDefault="006A41D9" w:rsidP="00BD6DD1">
      <w:pPr>
        <w:pStyle w:val="Jalonsetcibles"/>
        <w:spacing w:before="120" w:after="120" w:line="240" w:lineRule="auto"/>
        <w:jc w:val="both"/>
        <w:rPr>
          <w:rFonts w:eastAsia="Times New Roman"/>
          <w:b w:val="0"/>
          <w:noProof/>
          <w:color w:val="auto"/>
          <w:sz w:val="24"/>
          <w:szCs w:val="24"/>
          <w:lang w:val="en-GB"/>
        </w:rPr>
      </w:pPr>
      <w:r w:rsidRPr="001961AA">
        <w:rPr>
          <w:b w:val="0"/>
          <w:noProof/>
          <w:color w:val="auto"/>
          <w:sz w:val="24"/>
          <w:u w:val="single"/>
          <w:lang w:val="en-GB"/>
        </w:rPr>
        <w:t>Investment I-7.02: 'Scaled-up measure: Improved energy subsidy scheme' of the Flemish Region</w:t>
      </w:r>
    </w:p>
    <w:p w14:paraId="7CF13425" w14:textId="4B7544E3" w:rsidR="006A41D9" w:rsidRPr="001961AA" w:rsidRDefault="00811979" w:rsidP="001A7010">
      <w:pPr>
        <w:pStyle w:val="Jalonsetcibles"/>
        <w:spacing w:before="120" w:after="120" w:line="240" w:lineRule="auto"/>
        <w:jc w:val="both"/>
        <w:rPr>
          <w:rFonts w:eastAsia="Times New Roman"/>
          <w:b w:val="0"/>
          <w:noProof/>
          <w:color w:val="auto"/>
          <w:sz w:val="24"/>
          <w:szCs w:val="24"/>
          <w:lang w:val="en-GB"/>
        </w:rPr>
      </w:pPr>
      <w:r w:rsidRPr="001961AA">
        <w:rPr>
          <w:b w:val="0"/>
          <w:noProof/>
          <w:color w:val="auto"/>
          <w:sz w:val="24"/>
          <w:lang w:val="en-GB"/>
        </w:rPr>
        <w:t>This investment scales up reform R-1.01, sub-investment (i) ‘Improved energy subsidy scheme’ of the Flemish Region under component 1.1: Renovation. The scaled-up part of this measure shall finance the increase in subsidy per final recipient for energy efficient renovations of private housing. The implementation of the measure shall be completed by 30 June 2026.</w:t>
      </w:r>
    </w:p>
    <w:p w14:paraId="4C6A60F5" w14:textId="0F5EA3BB" w:rsidR="006A41D9" w:rsidRPr="001961AA" w:rsidRDefault="006A41D9" w:rsidP="00BD6DD1">
      <w:pPr>
        <w:pStyle w:val="Jalonsetcibles"/>
        <w:spacing w:before="120" w:after="120" w:line="240" w:lineRule="auto"/>
        <w:rPr>
          <w:rFonts w:eastAsia="Times New Roman"/>
          <w:b w:val="0"/>
          <w:bCs/>
          <w:noProof/>
          <w:color w:val="000000" w:themeColor="text1"/>
          <w:sz w:val="24"/>
          <w:szCs w:val="24"/>
          <w:lang w:val="en-GB"/>
        </w:rPr>
      </w:pPr>
      <w:r w:rsidRPr="001961AA">
        <w:rPr>
          <w:b w:val="0"/>
          <w:noProof/>
          <w:color w:val="auto"/>
          <w:sz w:val="24"/>
          <w:u w:val="single"/>
          <w:lang w:val="en-GB"/>
        </w:rPr>
        <w:t>Investment I-7.03: ‘Energy grants for private housing’ of the German-speaking Community</w:t>
      </w:r>
    </w:p>
    <w:p w14:paraId="2816780A" w14:textId="2A3CE610" w:rsidR="006A41D9" w:rsidRPr="001961AA" w:rsidRDefault="006A41D9" w:rsidP="00BD6DD1">
      <w:pPr>
        <w:pStyle w:val="Jalonsetcibles"/>
        <w:spacing w:before="120" w:after="120" w:line="240" w:lineRule="auto"/>
        <w:jc w:val="both"/>
        <w:rPr>
          <w:b w:val="0"/>
          <w:noProof/>
          <w:color w:val="auto"/>
          <w:sz w:val="24"/>
          <w:szCs w:val="24"/>
          <w:lang w:val="en-GB"/>
        </w:rPr>
      </w:pPr>
      <w:r w:rsidRPr="001961AA">
        <w:rPr>
          <w:b w:val="0"/>
          <w:noProof/>
          <w:color w:val="auto"/>
          <w:sz w:val="24"/>
          <w:lang w:val="en-GB"/>
        </w:rPr>
        <w:t>This measure was the investment component of R-1.03 ‘Improved energy subsidy scheme’ of the German-speaking Community, under component 1.1: Renovation. The measure consists in granting energy premiums for the renovation of private housing contributing to the reduction in energy consumption. The implementation of the measure shall be completed by 30 June 2024.</w:t>
      </w:r>
    </w:p>
    <w:p w14:paraId="0107D3BB" w14:textId="77777777" w:rsidR="006A41D9" w:rsidRPr="001961AA" w:rsidRDefault="006A41D9" w:rsidP="00BD6DD1">
      <w:pPr>
        <w:pStyle w:val="Jalonsetcibles"/>
        <w:spacing w:before="120" w:after="120" w:line="240" w:lineRule="auto"/>
        <w:jc w:val="both"/>
        <w:rPr>
          <w:b w:val="0"/>
          <w:noProof/>
          <w:color w:val="auto"/>
          <w:sz w:val="24"/>
          <w:szCs w:val="24"/>
          <w:u w:val="single"/>
          <w:lang w:val="en-GB"/>
        </w:rPr>
      </w:pPr>
      <w:r w:rsidRPr="001961AA">
        <w:rPr>
          <w:b w:val="0"/>
          <w:noProof/>
          <w:color w:val="auto"/>
          <w:sz w:val="24"/>
          <w:u w:val="single"/>
          <w:lang w:val="en-GB"/>
        </w:rPr>
        <w:t>Investment I-7.04: ‘Renovation of social housing’ of the Walloon Region</w:t>
      </w:r>
    </w:p>
    <w:p w14:paraId="245253F9" w14:textId="7E4BEEBE" w:rsidR="006A41D9" w:rsidRPr="001961AA" w:rsidRDefault="006A41D9" w:rsidP="00BD6DD1">
      <w:pPr>
        <w:pStyle w:val="Jalonsetcibles"/>
        <w:spacing w:before="120" w:after="120" w:line="240" w:lineRule="auto"/>
        <w:jc w:val="both"/>
        <w:rPr>
          <w:b w:val="0"/>
          <w:noProof/>
          <w:color w:val="auto"/>
          <w:sz w:val="24"/>
          <w:szCs w:val="24"/>
          <w:lang w:val="en-GB"/>
        </w:rPr>
      </w:pPr>
      <w:r w:rsidRPr="001961AA">
        <w:rPr>
          <w:b w:val="0"/>
          <w:noProof/>
          <w:color w:val="auto"/>
          <w:sz w:val="24"/>
          <w:lang w:val="en-GB"/>
        </w:rPr>
        <w:t>This investment consists in equipping social housing units with solar panels and heat pumps. The implementation of the measure shall be completed by 30 June 2026.</w:t>
      </w:r>
    </w:p>
    <w:p w14:paraId="056C434A" w14:textId="77777777" w:rsidR="006A41D9" w:rsidRPr="001961AA" w:rsidRDefault="006A41D9" w:rsidP="00BD6DD1">
      <w:pPr>
        <w:pStyle w:val="Jalonsetcibles"/>
        <w:spacing w:before="120" w:after="120" w:line="240" w:lineRule="auto"/>
        <w:jc w:val="both"/>
        <w:rPr>
          <w:b w:val="0"/>
          <w:noProof/>
          <w:color w:val="auto"/>
          <w:sz w:val="24"/>
          <w:szCs w:val="24"/>
          <w:u w:val="single"/>
          <w:lang w:val="en-GB"/>
        </w:rPr>
      </w:pPr>
      <w:r w:rsidRPr="001961AA">
        <w:rPr>
          <w:b w:val="0"/>
          <w:noProof/>
          <w:color w:val="auto"/>
          <w:sz w:val="24"/>
          <w:u w:val="single"/>
          <w:lang w:val="en-GB"/>
        </w:rPr>
        <w:t>Investment I-7.05: 'Energy-climate measures in public buildings' of the Federal state</w:t>
      </w:r>
    </w:p>
    <w:p w14:paraId="255E25F8" w14:textId="57315C9E" w:rsidR="006A41D9" w:rsidRPr="001961AA" w:rsidRDefault="006A41D9" w:rsidP="00BD6DD1">
      <w:pPr>
        <w:pStyle w:val="Jalonsetcibles"/>
        <w:spacing w:before="120" w:after="120" w:line="240" w:lineRule="auto"/>
        <w:jc w:val="both"/>
        <w:rPr>
          <w:b w:val="0"/>
          <w:noProof/>
          <w:color w:val="auto"/>
          <w:sz w:val="24"/>
          <w:szCs w:val="24"/>
          <w:lang w:val="en-GB"/>
        </w:rPr>
      </w:pPr>
      <w:r w:rsidRPr="001961AA">
        <w:rPr>
          <w:b w:val="0"/>
          <w:noProof/>
          <w:color w:val="auto"/>
          <w:sz w:val="24"/>
          <w:lang w:val="en-GB"/>
        </w:rPr>
        <w:t>This investment consists in equipping federal public buildings with charging stations, solar panels and LED lights. The objective of the investment as far as charging infrastructure is concerned shall be in line with Directive (EU) 2023/2413 amending the Renewable Energy Directive (EU) 2018/2001. The implementation of the measure shall be completed by 31 December 2025.</w:t>
      </w:r>
    </w:p>
    <w:p w14:paraId="27E36024" w14:textId="77777777" w:rsidR="006A41D9" w:rsidRPr="001961AA" w:rsidRDefault="006A41D9" w:rsidP="00BD6DD1">
      <w:pPr>
        <w:pStyle w:val="Jalonsetcibles"/>
        <w:spacing w:before="120" w:after="120" w:line="240" w:lineRule="auto"/>
        <w:jc w:val="both"/>
        <w:rPr>
          <w:b w:val="0"/>
          <w:noProof/>
          <w:color w:val="auto"/>
          <w:sz w:val="24"/>
          <w:szCs w:val="24"/>
          <w:u w:val="single"/>
          <w:lang w:val="en-GB"/>
        </w:rPr>
      </w:pPr>
      <w:r w:rsidRPr="001961AA">
        <w:rPr>
          <w:b w:val="0"/>
          <w:noProof/>
          <w:color w:val="auto"/>
          <w:sz w:val="24"/>
          <w:u w:val="single"/>
          <w:lang w:val="en-GB"/>
        </w:rPr>
        <w:t>Investment I-7: ‘Energy saving in public buildings’ of the Flemish Region</w:t>
      </w:r>
    </w:p>
    <w:p w14:paraId="58EC1A62" w14:textId="77777777" w:rsidR="006A41D9" w:rsidRPr="001961AA" w:rsidRDefault="006A41D9" w:rsidP="008D1C68">
      <w:pPr>
        <w:pStyle w:val="Jalonsetcibles"/>
        <w:spacing w:before="120" w:after="0" w:line="240" w:lineRule="auto"/>
        <w:jc w:val="both"/>
        <w:rPr>
          <w:b w:val="0"/>
          <w:noProof/>
          <w:color w:val="auto"/>
          <w:sz w:val="24"/>
          <w:szCs w:val="24"/>
          <w:lang w:val="en-GB"/>
        </w:rPr>
      </w:pPr>
      <w:r w:rsidRPr="001961AA">
        <w:rPr>
          <w:b w:val="0"/>
          <w:noProof/>
          <w:color w:val="auto"/>
          <w:sz w:val="24"/>
          <w:lang w:val="en-GB"/>
        </w:rPr>
        <w:t>The implementation of the measure shall be completed by 30 June 2026. The investment is composed of the following sub-measures/actions:</w:t>
      </w:r>
    </w:p>
    <w:p w14:paraId="74BD06DD" w14:textId="77777777" w:rsidR="006A41D9" w:rsidRPr="001961AA" w:rsidRDefault="006A41D9" w:rsidP="009E6286">
      <w:pPr>
        <w:pStyle w:val="Jalonsetcibles"/>
        <w:numPr>
          <w:ilvl w:val="0"/>
          <w:numId w:val="43"/>
        </w:numPr>
        <w:spacing w:before="120" w:after="120" w:line="240" w:lineRule="auto"/>
        <w:ind w:left="714" w:hanging="357"/>
        <w:contextualSpacing/>
        <w:jc w:val="both"/>
        <w:rPr>
          <w:b w:val="0"/>
          <w:noProof/>
          <w:color w:val="auto"/>
          <w:sz w:val="24"/>
          <w:szCs w:val="24"/>
          <w:lang w:val="en-GB"/>
        </w:rPr>
      </w:pPr>
      <w:r w:rsidRPr="001961AA">
        <w:rPr>
          <w:b w:val="0"/>
          <w:noProof/>
          <w:color w:val="auto"/>
          <w:sz w:val="24"/>
          <w:lang w:val="en-GB"/>
        </w:rPr>
        <w:t>Investment I-7.06: ‘Renovation of public buildings’ of the Flemish Region</w:t>
      </w:r>
    </w:p>
    <w:p w14:paraId="12BD4BF7" w14:textId="77777777" w:rsidR="006A41D9" w:rsidRPr="001961AA" w:rsidRDefault="006A41D9" w:rsidP="009E6286">
      <w:pPr>
        <w:pStyle w:val="Jalonsetcibles"/>
        <w:numPr>
          <w:ilvl w:val="0"/>
          <w:numId w:val="43"/>
        </w:numPr>
        <w:spacing w:before="120" w:after="120" w:line="240" w:lineRule="auto"/>
        <w:ind w:left="714" w:hanging="357"/>
        <w:contextualSpacing/>
        <w:jc w:val="both"/>
        <w:rPr>
          <w:b w:val="0"/>
          <w:noProof/>
          <w:color w:val="auto"/>
          <w:sz w:val="24"/>
          <w:szCs w:val="24"/>
          <w:lang w:val="en-GB"/>
        </w:rPr>
      </w:pPr>
      <w:r w:rsidRPr="001961AA">
        <w:rPr>
          <w:b w:val="0"/>
          <w:noProof/>
          <w:color w:val="auto"/>
          <w:sz w:val="24"/>
          <w:lang w:val="en-GB"/>
        </w:rPr>
        <w:t>Investment I-7.07: ‘Energy measures for public schools’ of the Flemish Region</w:t>
      </w:r>
    </w:p>
    <w:p w14:paraId="031809FE" w14:textId="012BAFEF" w:rsidR="006A41D9" w:rsidRPr="001961AA" w:rsidRDefault="006A41D9" w:rsidP="009E6286">
      <w:pPr>
        <w:pStyle w:val="Jalonsetcibles"/>
        <w:numPr>
          <w:ilvl w:val="0"/>
          <w:numId w:val="43"/>
        </w:numPr>
        <w:spacing w:before="120" w:after="120" w:line="240" w:lineRule="auto"/>
        <w:ind w:left="714" w:hanging="357"/>
        <w:contextualSpacing/>
        <w:jc w:val="both"/>
        <w:rPr>
          <w:b w:val="0"/>
          <w:noProof/>
          <w:color w:val="auto"/>
          <w:sz w:val="24"/>
          <w:szCs w:val="24"/>
          <w:lang w:val="en-GB"/>
        </w:rPr>
      </w:pPr>
      <w:r w:rsidRPr="001961AA">
        <w:rPr>
          <w:b w:val="0"/>
          <w:noProof/>
          <w:color w:val="auto"/>
          <w:sz w:val="24"/>
          <w:lang w:val="en-GB"/>
        </w:rPr>
        <w:t>Investment I-7.08: ‘Energy measures for care buildings’ of the Flemish Region</w:t>
      </w:r>
    </w:p>
    <w:p w14:paraId="4C43FEC9" w14:textId="77777777" w:rsidR="006A41D9" w:rsidRPr="001961AA" w:rsidRDefault="006A41D9" w:rsidP="009E6286">
      <w:pPr>
        <w:pStyle w:val="Jalonsetcibles"/>
        <w:numPr>
          <w:ilvl w:val="0"/>
          <w:numId w:val="43"/>
        </w:numPr>
        <w:spacing w:before="120" w:after="240" w:line="240" w:lineRule="auto"/>
        <w:ind w:left="714" w:hanging="357"/>
        <w:jc w:val="both"/>
        <w:rPr>
          <w:b w:val="0"/>
          <w:noProof/>
          <w:color w:val="auto"/>
          <w:sz w:val="24"/>
          <w:szCs w:val="24"/>
          <w:lang w:val="en-GB"/>
        </w:rPr>
      </w:pPr>
      <w:r w:rsidRPr="001961AA">
        <w:rPr>
          <w:b w:val="0"/>
          <w:noProof/>
          <w:color w:val="auto"/>
          <w:sz w:val="24"/>
          <w:lang w:val="en-GB"/>
        </w:rPr>
        <w:t>Investment I-7.09: ‘Energy measures for the VRT building’ of the Flemish Region</w:t>
      </w:r>
    </w:p>
    <w:p w14:paraId="6E603F2B" w14:textId="77777777" w:rsidR="006A41D9" w:rsidRPr="001961AA" w:rsidRDefault="006A41D9" w:rsidP="00BD6DD1">
      <w:pPr>
        <w:pStyle w:val="Jalonsetcibles"/>
        <w:spacing w:before="120" w:after="120" w:line="240" w:lineRule="auto"/>
        <w:jc w:val="both"/>
        <w:rPr>
          <w:b w:val="0"/>
          <w:noProof/>
          <w:color w:val="auto"/>
          <w:sz w:val="24"/>
          <w:szCs w:val="24"/>
          <w:u w:val="single"/>
          <w:lang w:val="en-GB"/>
        </w:rPr>
      </w:pPr>
      <w:r w:rsidRPr="001961AA">
        <w:rPr>
          <w:b w:val="0"/>
          <w:noProof/>
          <w:color w:val="auto"/>
          <w:sz w:val="24"/>
          <w:u w:val="single"/>
          <w:lang w:val="en-GB"/>
        </w:rPr>
        <w:t>Investment I-7.06: ‘Renovation of public buildings’ of the Flemish Region</w:t>
      </w:r>
    </w:p>
    <w:p w14:paraId="7D6434AD" w14:textId="30332925" w:rsidR="006A41D9" w:rsidRPr="001961AA" w:rsidRDefault="2DF8951B" w:rsidP="00BD6DD1">
      <w:pPr>
        <w:pStyle w:val="Jalonsetcibles"/>
        <w:spacing w:before="120" w:after="120" w:line="240" w:lineRule="auto"/>
        <w:jc w:val="both"/>
        <w:rPr>
          <w:b w:val="0"/>
          <w:noProof/>
          <w:color w:val="auto"/>
          <w:sz w:val="24"/>
          <w:szCs w:val="24"/>
          <w:lang w:val="en-GB"/>
        </w:rPr>
      </w:pPr>
      <w:r w:rsidRPr="001961AA">
        <w:rPr>
          <w:b w:val="0"/>
          <w:noProof/>
          <w:color w:val="auto"/>
          <w:sz w:val="24"/>
          <w:lang w:val="en-GB"/>
        </w:rPr>
        <w:t>This investment consists in the energy-efficient renovation of four public buildings: (1) Martelaarsplein 7, Martelaarsplein 19 and Kreupelenstraat 2, Brussel, (2) Winston Churchillkaai 2, Oostende, (3) Justitiehuis, Ieper, (4) Koolstraat 35, Brussel. The measure shall reduce on average at least 30% of primary energy consumption, as defined in Commission Recommendation (EU) 2019/786 on the renovation of buildings. The implementation of the measure shall be completed by 30 June 2026.</w:t>
      </w:r>
    </w:p>
    <w:p w14:paraId="0845CBF5" w14:textId="77777777" w:rsidR="006A41D9" w:rsidRPr="001961AA" w:rsidRDefault="006A41D9" w:rsidP="00BD6DD1">
      <w:pPr>
        <w:pStyle w:val="Jalonsetcibles"/>
        <w:spacing w:before="120" w:after="120" w:line="240" w:lineRule="auto"/>
        <w:jc w:val="both"/>
        <w:rPr>
          <w:b w:val="0"/>
          <w:noProof/>
          <w:color w:val="auto"/>
          <w:sz w:val="24"/>
          <w:szCs w:val="24"/>
          <w:u w:val="single"/>
          <w:lang w:val="en-GB"/>
        </w:rPr>
      </w:pPr>
      <w:r w:rsidRPr="001961AA">
        <w:rPr>
          <w:b w:val="0"/>
          <w:noProof/>
          <w:color w:val="auto"/>
          <w:sz w:val="24"/>
          <w:u w:val="single"/>
          <w:lang w:val="en-GB"/>
        </w:rPr>
        <w:t>Investment I-7.07: ‘Energy measures for public schools’ of the Flemish Region</w:t>
      </w:r>
    </w:p>
    <w:p w14:paraId="78AE3A43" w14:textId="77777777" w:rsidR="006A41D9" w:rsidRPr="001961AA" w:rsidRDefault="006A41D9" w:rsidP="00BD6DD1">
      <w:pPr>
        <w:pStyle w:val="Jalonsetcibles"/>
        <w:spacing w:before="120" w:after="120" w:line="240" w:lineRule="auto"/>
        <w:jc w:val="both"/>
        <w:rPr>
          <w:b w:val="0"/>
          <w:noProof/>
          <w:color w:val="auto"/>
          <w:sz w:val="24"/>
          <w:szCs w:val="24"/>
          <w:lang w:val="en-GB"/>
        </w:rPr>
      </w:pPr>
      <w:r w:rsidRPr="001961AA">
        <w:rPr>
          <w:b w:val="0"/>
          <w:noProof/>
          <w:color w:val="auto"/>
          <w:sz w:val="24"/>
          <w:lang w:val="en-GB"/>
        </w:rPr>
        <w:t>This investment consists in the deployment of solar panels on public schools, based on a preparatory study. The implementation of the measure shall be completed by 30 June 2026.</w:t>
      </w:r>
    </w:p>
    <w:p w14:paraId="4EFE0863" w14:textId="44E3BA26" w:rsidR="006A41D9" w:rsidRPr="001961AA" w:rsidDel="001F760C" w:rsidRDefault="006A41D9" w:rsidP="00BD6DD1">
      <w:pPr>
        <w:pStyle w:val="Jalonsetcibles"/>
        <w:spacing w:before="120" w:after="120" w:line="240" w:lineRule="auto"/>
        <w:jc w:val="both"/>
        <w:rPr>
          <w:b w:val="0"/>
          <w:noProof/>
          <w:color w:val="auto"/>
          <w:sz w:val="24"/>
          <w:szCs w:val="24"/>
          <w:u w:val="single"/>
          <w:lang w:val="en-GB"/>
        </w:rPr>
      </w:pPr>
      <w:r w:rsidRPr="001961AA">
        <w:rPr>
          <w:b w:val="0"/>
          <w:noProof/>
          <w:color w:val="auto"/>
          <w:sz w:val="24"/>
          <w:u w:val="single"/>
          <w:lang w:val="en-GB"/>
        </w:rPr>
        <w:t>Investment I-7.08: ‘Energy measures for care buildings’ of the Flemish Region</w:t>
      </w:r>
    </w:p>
    <w:p w14:paraId="0294951C" w14:textId="269D45D5" w:rsidR="006A41D9" w:rsidRPr="001961AA" w:rsidDel="001F760C" w:rsidRDefault="006A41D9" w:rsidP="00BD6DD1">
      <w:pPr>
        <w:pStyle w:val="Jalonsetcibles"/>
        <w:spacing w:before="120" w:after="120" w:line="240" w:lineRule="auto"/>
        <w:jc w:val="both"/>
        <w:rPr>
          <w:b w:val="0"/>
          <w:noProof/>
          <w:color w:val="auto"/>
          <w:sz w:val="24"/>
          <w:szCs w:val="24"/>
          <w:lang w:val="en-GB"/>
        </w:rPr>
      </w:pPr>
      <w:r w:rsidRPr="001961AA">
        <w:rPr>
          <w:b w:val="0"/>
          <w:noProof/>
          <w:color w:val="auto"/>
          <w:sz w:val="24"/>
          <w:lang w:val="en-GB"/>
        </w:rPr>
        <w:t>This investment consists in (1) performing energy audits and (2) completing energy measures in care buildings. The implementation of the measure shall be completed by 30 June 2026.</w:t>
      </w:r>
    </w:p>
    <w:p w14:paraId="1929102B" w14:textId="77777777" w:rsidR="006A41D9" w:rsidRPr="001961AA" w:rsidDel="001F760C" w:rsidRDefault="006A41D9" w:rsidP="00BD6DD1">
      <w:pPr>
        <w:pStyle w:val="Jalonsetcibles"/>
        <w:spacing w:before="120" w:after="120" w:line="240" w:lineRule="auto"/>
        <w:jc w:val="both"/>
        <w:rPr>
          <w:b w:val="0"/>
          <w:noProof/>
          <w:color w:val="auto"/>
          <w:sz w:val="24"/>
          <w:szCs w:val="24"/>
          <w:u w:val="single"/>
          <w:lang w:val="en-GB"/>
        </w:rPr>
      </w:pPr>
      <w:r w:rsidRPr="001961AA">
        <w:rPr>
          <w:b w:val="0"/>
          <w:noProof/>
          <w:color w:val="auto"/>
          <w:sz w:val="24"/>
          <w:u w:val="single"/>
          <w:lang w:val="en-GB"/>
        </w:rPr>
        <w:t>Investment I-7.09: ‘Energy measures for the VRT building’ of the Flemish Region</w:t>
      </w:r>
    </w:p>
    <w:p w14:paraId="575DEF8E" w14:textId="23900FD9" w:rsidR="006A41D9" w:rsidRPr="001961AA" w:rsidDel="001F760C" w:rsidRDefault="006A41D9" w:rsidP="00BD6DD1">
      <w:pPr>
        <w:pStyle w:val="Jalonsetcibles"/>
        <w:spacing w:before="120" w:after="120" w:line="240" w:lineRule="auto"/>
        <w:jc w:val="both"/>
        <w:rPr>
          <w:b w:val="0"/>
          <w:noProof/>
          <w:color w:val="auto"/>
          <w:sz w:val="24"/>
          <w:szCs w:val="24"/>
          <w:lang w:val="en-GB"/>
        </w:rPr>
      </w:pPr>
      <w:r w:rsidRPr="001961AA">
        <w:rPr>
          <w:b w:val="0"/>
          <w:noProof/>
          <w:color w:val="auto"/>
          <w:sz w:val="24"/>
          <w:lang w:val="en-GB"/>
        </w:rPr>
        <w:t>This investment consists in the deployment of heat pumps and solar panels, as well as LED lights, roof insulation and intelligent energy monitoring in the new VRT (</w:t>
      </w:r>
      <w:r w:rsidRPr="001961AA">
        <w:rPr>
          <w:b w:val="0"/>
          <w:i/>
          <w:noProof/>
          <w:color w:val="auto"/>
          <w:sz w:val="24"/>
          <w:lang w:val="en-GB"/>
        </w:rPr>
        <w:t>Vlaamse Radio en Televisie</w:t>
      </w:r>
      <w:r w:rsidRPr="001961AA">
        <w:rPr>
          <w:b w:val="0"/>
          <w:noProof/>
          <w:color w:val="auto"/>
          <w:sz w:val="24"/>
          <w:lang w:val="en-GB"/>
        </w:rPr>
        <w:t>) building. The implementation of the measure shall be completed by 30 June 2026.</w:t>
      </w:r>
    </w:p>
    <w:p w14:paraId="49BBF254" w14:textId="68BCC827" w:rsidR="006A41D9" w:rsidRPr="001961AA" w:rsidRDefault="006A41D9" w:rsidP="00BD6DD1">
      <w:pPr>
        <w:pStyle w:val="Jalonsetcibles"/>
        <w:spacing w:before="120" w:after="120" w:line="240" w:lineRule="auto"/>
        <w:jc w:val="both"/>
        <w:rPr>
          <w:b w:val="0"/>
          <w:noProof/>
          <w:color w:val="auto"/>
          <w:sz w:val="24"/>
          <w:szCs w:val="24"/>
          <w:u w:val="single"/>
          <w:lang w:val="en-GB"/>
        </w:rPr>
      </w:pPr>
      <w:r w:rsidRPr="001961AA">
        <w:rPr>
          <w:b w:val="0"/>
          <w:noProof/>
          <w:color w:val="auto"/>
          <w:sz w:val="24"/>
          <w:u w:val="single"/>
          <w:lang w:val="en-GB"/>
        </w:rPr>
        <w:t>Investment I-7.10: ‘Energy measures for AWV buildings’ of the Flemish Region</w:t>
      </w:r>
    </w:p>
    <w:p w14:paraId="0050CF59" w14:textId="68818787" w:rsidR="0071084B" w:rsidRPr="001961AA" w:rsidRDefault="006A41D9" w:rsidP="00BD6DD1">
      <w:pPr>
        <w:pStyle w:val="Jalonsetcibles"/>
        <w:spacing w:before="120" w:after="120" w:line="240" w:lineRule="auto"/>
        <w:jc w:val="both"/>
        <w:rPr>
          <w:b w:val="0"/>
          <w:noProof/>
          <w:color w:val="auto"/>
          <w:sz w:val="24"/>
          <w:szCs w:val="24"/>
          <w:lang w:val="en-GB"/>
        </w:rPr>
        <w:sectPr w:rsidR="0071084B" w:rsidRPr="001961AA" w:rsidSect="0071084B">
          <w:headerReference w:type="even" r:id="rId246"/>
          <w:headerReference w:type="default" r:id="rId247"/>
          <w:footerReference w:type="even" r:id="rId248"/>
          <w:footerReference w:type="default" r:id="rId249"/>
          <w:headerReference w:type="first" r:id="rId250"/>
          <w:footerReference w:type="first" r:id="rId251"/>
          <w:pgSz w:w="11906" w:h="16838"/>
          <w:pgMar w:top="1417" w:right="1417" w:bottom="1417" w:left="1417" w:header="708" w:footer="708" w:gutter="0"/>
          <w:cols w:space="708"/>
          <w:docGrid w:linePitch="360"/>
        </w:sectPr>
      </w:pPr>
      <w:r w:rsidRPr="001961AA">
        <w:rPr>
          <w:b w:val="0"/>
          <w:noProof/>
          <w:color w:val="auto"/>
          <w:sz w:val="24"/>
          <w:lang w:val="en-GB"/>
        </w:rPr>
        <w:t>This investment consists in completing four projects of installing in AWV (</w:t>
      </w:r>
      <w:r w:rsidRPr="001961AA">
        <w:rPr>
          <w:b w:val="0"/>
          <w:i/>
          <w:noProof/>
          <w:color w:val="auto"/>
          <w:sz w:val="24"/>
          <w:lang w:val="en-GB"/>
        </w:rPr>
        <w:t>Agentschap Wegen en Verkeer</w:t>
      </w:r>
      <w:r w:rsidRPr="001961AA">
        <w:rPr>
          <w:b w:val="0"/>
          <w:noProof/>
          <w:color w:val="auto"/>
          <w:sz w:val="24"/>
          <w:lang w:val="en-GB"/>
        </w:rPr>
        <w:t>) buildings: insulation, heat pumps, solar panels and LED lights. The measure shall reduce on average at least 30% of primary energy consumption, as defined in Commission Recommendation (EU) 2019/786 on the renovation of buildings. The implementation of the measure shall be completed by 31 December 2025.</w:t>
      </w:r>
    </w:p>
    <w:p w14:paraId="030858B2" w14:textId="7F6533CF" w:rsidR="0071084B" w:rsidRPr="001961AA" w:rsidRDefault="0071084B" w:rsidP="0071084B">
      <w:pPr>
        <w:spacing w:before="120" w:after="120" w:line="240" w:lineRule="auto"/>
        <w:jc w:val="both"/>
        <w:rPr>
          <w:rFonts w:ascii="Times New Roman" w:hAnsi="Times New Roman" w:cs="Times New Roman"/>
          <w:b/>
          <w:noProof/>
          <w:sz w:val="24"/>
          <w:szCs w:val="24"/>
          <w:u w:val="single"/>
          <w:lang w:val="en-GB"/>
        </w:rPr>
      </w:pPr>
      <w:r w:rsidRPr="001961AA">
        <w:rPr>
          <w:rFonts w:ascii="Times New Roman" w:hAnsi="Times New Roman"/>
          <w:b/>
          <w:noProof/>
          <w:sz w:val="24"/>
          <w:u w:val="single"/>
          <w:lang w:val="en-GB"/>
        </w:rPr>
        <w:t xml:space="preserve">R.2. </w:t>
      </w:r>
      <w:r w:rsidRPr="001961AA">
        <w:rPr>
          <w:noProof/>
          <w:lang w:val="en-GB"/>
        </w:rPr>
        <w:tab/>
      </w:r>
      <w:r w:rsidRPr="001961AA">
        <w:rPr>
          <w:rFonts w:ascii="Times New Roman" w:hAnsi="Times New Roman"/>
          <w:b/>
          <w:noProof/>
          <w:sz w:val="24"/>
          <w:u w:val="single"/>
          <w:lang w:val="en-GB"/>
        </w:rPr>
        <w:t>Milestones, targets, indicators, and timetable for monitoring and implementation for non-repayable financial support</w:t>
      </w:r>
    </w:p>
    <w:tbl>
      <w:tblPr>
        <w:tblW w:w="157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709"/>
        <w:gridCol w:w="1320"/>
        <w:gridCol w:w="943"/>
        <w:gridCol w:w="1281"/>
        <w:gridCol w:w="1345"/>
        <w:gridCol w:w="1207"/>
        <w:gridCol w:w="992"/>
        <w:gridCol w:w="712"/>
        <w:gridCol w:w="987"/>
        <w:gridCol w:w="813"/>
        <w:gridCol w:w="5423"/>
      </w:tblGrid>
      <w:tr w:rsidR="004868CC" w:rsidRPr="001961AA" w14:paraId="366FF9D5" w14:textId="77777777" w:rsidTr="0074518E">
        <w:trPr>
          <w:trHeight w:val="1309"/>
          <w:tblHeader/>
        </w:trPr>
        <w:tc>
          <w:tcPr>
            <w:tcW w:w="709" w:type="dxa"/>
            <w:vMerge w:val="restart"/>
            <w:shd w:val="clear" w:color="auto" w:fill="BDD7EE"/>
            <w:vAlign w:val="center"/>
          </w:tcPr>
          <w:p w14:paraId="34A7285B" w14:textId="04F66430" w:rsidR="006A41D9" w:rsidRPr="001961AA" w:rsidRDefault="006A41D9" w:rsidP="00BD6DD1">
            <w:pPr>
              <w:spacing w:after="0" w:line="240" w:lineRule="auto"/>
              <w:jc w:val="center"/>
              <w:rPr>
                <w:rFonts w:ascii="Times New Roman" w:hAnsi="Times New Roman" w:cs="Times New Roman"/>
                <w:b/>
                <w:noProof/>
                <w:sz w:val="20"/>
                <w:szCs w:val="20"/>
                <w:lang w:val="en-GB"/>
              </w:rPr>
            </w:pPr>
            <w:r w:rsidRPr="001961AA">
              <w:rPr>
                <w:rFonts w:ascii="Times New Roman" w:hAnsi="Times New Roman"/>
                <w:b/>
                <w:noProof/>
                <w:sz w:val="20"/>
                <w:lang w:val="en-GB"/>
              </w:rPr>
              <w:t>Seq. Nb.</w:t>
            </w:r>
          </w:p>
        </w:tc>
        <w:tc>
          <w:tcPr>
            <w:tcW w:w="1320" w:type="dxa"/>
            <w:vMerge w:val="restart"/>
            <w:shd w:val="clear" w:color="auto" w:fill="BDD7EE"/>
            <w:vAlign w:val="center"/>
          </w:tcPr>
          <w:p w14:paraId="0BC3F88A" w14:textId="77777777" w:rsidR="006A41D9" w:rsidRPr="001961AA" w:rsidRDefault="006A41D9" w:rsidP="00BD6DD1">
            <w:pPr>
              <w:spacing w:after="0" w:line="240" w:lineRule="auto"/>
              <w:jc w:val="center"/>
              <w:rPr>
                <w:rFonts w:ascii="Times New Roman" w:hAnsi="Times New Roman" w:cs="Times New Roman"/>
                <w:b/>
                <w:noProof/>
                <w:sz w:val="20"/>
                <w:szCs w:val="20"/>
                <w:lang w:val="en-GB"/>
              </w:rPr>
            </w:pPr>
            <w:r w:rsidRPr="001961AA">
              <w:rPr>
                <w:rFonts w:ascii="Times New Roman" w:hAnsi="Times New Roman"/>
                <w:b/>
                <w:noProof/>
                <w:sz w:val="20"/>
                <w:lang w:val="en-GB"/>
              </w:rPr>
              <w:t>Related Measure</w:t>
            </w:r>
          </w:p>
        </w:tc>
        <w:tc>
          <w:tcPr>
            <w:tcW w:w="943" w:type="dxa"/>
            <w:vMerge w:val="restart"/>
            <w:shd w:val="clear" w:color="auto" w:fill="BDD7EE"/>
            <w:vAlign w:val="center"/>
          </w:tcPr>
          <w:p w14:paraId="78227290" w14:textId="77777777" w:rsidR="006A41D9" w:rsidRPr="001961AA" w:rsidRDefault="006A41D9" w:rsidP="00BD6DD1">
            <w:pPr>
              <w:spacing w:after="0" w:line="240" w:lineRule="auto"/>
              <w:jc w:val="center"/>
              <w:rPr>
                <w:rFonts w:ascii="Times New Roman" w:hAnsi="Times New Roman" w:cs="Times New Roman"/>
                <w:b/>
                <w:noProof/>
                <w:sz w:val="20"/>
                <w:szCs w:val="20"/>
                <w:lang w:val="en-GB"/>
              </w:rPr>
            </w:pPr>
            <w:r w:rsidRPr="001961AA">
              <w:rPr>
                <w:rFonts w:ascii="Times New Roman" w:hAnsi="Times New Roman"/>
                <w:b/>
                <w:noProof/>
                <w:sz w:val="20"/>
                <w:lang w:val="en-GB"/>
              </w:rPr>
              <w:t>M/T</w:t>
            </w:r>
          </w:p>
        </w:tc>
        <w:tc>
          <w:tcPr>
            <w:tcW w:w="1281" w:type="dxa"/>
            <w:vMerge w:val="restart"/>
            <w:shd w:val="clear" w:color="auto" w:fill="BDD7EE"/>
            <w:vAlign w:val="center"/>
          </w:tcPr>
          <w:p w14:paraId="5C91F380" w14:textId="77777777" w:rsidR="006A41D9" w:rsidRPr="001961AA" w:rsidRDefault="006A41D9" w:rsidP="00BD6DD1">
            <w:pPr>
              <w:spacing w:after="0" w:line="240" w:lineRule="auto"/>
              <w:jc w:val="center"/>
              <w:rPr>
                <w:rFonts w:ascii="Times New Roman" w:hAnsi="Times New Roman" w:cs="Times New Roman"/>
                <w:b/>
                <w:noProof/>
                <w:sz w:val="20"/>
                <w:szCs w:val="20"/>
                <w:lang w:val="en-GB"/>
              </w:rPr>
            </w:pPr>
            <w:r w:rsidRPr="001961AA">
              <w:rPr>
                <w:rFonts w:ascii="Times New Roman" w:hAnsi="Times New Roman"/>
                <w:b/>
                <w:noProof/>
                <w:sz w:val="20"/>
                <w:lang w:val="en-GB"/>
              </w:rPr>
              <w:t>Name</w:t>
            </w:r>
          </w:p>
        </w:tc>
        <w:tc>
          <w:tcPr>
            <w:tcW w:w="1345" w:type="dxa"/>
            <w:vMerge w:val="restart"/>
            <w:shd w:val="clear" w:color="auto" w:fill="BDD7EE"/>
            <w:vAlign w:val="center"/>
          </w:tcPr>
          <w:p w14:paraId="663752A2" w14:textId="77777777" w:rsidR="006A41D9" w:rsidRPr="001961AA" w:rsidRDefault="006A41D9" w:rsidP="00BD6DD1">
            <w:pPr>
              <w:spacing w:after="0" w:line="240" w:lineRule="auto"/>
              <w:jc w:val="center"/>
              <w:rPr>
                <w:rFonts w:ascii="Times New Roman" w:hAnsi="Times New Roman" w:cs="Times New Roman"/>
                <w:b/>
                <w:noProof/>
                <w:sz w:val="20"/>
                <w:szCs w:val="20"/>
                <w:lang w:val="en-GB"/>
              </w:rPr>
            </w:pPr>
            <w:r w:rsidRPr="001961AA">
              <w:rPr>
                <w:rFonts w:ascii="Times New Roman" w:hAnsi="Times New Roman"/>
                <w:b/>
                <w:noProof/>
                <w:sz w:val="20"/>
                <w:lang w:val="en-GB"/>
              </w:rPr>
              <w:t>Qualitative indicators (for milestones)</w:t>
            </w:r>
          </w:p>
        </w:tc>
        <w:tc>
          <w:tcPr>
            <w:tcW w:w="2911" w:type="dxa"/>
            <w:gridSpan w:val="3"/>
            <w:shd w:val="clear" w:color="auto" w:fill="BDD7EE"/>
            <w:vAlign w:val="center"/>
          </w:tcPr>
          <w:p w14:paraId="736A0896" w14:textId="77777777" w:rsidR="006A41D9" w:rsidRPr="001961AA" w:rsidRDefault="006A41D9" w:rsidP="00BD6DD1">
            <w:pPr>
              <w:spacing w:after="0" w:line="240" w:lineRule="auto"/>
              <w:jc w:val="center"/>
              <w:rPr>
                <w:rFonts w:ascii="Times New Roman" w:hAnsi="Times New Roman" w:cs="Times New Roman"/>
                <w:b/>
                <w:noProof/>
                <w:sz w:val="20"/>
                <w:szCs w:val="20"/>
                <w:lang w:val="en-GB"/>
              </w:rPr>
            </w:pPr>
            <w:r w:rsidRPr="001961AA">
              <w:rPr>
                <w:rFonts w:ascii="Times New Roman" w:hAnsi="Times New Roman"/>
                <w:b/>
                <w:noProof/>
                <w:sz w:val="20"/>
                <w:lang w:val="en-GB"/>
              </w:rPr>
              <w:t>Quantitative indicators (for targets)</w:t>
            </w:r>
          </w:p>
        </w:tc>
        <w:tc>
          <w:tcPr>
            <w:tcW w:w="1800" w:type="dxa"/>
            <w:gridSpan w:val="2"/>
            <w:shd w:val="clear" w:color="auto" w:fill="BDD7EE"/>
            <w:vAlign w:val="center"/>
          </w:tcPr>
          <w:p w14:paraId="45D8465F" w14:textId="77777777" w:rsidR="006A41D9" w:rsidRPr="001961AA" w:rsidRDefault="006A41D9" w:rsidP="00BD6DD1">
            <w:pPr>
              <w:spacing w:after="0" w:line="240" w:lineRule="auto"/>
              <w:jc w:val="center"/>
              <w:rPr>
                <w:rFonts w:ascii="Times New Roman" w:hAnsi="Times New Roman" w:cs="Times New Roman"/>
                <w:b/>
                <w:noProof/>
                <w:sz w:val="20"/>
                <w:szCs w:val="20"/>
                <w:lang w:val="en-GB"/>
              </w:rPr>
            </w:pPr>
            <w:r w:rsidRPr="001961AA">
              <w:rPr>
                <w:rFonts w:ascii="Times New Roman" w:hAnsi="Times New Roman"/>
                <w:b/>
                <w:noProof/>
                <w:sz w:val="20"/>
                <w:lang w:val="en-GB"/>
              </w:rPr>
              <w:t>Timeline for completion</w:t>
            </w:r>
          </w:p>
        </w:tc>
        <w:tc>
          <w:tcPr>
            <w:tcW w:w="5423" w:type="dxa"/>
            <w:vMerge w:val="restart"/>
            <w:shd w:val="clear" w:color="auto" w:fill="BDD7EE"/>
            <w:vAlign w:val="center"/>
          </w:tcPr>
          <w:p w14:paraId="1510894D" w14:textId="77777777" w:rsidR="006A41D9" w:rsidRPr="001961AA" w:rsidRDefault="006A41D9" w:rsidP="00BD6DD1">
            <w:pPr>
              <w:spacing w:after="0" w:line="240" w:lineRule="auto"/>
              <w:jc w:val="center"/>
              <w:rPr>
                <w:rFonts w:ascii="Times New Roman" w:hAnsi="Times New Roman" w:cs="Times New Roman"/>
                <w:b/>
                <w:noProof/>
                <w:sz w:val="20"/>
                <w:szCs w:val="20"/>
                <w:lang w:val="en-GB"/>
              </w:rPr>
            </w:pPr>
            <w:r w:rsidRPr="001961AA">
              <w:rPr>
                <w:rFonts w:ascii="Times New Roman" w:hAnsi="Times New Roman"/>
                <w:b/>
                <w:noProof/>
                <w:sz w:val="20"/>
                <w:lang w:val="en-GB"/>
              </w:rPr>
              <w:t>Description of milestone/target</w:t>
            </w:r>
          </w:p>
        </w:tc>
      </w:tr>
      <w:tr w:rsidR="004868CC" w:rsidRPr="001961AA" w14:paraId="0BB897E3" w14:textId="77777777" w:rsidTr="0074518E">
        <w:trPr>
          <w:trHeight w:val="589"/>
          <w:tblHeader/>
        </w:trPr>
        <w:tc>
          <w:tcPr>
            <w:tcW w:w="709" w:type="dxa"/>
            <w:vMerge/>
            <w:vAlign w:val="center"/>
          </w:tcPr>
          <w:p w14:paraId="00D03653" w14:textId="77777777" w:rsidR="006A41D9" w:rsidRPr="001961AA" w:rsidRDefault="006A41D9" w:rsidP="00BD6DD1">
            <w:pPr>
              <w:spacing w:after="0" w:line="240" w:lineRule="auto"/>
              <w:rPr>
                <w:rFonts w:ascii="Times New Roman" w:eastAsia="Times New Roman" w:hAnsi="Times New Roman" w:cs="Times New Roman"/>
                <w:noProof/>
                <w:color w:val="006100"/>
                <w:lang w:val="en-GB"/>
              </w:rPr>
            </w:pPr>
          </w:p>
        </w:tc>
        <w:tc>
          <w:tcPr>
            <w:tcW w:w="1320" w:type="dxa"/>
            <w:vMerge/>
            <w:vAlign w:val="center"/>
          </w:tcPr>
          <w:p w14:paraId="4EC0CEBD" w14:textId="77777777" w:rsidR="006A41D9" w:rsidRPr="001961AA" w:rsidRDefault="006A41D9" w:rsidP="00BD6DD1">
            <w:pPr>
              <w:spacing w:after="0" w:line="240" w:lineRule="auto"/>
              <w:rPr>
                <w:rFonts w:ascii="Times New Roman" w:eastAsia="Times New Roman" w:hAnsi="Times New Roman" w:cs="Times New Roman"/>
                <w:noProof/>
                <w:color w:val="006100"/>
                <w:lang w:val="en-GB"/>
              </w:rPr>
            </w:pPr>
          </w:p>
        </w:tc>
        <w:tc>
          <w:tcPr>
            <w:tcW w:w="943" w:type="dxa"/>
            <w:vMerge/>
            <w:vAlign w:val="center"/>
          </w:tcPr>
          <w:p w14:paraId="55C81887" w14:textId="77777777" w:rsidR="006A41D9" w:rsidRPr="001961AA" w:rsidRDefault="006A41D9" w:rsidP="00BD6DD1">
            <w:pPr>
              <w:spacing w:after="0" w:line="240" w:lineRule="auto"/>
              <w:rPr>
                <w:rFonts w:ascii="Times New Roman" w:eastAsia="Times New Roman" w:hAnsi="Times New Roman" w:cs="Times New Roman"/>
                <w:noProof/>
                <w:color w:val="006100"/>
                <w:lang w:val="en-GB"/>
              </w:rPr>
            </w:pPr>
          </w:p>
        </w:tc>
        <w:tc>
          <w:tcPr>
            <w:tcW w:w="1281" w:type="dxa"/>
            <w:vMerge/>
            <w:vAlign w:val="center"/>
          </w:tcPr>
          <w:p w14:paraId="7861DF9C" w14:textId="77777777" w:rsidR="006A41D9" w:rsidRPr="001961AA" w:rsidRDefault="006A41D9" w:rsidP="00BD6DD1">
            <w:pPr>
              <w:spacing w:after="0" w:line="240" w:lineRule="auto"/>
              <w:rPr>
                <w:rFonts w:ascii="Times New Roman" w:eastAsia="Times New Roman" w:hAnsi="Times New Roman" w:cs="Times New Roman"/>
                <w:noProof/>
                <w:color w:val="006100"/>
                <w:lang w:val="en-GB"/>
              </w:rPr>
            </w:pPr>
          </w:p>
        </w:tc>
        <w:tc>
          <w:tcPr>
            <w:tcW w:w="1345" w:type="dxa"/>
            <w:vMerge/>
            <w:vAlign w:val="center"/>
          </w:tcPr>
          <w:p w14:paraId="5DCC6B71" w14:textId="77777777" w:rsidR="006A41D9" w:rsidRPr="001961AA" w:rsidRDefault="006A41D9" w:rsidP="00BD6DD1">
            <w:pPr>
              <w:spacing w:after="0" w:line="240" w:lineRule="auto"/>
              <w:rPr>
                <w:rFonts w:ascii="Times New Roman" w:eastAsia="Times New Roman" w:hAnsi="Times New Roman" w:cs="Times New Roman"/>
                <w:noProof/>
                <w:color w:val="006100"/>
                <w:lang w:val="en-GB"/>
              </w:rPr>
            </w:pPr>
          </w:p>
        </w:tc>
        <w:tc>
          <w:tcPr>
            <w:tcW w:w="1207" w:type="dxa"/>
            <w:shd w:val="clear" w:color="auto" w:fill="BDD7EE"/>
            <w:vAlign w:val="center"/>
          </w:tcPr>
          <w:p w14:paraId="0642ACFD" w14:textId="77777777" w:rsidR="006A41D9" w:rsidRPr="001961AA" w:rsidRDefault="006A41D9" w:rsidP="00BD6DD1">
            <w:pPr>
              <w:spacing w:after="0" w:line="240" w:lineRule="auto"/>
              <w:jc w:val="center"/>
              <w:rPr>
                <w:rFonts w:ascii="Times New Roman" w:eastAsia="Times New Roman" w:hAnsi="Times New Roman" w:cs="Times New Roman"/>
                <w:noProof/>
                <w:color w:val="006100"/>
                <w:sz w:val="20"/>
                <w:szCs w:val="20"/>
                <w:lang w:val="en-GB"/>
              </w:rPr>
            </w:pPr>
            <w:r w:rsidRPr="001961AA">
              <w:rPr>
                <w:rFonts w:ascii="Times New Roman" w:hAnsi="Times New Roman"/>
                <w:b/>
                <w:noProof/>
                <w:sz w:val="20"/>
                <w:lang w:val="en-GB"/>
              </w:rPr>
              <w:t>Unit of measure</w:t>
            </w:r>
          </w:p>
        </w:tc>
        <w:tc>
          <w:tcPr>
            <w:tcW w:w="992" w:type="dxa"/>
            <w:shd w:val="clear" w:color="auto" w:fill="BDD7EE"/>
            <w:vAlign w:val="center"/>
          </w:tcPr>
          <w:p w14:paraId="46F31EB5" w14:textId="77777777" w:rsidR="006A41D9" w:rsidRPr="001961AA" w:rsidRDefault="006A41D9" w:rsidP="00BD6DD1">
            <w:pPr>
              <w:spacing w:after="0" w:line="240" w:lineRule="auto"/>
              <w:jc w:val="center"/>
              <w:rPr>
                <w:rFonts w:ascii="Times New Roman" w:eastAsia="Times New Roman" w:hAnsi="Times New Roman" w:cs="Times New Roman"/>
                <w:noProof/>
                <w:color w:val="006100"/>
                <w:sz w:val="20"/>
                <w:szCs w:val="20"/>
                <w:lang w:val="en-GB"/>
              </w:rPr>
            </w:pPr>
            <w:r w:rsidRPr="001961AA">
              <w:rPr>
                <w:rFonts w:ascii="Times New Roman" w:hAnsi="Times New Roman"/>
                <w:b/>
                <w:noProof/>
                <w:sz w:val="20"/>
                <w:lang w:val="en-GB"/>
              </w:rPr>
              <w:t>Baseline</w:t>
            </w:r>
          </w:p>
        </w:tc>
        <w:tc>
          <w:tcPr>
            <w:tcW w:w="712" w:type="dxa"/>
            <w:shd w:val="clear" w:color="auto" w:fill="BDD7EE"/>
            <w:vAlign w:val="center"/>
          </w:tcPr>
          <w:p w14:paraId="77EDD374" w14:textId="77777777" w:rsidR="006A41D9" w:rsidRPr="001961AA" w:rsidRDefault="006A41D9" w:rsidP="00BD6DD1">
            <w:pPr>
              <w:spacing w:after="0" w:line="240" w:lineRule="auto"/>
              <w:jc w:val="center"/>
              <w:rPr>
                <w:rFonts w:ascii="Times New Roman" w:eastAsia="Times New Roman" w:hAnsi="Times New Roman" w:cs="Times New Roman"/>
                <w:noProof/>
                <w:color w:val="006100"/>
                <w:sz w:val="20"/>
                <w:szCs w:val="20"/>
                <w:lang w:val="en-GB"/>
              </w:rPr>
            </w:pPr>
            <w:r w:rsidRPr="001961AA">
              <w:rPr>
                <w:rFonts w:ascii="Times New Roman" w:hAnsi="Times New Roman"/>
                <w:b/>
                <w:noProof/>
                <w:sz w:val="20"/>
                <w:lang w:val="en-GB"/>
              </w:rPr>
              <w:t>Goal</w:t>
            </w:r>
          </w:p>
        </w:tc>
        <w:tc>
          <w:tcPr>
            <w:tcW w:w="987" w:type="dxa"/>
            <w:shd w:val="clear" w:color="auto" w:fill="BDD7EE"/>
            <w:vAlign w:val="center"/>
          </w:tcPr>
          <w:p w14:paraId="79D5F0D7" w14:textId="77777777" w:rsidR="006A41D9" w:rsidRPr="001961AA" w:rsidRDefault="006A41D9" w:rsidP="00BD6DD1">
            <w:pPr>
              <w:spacing w:after="0" w:line="240" w:lineRule="auto"/>
              <w:jc w:val="center"/>
              <w:rPr>
                <w:rFonts w:ascii="Times New Roman" w:eastAsia="Times New Roman" w:hAnsi="Times New Roman" w:cs="Times New Roman"/>
                <w:noProof/>
                <w:color w:val="006100"/>
                <w:sz w:val="20"/>
                <w:szCs w:val="20"/>
                <w:lang w:val="en-GB"/>
              </w:rPr>
            </w:pPr>
            <w:r w:rsidRPr="001961AA">
              <w:rPr>
                <w:rFonts w:ascii="Times New Roman" w:hAnsi="Times New Roman"/>
                <w:b/>
                <w:noProof/>
                <w:sz w:val="20"/>
                <w:lang w:val="en-GB"/>
              </w:rPr>
              <w:t>Quarter</w:t>
            </w:r>
          </w:p>
        </w:tc>
        <w:tc>
          <w:tcPr>
            <w:tcW w:w="813" w:type="dxa"/>
            <w:shd w:val="clear" w:color="auto" w:fill="BDD7EE"/>
            <w:vAlign w:val="center"/>
          </w:tcPr>
          <w:p w14:paraId="1F8550EF" w14:textId="77777777" w:rsidR="006A41D9" w:rsidRPr="001961AA" w:rsidRDefault="006A41D9" w:rsidP="00BD6DD1">
            <w:pPr>
              <w:spacing w:after="0" w:line="240" w:lineRule="auto"/>
              <w:jc w:val="center"/>
              <w:rPr>
                <w:rFonts w:ascii="Times New Roman" w:eastAsia="Times New Roman" w:hAnsi="Times New Roman" w:cs="Times New Roman"/>
                <w:noProof/>
                <w:color w:val="006100"/>
                <w:sz w:val="20"/>
                <w:szCs w:val="20"/>
                <w:lang w:val="en-GB"/>
              </w:rPr>
            </w:pPr>
            <w:r w:rsidRPr="001961AA">
              <w:rPr>
                <w:rFonts w:ascii="Times New Roman" w:hAnsi="Times New Roman"/>
                <w:b/>
                <w:noProof/>
                <w:sz w:val="20"/>
                <w:lang w:val="en-GB"/>
              </w:rPr>
              <w:t>Year</w:t>
            </w:r>
          </w:p>
        </w:tc>
        <w:tc>
          <w:tcPr>
            <w:tcW w:w="5423" w:type="dxa"/>
            <w:vMerge/>
            <w:vAlign w:val="center"/>
          </w:tcPr>
          <w:p w14:paraId="587E98CB" w14:textId="77777777" w:rsidR="006A41D9" w:rsidRPr="001961AA" w:rsidRDefault="006A41D9" w:rsidP="00BD6DD1">
            <w:pPr>
              <w:spacing w:after="0" w:line="240" w:lineRule="auto"/>
              <w:rPr>
                <w:rFonts w:ascii="Times New Roman" w:eastAsia="Times New Roman" w:hAnsi="Times New Roman" w:cs="Times New Roman"/>
                <w:noProof/>
                <w:color w:val="006100"/>
                <w:lang w:val="en-GB"/>
              </w:rPr>
            </w:pPr>
          </w:p>
        </w:tc>
      </w:tr>
      <w:tr w:rsidR="004868CC" w:rsidRPr="001961AA" w14:paraId="4E3251CA" w14:textId="77777777" w:rsidTr="0074518E">
        <w:tc>
          <w:tcPr>
            <w:tcW w:w="709" w:type="dxa"/>
            <w:shd w:val="clear" w:color="auto" w:fill="C6EFCE"/>
            <w:vAlign w:val="center"/>
          </w:tcPr>
          <w:p w14:paraId="43A7A7C5" w14:textId="77777777" w:rsidR="006A41D9" w:rsidRPr="001961AA" w:rsidRDefault="006A41D9" w:rsidP="00BD6DD1">
            <w:pPr>
              <w:spacing w:line="240" w:lineRule="auto"/>
              <w:rPr>
                <w:rFonts w:ascii="Times New Roman" w:hAnsi="Times New Roman" w:cs="Times New Roman"/>
                <w:noProof/>
                <w:color w:val="006100"/>
                <w:lang w:val="en-GB"/>
              </w:rPr>
            </w:pPr>
            <w:r w:rsidRPr="001961AA">
              <w:rPr>
                <w:rFonts w:ascii="Times New Roman" w:hAnsi="Times New Roman"/>
                <w:noProof/>
                <w:color w:val="006100"/>
                <w:lang w:val="en-GB"/>
              </w:rPr>
              <w:t>211</w:t>
            </w:r>
          </w:p>
        </w:tc>
        <w:tc>
          <w:tcPr>
            <w:tcW w:w="1320" w:type="dxa"/>
            <w:shd w:val="clear" w:color="auto" w:fill="C6EFCE"/>
            <w:vAlign w:val="center"/>
          </w:tcPr>
          <w:p w14:paraId="11DC1546" w14:textId="3FD6782D" w:rsidR="006A41D9" w:rsidRPr="001961AA" w:rsidRDefault="006A41D9" w:rsidP="00BD6DD1">
            <w:pPr>
              <w:spacing w:line="240" w:lineRule="auto"/>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Revision of the code on air, climate and energy - RBC (R-7.01)</w:t>
            </w:r>
          </w:p>
        </w:tc>
        <w:tc>
          <w:tcPr>
            <w:tcW w:w="943" w:type="dxa"/>
            <w:shd w:val="clear" w:color="auto" w:fill="C6EFCE"/>
            <w:vAlign w:val="center"/>
          </w:tcPr>
          <w:p w14:paraId="4328D6B3" w14:textId="77777777" w:rsidR="006A41D9" w:rsidRPr="001961AA" w:rsidRDefault="006A41D9" w:rsidP="00371265">
            <w:pPr>
              <w:spacing w:line="240" w:lineRule="auto"/>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M</w:t>
            </w:r>
          </w:p>
        </w:tc>
        <w:tc>
          <w:tcPr>
            <w:tcW w:w="1281" w:type="dxa"/>
            <w:shd w:val="clear" w:color="auto" w:fill="C6EFCE"/>
            <w:vAlign w:val="center"/>
          </w:tcPr>
          <w:p w14:paraId="10C17AAE" w14:textId="77777777" w:rsidR="006A41D9" w:rsidRPr="001961AA" w:rsidRDefault="006A41D9" w:rsidP="00BD6DD1">
            <w:pPr>
              <w:spacing w:line="240" w:lineRule="auto"/>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New obligations for building renovation</w:t>
            </w:r>
          </w:p>
        </w:tc>
        <w:tc>
          <w:tcPr>
            <w:tcW w:w="1345" w:type="dxa"/>
            <w:shd w:val="clear" w:color="auto" w:fill="C6EFCE"/>
            <w:vAlign w:val="center"/>
          </w:tcPr>
          <w:p w14:paraId="698C1D08" w14:textId="77777777" w:rsidR="006A41D9" w:rsidRPr="001961AA" w:rsidRDefault="006A41D9" w:rsidP="00BD6DD1">
            <w:pPr>
              <w:spacing w:line="240" w:lineRule="auto"/>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Provision in the legal act indicating the entry into force of the ordinance amending COBRACE</w:t>
            </w:r>
          </w:p>
        </w:tc>
        <w:tc>
          <w:tcPr>
            <w:tcW w:w="1207" w:type="dxa"/>
            <w:shd w:val="clear" w:color="auto" w:fill="C6EFCE"/>
            <w:vAlign w:val="center"/>
          </w:tcPr>
          <w:p w14:paraId="3F42A21C" w14:textId="77777777" w:rsidR="006A41D9" w:rsidRPr="001961AA" w:rsidRDefault="006A41D9" w:rsidP="00BD6DD1">
            <w:pPr>
              <w:spacing w:line="240" w:lineRule="auto"/>
              <w:rPr>
                <w:rFonts w:ascii="Times New Roman" w:eastAsia="Times New Roman" w:hAnsi="Times New Roman" w:cs="Times New Roman"/>
                <w:noProof/>
                <w:color w:val="006100"/>
                <w:lang w:val="en-GB"/>
              </w:rPr>
            </w:pPr>
          </w:p>
        </w:tc>
        <w:tc>
          <w:tcPr>
            <w:tcW w:w="992" w:type="dxa"/>
            <w:shd w:val="clear" w:color="auto" w:fill="C6EFCE"/>
            <w:vAlign w:val="center"/>
          </w:tcPr>
          <w:p w14:paraId="7A51DCB7" w14:textId="77777777" w:rsidR="006A41D9" w:rsidRPr="001961AA" w:rsidRDefault="006A41D9" w:rsidP="00BD6DD1">
            <w:pPr>
              <w:spacing w:line="240" w:lineRule="auto"/>
              <w:rPr>
                <w:rFonts w:ascii="Times New Roman" w:eastAsia="Times New Roman" w:hAnsi="Times New Roman" w:cs="Times New Roman"/>
                <w:noProof/>
                <w:color w:val="006100"/>
                <w:lang w:val="en-GB"/>
              </w:rPr>
            </w:pPr>
          </w:p>
        </w:tc>
        <w:tc>
          <w:tcPr>
            <w:tcW w:w="712" w:type="dxa"/>
            <w:shd w:val="clear" w:color="auto" w:fill="C6EFCE"/>
            <w:vAlign w:val="center"/>
          </w:tcPr>
          <w:p w14:paraId="318D62CD" w14:textId="77777777" w:rsidR="006A41D9" w:rsidRPr="001961AA" w:rsidRDefault="006A41D9" w:rsidP="00BD6DD1">
            <w:pPr>
              <w:spacing w:line="240" w:lineRule="auto"/>
              <w:rPr>
                <w:rFonts w:ascii="Times New Roman" w:eastAsia="Times New Roman" w:hAnsi="Times New Roman" w:cs="Times New Roman"/>
                <w:noProof/>
                <w:color w:val="006100"/>
                <w:lang w:val="en-GB"/>
              </w:rPr>
            </w:pPr>
          </w:p>
        </w:tc>
        <w:tc>
          <w:tcPr>
            <w:tcW w:w="987" w:type="dxa"/>
            <w:shd w:val="clear" w:color="auto" w:fill="C6EFCE"/>
            <w:vAlign w:val="center"/>
          </w:tcPr>
          <w:p w14:paraId="181411F1" w14:textId="2393EA36" w:rsidR="006A41D9" w:rsidRPr="001961AA" w:rsidRDefault="3BED6E5D" w:rsidP="00BD6DD1">
            <w:pPr>
              <w:spacing w:line="240" w:lineRule="auto"/>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Q2</w:t>
            </w:r>
          </w:p>
        </w:tc>
        <w:tc>
          <w:tcPr>
            <w:tcW w:w="813" w:type="dxa"/>
            <w:shd w:val="clear" w:color="auto" w:fill="C6EFCE"/>
            <w:vAlign w:val="center"/>
          </w:tcPr>
          <w:p w14:paraId="5500F842" w14:textId="77777777" w:rsidR="006A41D9" w:rsidRPr="001961AA" w:rsidRDefault="006A41D9" w:rsidP="00BD6DD1">
            <w:pPr>
              <w:spacing w:line="240" w:lineRule="auto"/>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2024</w:t>
            </w:r>
          </w:p>
        </w:tc>
        <w:tc>
          <w:tcPr>
            <w:tcW w:w="5423" w:type="dxa"/>
            <w:shd w:val="clear" w:color="auto" w:fill="C6EFCE"/>
            <w:vAlign w:val="center"/>
          </w:tcPr>
          <w:p w14:paraId="2140CE2D" w14:textId="76315743" w:rsidR="006A41D9" w:rsidRPr="001961AA" w:rsidRDefault="003901C2" w:rsidP="00BD6DD1">
            <w:pPr>
              <w:spacing w:line="240" w:lineRule="auto"/>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The entry into force of the Ordinance amending the Brussels code on air, climate and energy.  Those new obligations shall include that (i) an Energy Performance of Buildings (EPC) certificate shall be required for all residential and non-residential EPB units, (ii) EPB units of the residential building stock must at least correspond to a primary energy consumption level of less than 275 kWh/m²/year (limit of class E) within 10 years or by 2033 at the latest, and (iii) less than 150 kWh/m²/year (limit of class C) for the requirements to be achieved within 20 years. As from 1 January 2025, (iv) all new buildings shall have only heating systems whose heat generators meet the eco-design requirements of Directive 2009/125/EC and produce heat only from electricity and/or energy from renewable sources and/or are connected to an efficient district heating system.</w:t>
            </w:r>
          </w:p>
        </w:tc>
      </w:tr>
      <w:tr w:rsidR="004868CC" w:rsidRPr="001961AA" w14:paraId="2CC8D081" w14:textId="77777777" w:rsidTr="0074518E">
        <w:trPr>
          <w:trHeight w:val="1047"/>
        </w:trPr>
        <w:tc>
          <w:tcPr>
            <w:tcW w:w="709" w:type="dxa"/>
            <w:shd w:val="clear" w:color="auto" w:fill="C6EFCE"/>
            <w:vAlign w:val="center"/>
          </w:tcPr>
          <w:p w14:paraId="7B788A1F" w14:textId="77777777" w:rsidR="006A41D9" w:rsidRPr="001961AA" w:rsidRDefault="006A41D9" w:rsidP="00BD6DD1">
            <w:pPr>
              <w:spacing w:line="240" w:lineRule="auto"/>
              <w:rPr>
                <w:rFonts w:ascii="Times New Roman" w:hAnsi="Times New Roman" w:cs="Times New Roman"/>
                <w:noProof/>
                <w:color w:val="006100"/>
                <w:lang w:val="en-GB"/>
              </w:rPr>
            </w:pPr>
            <w:r w:rsidRPr="001961AA">
              <w:rPr>
                <w:rFonts w:ascii="Times New Roman" w:hAnsi="Times New Roman"/>
                <w:noProof/>
                <w:color w:val="006100"/>
                <w:lang w:val="en-GB"/>
              </w:rPr>
              <w:t>212</w:t>
            </w:r>
          </w:p>
        </w:tc>
        <w:tc>
          <w:tcPr>
            <w:tcW w:w="1320" w:type="dxa"/>
            <w:shd w:val="clear" w:color="auto" w:fill="C6EFCE"/>
            <w:vAlign w:val="center"/>
          </w:tcPr>
          <w:p w14:paraId="5A57BC00" w14:textId="49E72D61" w:rsidR="006A41D9" w:rsidRPr="001961AA" w:rsidRDefault="3B2B12C4" w:rsidP="00BD6DD1">
            <w:pPr>
              <w:spacing w:line="240" w:lineRule="auto"/>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Improved energy subsidy scheme’ - RBC (I-7.01)</w:t>
            </w:r>
          </w:p>
        </w:tc>
        <w:tc>
          <w:tcPr>
            <w:tcW w:w="943" w:type="dxa"/>
            <w:shd w:val="clear" w:color="auto" w:fill="C6EFCE"/>
            <w:vAlign w:val="center"/>
          </w:tcPr>
          <w:p w14:paraId="72D425D6" w14:textId="77777777" w:rsidR="006A41D9" w:rsidRPr="001961AA" w:rsidRDefault="006A41D9" w:rsidP="00371265">
            <w:pPr>
              <w:spacing w:line="240" w:lineRule="auto"/>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T</w:t>
            </w:r>
          </w:p>
        </w:tc>
        <w:tc>
          <w:tcPr>
            <w:tcW w:w="1281" w:type="dxa"/>
            <w:shd w:val="clear" w:color="auto" w:fill="C6EFCE"/>
            <w:vAlign w:val="center"/>
          </w:tcPr>
          <w:p w14:paraId="4FBC7AC7" w14:textId="77777777" w:rsidR="006A41D9" w:rsidRPr="001961AA" w:rsidRDefault="006A41D9" w:rsidP="00BD6DD1">
            <w:pPr>
              <w:spacing w:line="240" w:lineRule="auto"/>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Energy grants for low-income households</w:t>
            </w:r>
          </w:p>
        </w:tc>
        <w:tc>
          <w:tcPr>
            <w:tcW w:w="1345" w:type="dxa"/>
            <w:shd w:val="clear" w:color="auto" w:fill="C6EFCE"/>
            <w:vAlign w:val="center"/>
          </w:tcPr>
          <w:p w14:paraId="0CBEFDD6" w14:textId="77777777" w:rsidR="006A41D9" w:rsidRPr="001961AA" w:rsidRDefault="006A41D9" w:rsidP="00BD6DD1">
            <w:pPr>
              <w:spacing w:line="240" w:lineRule="auto"/>
              <w:rPr>
                <w:rFonts w:ascii="Times New Roman" w:eastAsia="Times New Roman" w:hAnsi="Times New Roman" w:cs="Times New Roman"/>
                <w:noProof/>
                <w:color w:val="006100"/>
                <w:lang w:val="en-GB"/>
              </w:rPr>
            </w:pPr>
          </w:p>
        </w:tc>
        <w:tc>
          <w:tcPr>
            <w:tcW w:w="1207" w:type="dxa"/>
            <w:shd w:val="clear" w:color="auto" w:fill="C6EFCE"/>
            <w:vAlign w:val="center"/>
          </w:tcPr>
          <w:p w14:paraId="161CB08B" w14:textId="77777777" w:rsidR="006A41D9" w:rsidRPr="001961AA" w:rsidRDefault="006A41D9" w:rsidP="00BD6DD1">
            <w:pPr>
              <w:spacing w:line="240" w:lineRule="auto"/>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Number</w:t>
            </w:r>
          </w:p>
        </w:tc>
        <w:tc>
          <w:tcPr>
            <w:tcW w:w="992" w:type="dxa"/>
            <w:shd w:val="clear" w:color="auto" w:fill="C6EFCE"/>
            <w:vAlign w:val="center"/>
          </w:tcPr>
          <w:p w14:paraId="65AD8801" w14:textId="77777777" w:rsidR="006A41D9" w:rsidRPr="001961AA" w:rsidRDefault="006A41D9" w:rsidP="00BD6DD1">
            <w:pPr>
              <w:spacing w:line="240" w:lineRule="auto"/>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0</w:t>
            </w:r>
          </w:p>
        </w:tc>
        <w:tc>
          <w:tcPr>
            <w:tcW w:w="712" w:type="dxa"/>
            <w:shd w:val="clear" w:color="auto" w:fill="C6EFCE"/>
            <w:vAlign w:val="center"/>
          </w:tcPr>
          <w:p w14:paraId="4D478174" w14:textId="1F8BAC4E" w:rsidR="006A41D9" w:rsidRPr="001961AA" w:rsidRDefault="521348ED" w:rsidP="00BD6DD1">
            <w:pPr>
              <w:spacing w:line="240" w:lineRule="auto"/>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3 498</w:t>
            </w:r>
          </w:p>
        </w:tc>
        <w:tc>
          <w:tcPr>
            <w:tcW w:w="987" w:type="dxa"/>
            <w:shd w:val="clear" w:color="auto" w:fill="C6EFCE"/>
            <w:vAlign w:val="center"/>
          </w:tcPr>
          <w:p w14:paraId="4B3E18FB" w14:textId="77777777" w:rsidR="006A41D9" w:rsidRPr="001961AA" w:rsidRDefault="006A41D9" w:rsidP="00BD6DD1">
            <w:pPr>
              <w:spacing w:line="240" w:lineRule="auto"/>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Q4</w:t>
            </w:r>
          </w:p>
        </w:tc>
        <w:tc>
          <w:tcPr>
            <w:tcW w:w="813" w:type="dxa"/>
            <w:shd w:val="clear" w:color="auto" w:fill="C6EFCE"/>
            <w:vAlign w:val="center"/>
          </w:tcPr>
          <w:p w14:paraId="285126DB" w14:textId="77777777" w:rsidR="006A41D9" w:rsidRPr="001961AA" w:rsidRDefault="006A41D9" w:rsidP="00BD6DD1">
            <w:pPr>
              <w:spacing w:line="240" w:lineRule="auto"/>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2024</w:t>
            </w:r>
          </w:p>
        </w:tc>
        <w:tc>
          <w:tcPr>
            <w:tcW w:w="5423" w:type="dxa"/>
            <w:shd w:val="clear" w:color="auto" w:fill="C6EFCE"/>
            <w:vAlign w:val="center"/>
          </w:tcPr>
          <w:p w14:paraId="4C4C78F3" w14:textId="7027EA25" w:rsidR="006A41D9" w:rsidRPr="001961AA" w:rsidRDefault="692BE61A" w:rsidP="00BD6DD1">
            <w:pPr>
              <w:spacing w:line="240" w:lineRule="auto"/>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3 498 residential dwellings renovated with the support of energy grants achieving primary energy demand reduction for the benefit of low-income households.</w:t>
            </w:r>
          </w:p>
        </w:tc>
      </w:tr>
      <w:tr w:rsidR="004868CC" w:rsidRPr="001961AA" w14:paraId="3A96592F" w14:textId="77777777" w:rsidTr="0074518E">
        <w:tc>
          <w:tcPr>
            <w:tcW w:w="709" w:type="dxa"/>
            <w:shd w:val="clear" w:color="auto" w:fill="C6EFCE"/>
            <w:vAlign w:val="center"/>
          </w:tcPr>
          <w:p w14:paraId="2EF3B09E" w14:textId="77777777" w:rsidR="006A41D9" w:rsidRPr="001961AA" w:rsidRDefault="006A41D9" w:rsidP="00BD6DD1">
            <w:pPr>
              <w:spacing w:line="240" w:lineRule="auto"/>
              <w:rPr>
                <w:rFonts w:ascii="Times New Roman" w:hAnsi="Times New Roman" w:cs="Times New Roman"/>
                <w:noProof/>
                <w:color w:val="006100"/>
                <w:lang w:val="en-GB"/>
              </w:rPr>
            </w:pPr>
            <w:r w:rsidRPr="001961AA">
              <w:rPr>
                <w:rFonts w:ascii="Times New Roman" w:hAnsi="Times New Roman"/>
                <w:noProof/>
                <w:color w:val="006100"/>
                <w:lang w:val="en-GB"/>
              </w:rPr>
              <w:t>213</w:t>
            </w:r>
          </w:p>
        </w:tc>
        <w:tc>
          <w:tcPr>
            <w:tcW w:w="1320" w:type="dxa"/>
            <w:shd w:val="clear" w:color="auto" w:fill="C6EFCE"/>
            <w:vAlign w:val="center"/>
          </w:tcPr>
          <w:p w14:paraId="55CB6960" w14:textId="5B5D8B27" w:rsidR="006A41D9" w:rsidRPr="001961AA" w:rsidRDefault="006A41D9" w:rsidP="00BD6DD1">
            <w:pPr>
              <w:spacing w:after="0" w:line="240" w:lineRule="auto"/>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Improved energy subsidy scheme of the Flemish Region (I-7.02)</w:t>
            </w:r>
          </w:p>
        </w:tc>
        <w:tc>
          <w:tcPr>
            <w:tcW w:w="943" w:type="dxa"/>
            <w:shd w:val="clear" w:color="auto" w:fill="C6EFCE"/>
            <w:vAlign w:val="center"/>
          </w:tcPr>
          <w:p w14:paraId="779668C1" w14:textId="77777777" w:rsidR="006A41D9" w:rsidRPr="001961AA" w:rsidRDefault="006A41D9" w:rsidP="00371265">
            <w:pPr>
              <w:spacing w:line="240" w:lineRule="auto"/>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M</w:t>
            </w:r>
          </w:p>
        </w:tc>
        <w:tc>
          <w:tcPr>
            <w:tcW w:w="1281" w:type="dxa"/>
            <w:shd w:val="clear" w:color="auto" w:fill="C6EFCE"/>
            <w:vAlign w:val="center"/>
          </w:tcPr>
          <w:p w14:paraId="603DAEFE" w14:textId="77777777" w:rsidR="006A41D9" w:rsidRPr="001961AA" w:rsidRDefault="006A41D9" w:rsidP="00BD6DD1">
            <w:pPr>
              <w:spacing w:line="240" w:lineRule="auto"/>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Increased energy subsidy scheme of the Flemish Region</w:t>
            </w:r>
          </w:p>
        </w:tc>
        <w:tc>
          <w:tcPr>
            <w:tcW w:w="1345" w:type="dxa"/>
            <w:shd w:val="clear" w:color="auto" w:fill="C6EFCE"/>
            <w:vAlign w:val="center"/>
          </w:tcPr>
          <w:p w14:paraId="396F4248" w14:textId="3647185C" w:rsidR="006A41D9" w:rsidRPr="001961AA" w:rsidRDefault="006A41D9" w:rsidP="00BD6DD1">
            <w:pPr>
              <w:spacing w:line="240" w:lineRule="auto"/>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Entry into force of the amendment of the decree concerning the energy subsidy scheme of the Flemish government</w:t>
            </w:r>
          </w:p>
        </w:tc>
        <w:tc>
          <w:tcPr>
            <w:tcW w:w="1207" w:type="dxa"/>
            <w:shd w:val="clear" w:color="auto" w:fill="C6EFCE"/>
            <w:vAlign w:val="center"/>
          </w:tcPr>
          <w:p w14:paraId="7C4E8F3B" w14:textId="77777777" w:rsidR="006A41D9" w:rsidRPr="001961AA" w:rsidRDefault="006A41D9" w:rsidP="00BD6DD1">
            <w:pPr>
              <w:spacing w:line="240" w:lineRule="auto"/>
              <w:rPr>
                <w:rFonts w:ascii="Times New Roman" w:eastAsia="Times New Roman" w:hAnsi="Times New Roman" w:cs="Times New Roman"/>
                <w:noProof/>
                <w:color w:val="006100"/>
                <w:lang w:val="en-GB"/>
              </w:rPr>
            </w:pPr>
          </w:p>
        </w:tc>
        <w:tc>
          <w:tcPr>
            <w:tcW w:w="992" w:type="dxa"/>
            <w:shd w:val="clear" w:color="auto" w:fill="C6EFCE"/>
            <w:vAlign w:val="center"/>
          </w:tcPr>
          <w:p w14:paraId="6CD9CAC9" w14:textId="77777777" w:rsidR="006A41D9" w:rsidRPr="001961AA" w:rsidRDefault="006A41D9" w:rsidP="00BD6DD1">
            <w:pPr>
              <w:spacing w:line="240" w:lineRule="auto"/>
              <w:rPr>
                <w:rFonts w:ascii="Times New Roman" w:eastAsia="Times New Roman" w:hAnsi="Times New Roman" w:cs="Times New Roman"/>
                <w:noProof/>
                <w:color w:val="006100"/>
                <w:lang w:val="en-GB"/>
              </w:rPr>
            </w:pPr>
          </w:p>
        </w:tc>
        <w:tc>
          <w:tcPr>
            <w:tcW w:w="712" w:type="dxa"/>
            <w:shd w:val="clear" w:color="auto" w:fill="C6EFCE"/>
            <w:vAlign w:val="center"/>
          </w:tcPr>
          <w:p w14:paraId="7A4560B3" w14:textId="77777777" w:rsidR="006A41D9" w:rsidRPr="001961AA" w:rsidRDefault="006A41D9" w:rsidP="00BD6DD1">
            <w:pPr>
              <w:spacing w:line="240" w:lineRule="auto"/>
              <w:rPr>
                <w:rFonts w:ascii="Times New Roman" w:eastAsia="Times New Roman" w:hAnsi="Times New Roman" w:cs="Times New Roman"/>
                <w:noProof/>
                <w:color w:val="006100"/>
                <w:lang w:val="en-GB"/>
              </w:rPr>
            </w:pPr>
          </w:p>
        </w:tc>
        <w:tc>
          <w:tcPr>
            <w:tcW w:w="987" w:type="dxa"/>
            <w:shd w:val="clear" w:color="auto" w:fill="C6EFCE"/>
            <w:vAlign w:val="center"/>
          </w:tcPr>
          <w:p w14:paraId="529BB195" w14:textId="77777777" w:rsidR="006A41D9" w:rsidRPr="001961AA" w:rsidRDefault="006A41D9" w:rsidP="00BD6DD1">
            <w:pPr>
              <w:spacing w:line="240" w:lineRule="auto"/>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Q1</w:t>
            </w:r>
          </w:p>
        </w:tc>
        <w:tc>
          <w:tcPr>
            <w:tcW w:w="813" w:type="dxa"/>
            <w:shd w:val="clear" w:color="auto" w:fill="C6EFCE"/>
            <w:vAlign w:val="center"/>
          </w:tcPr>
          <w:p w14:paraId="39F87307" w14:textId="77777777" w:rsidR="006A41D9" w:rsidRPr="001961AA" w:rsidRDefault="006A41D9" w:rsidP="00BD6DD1">
            <w:pPr>
              <w:spacing w:line="240" w:lineRule="auto"/>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2022</w:t>
            </w:r>
          </w:p>
        </w:tc>
        <w:tc>
          <w:tcPr>
            <w:tcW w:w="5423" w:type="dxa"/>
            <w:shd w:val="clear" w:color="auto" w:fill="C6EFCE"/>
            <w:vAlign w:val="center"/>
          </w:tcPr>
          <w:p w14:paraId="0B619B7A" w14:textId="691F9866" w:rsidR="006A41D9" w:rsidRPr="001961AA" w:rsidRDefault="00E11617" w:rsidP="00BD6DD1">
            <w:pPr>
              <w:spacing w:line="240" w:lineRule="auto"/>
              <w:rPr>
                <w:rFonts w:ascii="Times New Roman" w:eastAsia="Times New Roman" w:hAnsi="Times New Roman" w:cs="Times New Roman"/>
                <w:noProof/>
                <w:color w:val="006100"/>
                <w:highlight w:val="yellow"/>
                <w:lang w:val="en-GB"/>
              </w:rPr>
            </w:pPr>
            <w:r w:rsidRPr="001961AA">
              <w:rPr>
                <w:rFonts w:ascii="Times New Roman" w:hAnsi="Times New Roman"/>
                <w:noProof/>
                <w:color w:val="006100"/>
                <w:lang w:val="en-GB"/>
              </w:rPr>
              <w:t>Entry into force of the amendment to the decree concerning the energy subsidy scheme related to R-1.01, sub-reform (i). It shall define an increase in support for the two lowest income target groups, as well as an increase in the grants for roof insulation and the grants for heat pumps.</w:t>
            </w:r>
          </w:p>
        </w:tc>
      </w:tr>
      <w:tr w:rsidR="004868CC" w:rsidRPr="001961AA" w14:paraId="1CB1BC49" w14:textId="77777777" w:rsidTr="0074518E">
        <w:tc>
          <w:tcPr>
            <w:tcW w:w="709" w:type="dxa"/>
            <w:shd w:val="clear" w:color="auto" w:fill="C6EFCE"/>
            <w:vAlign w:val="center"/>
          </w:tcPr>
          <w:p w14:paraId="34E82CF4" w14:textId="77777777" w:rsidR="006A41D9" w:rsidRPr="001961AA" w:rsidRDefault="006A41D9" w:rsidP="00BD6DD1">
            <w:pPr>
              <w:spacing w:after="0" w:line="240" w:lineRule="auto"/>
              <w:rPr>
                <w:rFonts w:ascii="Times New Roman" w:hAnsi="Times New Roman" w:cs="Times New Roman"/>
                <w:noProof/>
                <w:color w:val="006100"/>
                <w:lang w:val="en-GB"/>
              </w:rPr>
            </w:pPr>
            <w:r w:rsidRPr="001961AA">
              <w:rPr>
                <w:rFonts w:ascii="Times New Roman" w:hAnsi="Times New Roman"/>
                <w:noProof/>
                <w:color w:val="006100"/>
                <w:lang w:val="en-GB"/>
              </w:rPr>
              <w:t>214</w:t>
            </w:r>
          </w:p>
        </w:tc>
        <w:tc>
          <w:tcPr>
            <w:tcW w:w="1320" w:type="dxa"/>
            <w:shd w:val="clear" w:color="auto" w:fill="C6EFCE"/>
            <w:vAlign w:val="center"/>
          </w:tcPr>
          <w:p w14:paraId="4A114E0E" w14:textId="359D06FE" w:rsidR="006A41D9" w:rsidRPr="001961AA" w:rsidRDefault="006A41D9" w:rsidP="00BD6DD1">
            <w:pPr>
              <w:spacing w:after="0" w:line="240" w:lineRule="auto"/>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Energy grants - German-speaking Community (I-7.03)</w:t>
            </w:r>
          </w:p>
        </w:tc>
        <w:tc>
          <w:tcPr>
            <w:tcW w:w="943" w:type="dxa"/>
            <w:shd w:val="clear" w:color="auto" w:fill="C6EFCE"/>
            <w:vAlign w:val="center"/>
          </w:tcPr>
          <w:p w14:paraId="14EC3885" w14:textId="77777777" w:rsidR="006A41D9" w:rsidRPr="001961AA" w:rsidRDefault="006A41D9" w:rsidP="00371265">
            <w:pPr>
              <w:spacing w:after="0" w:line="240" w:lineRule="auto"/>
              <w:jc w:val="center"/>
              <w:rPr>
                <w:rFonts w:ascii="Times New Roman" w:hAnsi="Times New Roman" w:cs="Times New Roman"/>
                <w:noProof/>
                <w:color w:val="006100"/>
                <w:lang w:val="en-GB"/>
              </w:rPr>
            </w:pPr>
            <w:r w:rsidRPr="001961AA">
              <w:rPr>
                <w:rFonts w:ascii="Times New Roman" w:hAnsi="Times New Roman"/>
                <w:noProof/>
                <w:color w:val="006100"/>
                <w:lang w:val="en-GB"/>
              </w:rPr>
              <w:t>T</w:t>
            </w:r>
          </w:p>
        </w:tc>
        <w:tc>
          <w:tcPr>
            <w:tcW w:w="1281" w:type="dxa"/>
            <w:shd w:val="clear" w:color="auto" w:fill="C6EFCE"/>
            <w:vAlign w:val="center"/>
          </w:tcPr>
          <w:p w14:paraId="4540FA18" w14:textId="77777777" w:rsidR="006A41D9" w:rsidRPr="001961AA" w:rsidRDefault="006A41D9" w:rsidP="00BD6DD1">
            <w:pPr>
              <w:spacing w:after="0" w:line="240" w:lineRule="auto"/>
              <w:rPr>
                <w:rFonts w:ascii="Times New Roman" w:hAnsi="Times New Roman" w:cs="Times New Roman"/>
                <w:noProof/>
                <w:color w:val="006100"/>
                <w:lang w:val="en-GB"/>
              </w:rPr>
            </w:pPr>
            <w:r w:rsidRPr="001961AA">
              <w:rPr>
                <w:rFonts w:ascii="Times New Roman" w:hAnsi="Times New Roman"/>
                <w:noProof/>
                <w:color w:val="006100"/>
                <w:lang w:val="en-GB"/>
              </w:rPr>
              <w:t>Renovation of private housing</w:t>
            </w:r>
          </w:p>
        </w:tc>
        <w:tc>
          <w:tcPr>
            <w:tcW w:w="1345" w:type="dxa"/>
            <w:shd w:val="clear" w:color="auto" w:fill="C6EFCE"/>
            <w:vAlign w:val="center"/>
          </w:tcPr>
          <w:p w14:paraId="68C731E6" w14:textId="40CBA41C" w:rsidR="006A41D9" w:rsidRPr="001961AA" w:rsidRDefault="006A41D9" w:rsidP="00BD6DD1">
            <w:pPr>
              <w:spacing w:after="0" w:line="240" w:lineRule="auto"/>
              <w:rPr>
                <w:rFonts w:ascii="Times New Roman" w:hAnsi="Times New Roman" w:cs="Times New Roman"/>
                <w:noProof/>
                <w:color w:val="006100"/>
                <w:lang w:val="en-GB"/>
              </w:rPr>
            </w:pPr>
          </w:p>
        </w:tc>
        <w:tc>
          <w:tcPr>
            <w:tcW w:w="1207" w:type="dxa"/>
            <w:shd w:val="clear" w:color="auto" w:fill="C6EFCE"/>
            <w:vAlign w:val="center"/>
          </w:tcPr>
          <w:p w14:paraId="3CD233D3" w14:textId="77777777" w:rsidR="006A41D9" w:rsidRPr="001961AA" w:rsidRDefault="006A41D9" w:rsidP="00BD6DD1">
            <w:pPr>
              <w:spacing w:after="0" w:line="240" w:lineRule="auto"/>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Number</w:t>
            </w:r>
          </w:p>
        </w:tc>
        <w:tc>
          <w:tcPr>
            <w:tcW w:w="992" w:type="dxa"/>
            <w:shd w:val="clear" w:color="auto" w:fill="C6EFCE"/>
            <w:vAlign w:val="center"/>
          </w:tcPr>
          <w:p w14:paraId="671AF560" w14:textId="77777777" w:rsidR="006A41D9" w:rsidRPr="001961AA" w:rsidRDefault="006A41D9" w:rsidP="00BD6DD1">
            <w:pPr>
              <w:spacing w:after="0" w:line="240" w:lineRule="auto"/>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0</w:t>
            </w:r>
          </w:p>
        </w:tc>
        <w:tc>
          <w:tcPr>
            <w:tcW w:w="712" w:type="dxa"/>
            <w:shd w:val="clear" w:color="auto" w:fill="C6EFCE"/>
            <w:vAlign w:val="center"/>
          </w:tcPr>
          <w:p w14:paraId="104447E8" w14:textId="77777777" w:rsidR="006A41D9" w:rsidRPr="001961AA" w:rsidRDefault="006A41D9" w:rsidP="00BD6DD1">
            <w:pPr>
              <w:spacing w:after="0" w:line="240" w:lineRule="auto"/>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774</w:t>
            </w:r>
          </w:p>
        </w:tc>
        <w:tc>
          <w:tcPr>
            <w:tcW w:w="987" w:type="dxa"/>
            <w:shd w:val="clear" w:color="auto" w:fill="C6EFCE"/>
            <w:vAlign w:val="center"/>
          </w:tcPr>
          <w:p w14:paraId="26875591" w14:textId="77777777" w:rsidR="006A41D9" w:rsidRPr="001961AA" w:rsidRDefault="006A41D9" w:rsidP="00BD6DD1">
            <w:pPr>
              <w:spacing w:after="0" w:line="240" w:lineRule="auto"/>
              <w:rPr>
                <w:rFonts w:ascii="Times New Roman" w:hAnsi="Times New Roman" w:cs="Times New Roman"/>
                <w:noProof/>
                <w:color w:val="006100"/>
                <w:lang w:val="en-GB"/>
              </w:rPr>
            </w:pPr>
            <w:r w:rsidRPr="001961AA">
              <w:rPr>
                <w:rFonts w:ascii="Times New Roman" w:hAnsi="Times New Roman"/>
                <w:noProof/>
                <w:color w:val="006100"/>
                <w:lang w:val="en-GB"/>
              </w:rPr>
              <w:t>Q2</w:t>
            </w:r>
          </w:p>
        </w:tc>
        <w:tc>
          <w:tcPr>
            <w:tcW w:w="813" w:type="dxa"/>
            <w:shd w:val="clear" w:color="auto" w:fill="C6EFCE"/>
            <w:vAlign w:val="center"/>
          </w:tcPr>
          <w:p w14:paraId="30EA5DB0" w14:textId="77777777" w:rsidR="006A41D9" w:rsidRPr="001961AA" w:rsidRDefault="006A41D9" w:rsidP="00BD6DD1">
            <w:pPr>
              <w:spacing w:after="0" w:line="240" w:lineRule="auto"/>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2024</w:t>
            </w:r>
          </w:p>
        </w:tc>
        <w:tc>
          <w:tcPr>
            <w:tcW w:w="5423" w:type="dxa"/>
            <w:shd w:val="clear" w:color="auto" w:fill="C6EFCE"/>
            <w:vAlign w:val="center"/>
          </w:tcPr>
          <w:p w14:paraId="2A1903C1" w14:textId="77777777" w:rsidR="006A41D9" w:rsidRPr="001961AA" w:rsidRDefault="006A41D9" w:rsidP="00BD6DD1">
            <w:pPr>
              <w:spacing w:after="0" w:line="240" w:lineRule="auto"/>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774 private housing units have been renovated with the support of energy grants.</w:t>
            </w:r>
          </w:p>
        </w:tc>
      </w:tr>
      <w:tr w:rsidR="004868CC" w:rsidRPr="001961AA" w14:paraId="3457531F" w14:textId="77777777" w:rsidTr="0074518E">
        <w:tc>
          <w:tcPr>
            <w:tcW w:w="709" w:type="dxa"/>
            <w:shd w:val="clear" w:color="auto" w:fill="C6EFCE"/>
            <w:vAlign w:val="center"/>
          </w:tcPr>
          <w:p w14:paraId="699106B2" w14:textId="77777777" w:rsidR="006A41D9" w:rsidRPr="001961AA" w:rsidRDefault="006A41D9" w:rsidP="00BD6DD1">
            <w:pPr>
              <w:spacing w:line="240" w:lineRule="auto"/>
              <w:rPr>
                <w:rFonts w:ascii="Times New Roman" w:hAnsi="Times New Roman" w:cs="Times New Roman"/>
                <w:noProof/>
                <w:color w:val="006100"/>
                <w:lang w:val="en-GB"/>
              </w:rPr>
            </w:pPr>
            <w:r w:rsidRPr="001961AA">
              <w:rPr>
                <w:rFonts w:ascii="Times New Roman" w:hAnsi="Times New Roman"/>
                <w:noProof/>
                <w:color w:val="006100"/>
                <w:lang w:val="en-GB"/>
              </w:rPr>
              <w:t>215</w:t>
            </w:r>
          </w:p>
        </w:tc>
        <w:tc>
          <w:tcPr>
            <w:tcW w:w="1320" w:type="dxa"/>
            <w:shd w:val="clear" w:color="auto" w:fill="C6EFCE"/>
            <w:vAlign w:val="center"/>
          </w:tcPr>
          <w:p w14:paraId="7BBAD41F" w14:textId="08A00C87" w:rsidR="006A41D9" w:rsidRPr="001961AA" w:rsidRDefault="006A41D9" w:rsidP="00BD6DD1">
            <w:pPr>
              <w:spacing w:line="240" w:lineRule="auto"/>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Renovation of social housing – WAL (I-7.04)</w:t>
            </w:r>
          </w:p>
        </w:tc>
        <w:tc>
          <w:tcPr>
            <w:tcW w:w="943" w:type="dxa"/>
            <w:shd w:val="clear" w:color="auto" w:fill="C6EFCE"/>
            <w:vAlign w:val="center"/>
          </w:tcPr>
          <w:p w14:paraId="496893F6" w14:textId="77777777" w:rsidR="006A41D9" w:rsidRPr="001961AA" w:rsidRDefault="006A41D9" w:rsidP="00371265">
            <w:pPr>
              <w:spacing w:line="240" w:lineRule="auto"/>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T</w:t>
            </w:r>
          </w:p>
        </w:tc>
        <w:tc>
          <w:tcPr>
            <w:tcW w:w="1281" w:type="dxa"/>
            <w:shd w:val="clear" w:color="auto" w:fill="C6EFCE"/>
            <w:vAlign w:val="center"/>
          </w:tcPr>
          <w:p w14:paraId="4C011105" w14:textId="77777777" w:rsidR="006A41D9" w:rsidRPr="001961AA" w:rsidRDefault="006A41D9" w:rsidP="00BD6DD1">
            <w:pPr>
              <w:spacing w:after="0" w:line="240" w:lineRule="auto"/>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Solar panels and heat pumps in social housing</w:t>
            </w:r>
          </w:p>
        </w:tc>
        <w:tc>
          <w:tcPr>
            <w:tcW w:w="1345" w:type="dxa"/>
            <w:shd w:val="clear" w:color="auto" w:fill="C6EFCE"/>
            <w:vAlign w:val="center"/>
          </w:tcPr>
          <w:p w14:paraId="5FF6BFAF" w14:textId="77777777" w:rsidR="006A41D9" w:rsidRPr="001961AA" w:rsidRDefault="006A41D9" w:rsidP="00BD6DD1">
            <w:pPr>
              <w:spacing w:after="0" w:line="240" w:lineRule="auto"/>
              <w:rPr>
                <w:rFonts w:ascii="Times New Roman" w:eastAsia="Times New Roman" w:hAnsi="Times New Roman" w:cs="Times New Roman"/>
                <w:noProof/>
                <w:color w:val="006100"/>
                <w:lang w:val="en-GB"/>
              </w:rPr>
            </w:pPr>
          </w:p>
        </w:tc>
        <w:tc>
          <w:tcPr>
            <w:tcW w:w="1207" w:type="dxa"/>
            <w:shd w:val="clear" w:color="auto" w:fill="C6EFCE"/>
            <w:vAlign w:val="center"/>
          </w:tcPr>
          <w:p w14:paraId="182498BC" w14:textId="77777777" w:rsidR="006A41D9" w:rsidRPr="001961AA" w:rsidRDefault="006A41D9" w:rsidP="00BD6DD1">
            <w:pPr>
              <w:spacing w:after="0" w:line="240" w:lineRule="auto"/>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Number</w:t>
            </w:r>
          </w:p>
        </w:tc>
        <w:tc>
          <w:tcPr>
            <w:tcW w:w="992" w:type="dxa"/>
            <w:shd w:val="clear" w:color="auto" w:fill="C6EFCE"/>
            <w:vAlign w:val="center"/>
          </w:tcPr>
          <w:p w14:paraId="4F0416F3" w14:textId="7DAC78DD" w:rsidR="006A41D9" w:rsidRPr="001961AA" w:rsidRDefault="00B60F38" w:rsidP="00BD6DD1">
            <w:pPr>
              <w:spacing w:after="0" w:line="240" w:lineRule="auto"/>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0</w:t>
            </w:r>
          </w:p>
        </w:tc>
        <w:tc>
          <w:tcPr>
            <w:tcW w:w="712" w:type="dxa"/>
            <w:shd w:val="clear" w:color="auto" w:fill="C6EFCE"/>
            <w:vAlign w:val="center"/>
          </w:tcPr>
          <w:p w14:paraId="6AF13A06" w14:textId="1EED0C03" w:rsidR="006A41D9" w:rsidRPr="001961AA" w:rsidRDefault="006A41D9" w:rsidP="00BD6DD1">
            <w:pPr>
              <w:spacing w:after="0" w:line="240" w:lineRule="auto"/>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3 600</w:t>
            </w:r>
          </w:p>
        </w:tc>
        <w:tc>
          <w:tcPr>
            <w:tcW w:w="987" w:type="dxa"/>
            <w:shd w:val="clear" w:color="auto" w:fill="C6EFCE"/>
            <w:vAlign w:val="center"/>
          </w:tcPr>
          <w:p w14:paraId="434BD88A" w14:textId="77777777" w:rsidR="006A41D9" w:rsidRPr="001961AA" w:rsidRDefault="006A41D9" w:rsidP="00BD6DD1">
            <w:pPr>
              <w:spacing w:after="0" w:line="240" w:lineRule="auto"/>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Q2</w:t>
            </w:r>
          </w:p>
        </w:tc>
        <w:tc>
          <w:tcPr>
            <w:tcW w:w="813" w:type="dxa"/>
            <w:shd w:val="clear" w:color="auto" w:fill="C6EFCE"/>
            <w:vAlign w:val="center"/>
          </w:tcPr>
          <w:p w14:paraId="4FBEF063" w14:textId="77777777" w:rsidR="006A41D9" w:rsidRPr="001961AA" w:rsidRDefault="006A41D9" w:rsidP="00BD6DD1">
            <w:pPr>
              <w:spacing w:after="0" w:line="240" w:lineRule="auto"/>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2026</w:t>
            </w:r>
          </w:p>
        </w:tc>
        <w:tc>
          <w:tcPr>
            <w:tcW w:w="5423" w:type="dxa"/>
            <w:shd w:val="clear" w:color="auto" w:fill="C6EFCE"/>
            <w:vAlign w:val="center"/>
          </w:tcPr>
          <w:p w14:paraId="6B18E007" w14:textId="3774B57D" w:rsidR="006A41D9" w:rsidRPr="001961AA" w:rsidRDefault="006A41D9" w:rsidP="00BD6DD1">
            <w:pPr>
              <w:spacing w:after="0" w:line="240" w:lineRule="auto"/>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3 600 social housing units have been equipped with solar panels including 285 social housing units have been equipped with solar panels and heat pumps.</w:t>
            </w:r>
          </w:p>
        </w:tc>
      </w:tr>
      <w:tr w:rsidR="004868CC" w:rsidRPr="001961AA" w14:paraId="1182A32D" w14:textId="77777777" w:rsidTr="0074518E">
        <w:tc>
          <w:tcPr>
            <w:tcW w:w="709" w:type="dxa"/>
            <w:shd w:val="clear" w:color="auto" w:fill="C6EFCE"/>
            <w:vAlign w:val="center"/>
          </w:tcPr>
          <w:p w14:paraId="151C995E" w14:textId="77777777" w:rsidR="006A41D9" w:rsidRPr="001961AA" w:rsidRDefault="006A41D9" w:rsidP="00BD6DD1">
            <w:pPr>
              <w:spacing w:line="240" w:lineRule="auto"/>
              <w:rPr>
                <w:rFonts w:ascii="Times New Roman" w:hAnsi="Times New Roman" w:cs="Times New Roman"/>
                <w:noProof/>
                <w:color w:val="006100"/>
                <w:lang w:val="en-GB"/>
              </w:rPr>
            </w:pPr>
            <w:r w:rsidRPr="001961AA">
              <w:rPr>
                <w:rFonts w:ascii="Times New Roman" w:hAnsi="Times New Roman"/>
                <w:noProof/>
                <w:color w:val="006100"/>
                <w:lang w:val="en-GB"/>
              </w:rPr>
              <w:t>216</w:t>
            </w:r>
          </w:p>
        </w:tc>
        <w:tc>
          <w:tcPr>
            <w:tcW w:w="1320" w:type="dxa"/>
            <w:shd w:val="clear" w:color="auto" w:fill="C6EFCE"/>
            <w:vAlign w:val="center"/>
          </w:tcPr>
          <w:p w14:paraId="05345B1B" w14:textId="7F0D4C9D" w:rsidR="006A41D9" w:rsidRPr="001961AA" w:rsidRDefault="006A41D9" w:rsidP="00BD6DD1">
            <w:pPr>
              <w:spacing w:after="0" w:line="240" w:lineRule="auto"/>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Energy-climate measures in public buildings – Federal state (I-7.05)</w:t>
            </w:r>
          </w:p>
        </w:tc>
        <w:tc>
          <w:tcPr>
            <w:tcW w:w="943" w:type="dxa"/>
            <w:shd w:val="clear" w:color="auto" w:fill="C6EFCE"/>
            <w:vAlign w:val="center"/>
          </w:tcPr>
          <w:p w14:paraId="4497D7E0" w14:textId="77777777" w:rsidR="006A41D9" w:rsidRPr="001961AA" w:rsidRDefault="006A41D9" w:rsidP="00371265">
            <w:pPr>
              <w:spacing w:after="0" w:line="240" w:lineRule="auto"/>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T</w:t>
            </w:r>
          </w:p>
        </w:tc>
        <w:tc>
          <w:tcPr>
            <w:tcW w:w="1281" w:type="dxa"/>
            <w:shd w:val="clear" w:color="auto" w:fill="C6EFCE"/>
            <w:vAlign w:val="center"/>
          </w:tcPr>
          <w:p w14:paraId="104187A4" w14:textId="77777777" w:rsidR="006A41D9" w:rsidRPr="001961AA" w:rsidRDefault="006A41D9" w:rsidP="00BD6DD1">
            <w:pPr>
              <w:spacing w:line="240" w:lineRule="auto"/>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Completed energy measures</w:t>
            </w:r>
          </w:p>
        </w:tc>
        <w:tc>
          <w:tcPr>
            <w:tcW w:w="1345" w:type="dxa"/>
            <w:shd w:val="clear" w:color="auto" w:fill="C6EFCE"/>
            <w:vAlign w:val="center"/>
          </w:tcPr>
          <w:p w14:paraId="3CFD5B32" w14:textId="77777777" w:rsidR="006A41D9" w:rsidRPr="001961AA" w:rsidRDefault="006A41D9" w:rsidP="00BD6DD1">
            <w:pPr>
              <w:spacing w:line="240" w:lineRule="auto"/>
              <w:rPr>
                <w:rFonts w:ascii="Times New Roman" w:eastAsia="Times New Roman" w:hAnsi="Times New Roman" w:cs="Times New Roman"/>
                <w:noProof/>
                <w:color w:val="006100"/>
                <w:lang w:val="en-GB"/>
              </w:rPr>
            </w:pPr>
          </w:p>
        </w:tc>
        <w:tc>
          <w:tcPr>
            <w:tcW w:w="1207" w:type="dxa"/>
            <w:shd w:val="clear" w:color="auto" w:fill="C6EFCE"/>
            <w:vAlign w:val="center"/>
          </w:tcPr>
          <w:p w14:paraId="5EA064FA" w14:textId="77777777" w:rsidR="006A41D9" w:rsidRPr="001961AA" w:rsidRDefault="006A41D9" w:rsidP="00BD6DD1">
            <w:pPr>
              <w:spacing w:line="240" w:lineRule="auto"/>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Number</w:t>
            </w:r>
          </w:p>
        </w:tc>
        <w:tc>
          <w:tcPr>
            <w:tcW w:w="992" w:type="dxa"/>
            <w:shd w:val="clear" w:color="auto" w:fill="C6EFCE"/>
            <w:vAlign w:val="center"/>
          </w:tcPr>
          <w:p w14:paraId="4A4EC687" w14:textId="77777777" w:rsidR="006A41D9" w:rsidRPr="001961AA" w:rsidRDefault="006A41D9" w:rsidP="00BD6DD1">
            <w:pPr>
              <w:spacing w:line="240" w:lineRule="auto"/>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0</w:t>
            </w:r>
          </w:p>
        </w:tc>
        <w:tc>
          <w:tcPr>
            <w:tcW w:w="712" w:type="dxa"/>
            <w:shd w:val="clear" w:color="auto" w:fill="C6EFCE"/>
            <w:vAlign w:val="center"/>
          </w:tcPr>
          <w:p w14:paraId="4B22FE9C" w14:textId="77777777" w:rsidR="006A41D9" w:rsidRPr="001961AA" w:rsidRDefault="006A41D9" w:rsidP="00BD6DD1">
            <w:pPr>
              <w:spacing w:line="240" w:lineRule="auto"/>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3 622</w:t>
            </w:r>
          </w:p>
        </w:tc>
        <w:tc>
          <w:tcPr>
            <w:tcW w:w="987" w:type="dxa"/>
            <w:shd w:val="clear" w:color="auto" w:fill="C6EFCE"/>
            <w:vAlign w:val="center"/>
          </w:tcPr>
          <w:p w14:paraId="188E9126" w14:textId="77777777" w:rsidR="006A41D9" w:rsidRPr="001961AA" w:rsidRDefault="006A41D9" w:rsidP="00BD6DD1">
            <w:pPr>
              <w:spacing w:line="240" w:lineRule="auto"/>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Q4</w:t>
            </w:r>
          </w:p>
        </w:tc>
        <w:tc>
          <w:tcPr>
            <w:tcW w:w="813" w:type="dxa"/>
            <w:shd w:val="clear" w:color="auto" w:fill="C6EFCE"/>
            <w:vAlign w:val="center"/>
          </w:tcPr>
          <w:p w14:paraId="3063168D" w14:textId="77777777" w:rsidR="006A41D9" w:rsidRPr="001961AA" w:rsidRDefault="006A41D9" w:rsidP="00BD6DD1">
            <w:pPr>
              <w:spacing w:line="240" w:lineRule="auto"/>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2025</w:t>
            </w:r>
          </w:p>
        </w:tc>
        <w:tc>
          <w:tcPr>
            <w:tcW w:w="5423" w:type="dxa"/>
            <w:shd w:val="clear" w:color="auto" w:fill="C6EFCE"/>
            <w:vAlign w:val="center"/>
          </w:tcPr>
          <w:p w14:paraId="6464FE74" w14:textId="7C267FC1" w:rsidR="006A41D9" w:rsidRPr="001961AA" w:rsidRDefault="006A41D9" w:rsidP="00BD6DD1">
            <w:pPr>
              <w:spacing w:line="240" w:lineRule="auto"/>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The 50 selected projects of installing LED lights, solar panels and charging points in federal buildings have been completed, including at least 224 kW LED lights, 3 300 kWp solar panels and 98 charging points.</w:t>
            </w:r>
            <w:r w:rsidRPr="001961AA">
              <w:rPr>
                <w:noProof/>
                <w:lang w:val="en-GB"/>
              </w:rPr>
              <w:t xml:space="preserve"> </w:t>
            </w:r>
            <w:r w:rsidRPr="001961AA">
              <w:rPr>
                <w:rFonts w:ascii="Times New Roman" w:hAnsi="Times New Roman"/>
                <w:noProof/>
                <w:color w:val="006100"/>
                <w:lang w:val="en-GB"/>
              </w:rPr>
              <w:t>The objective of the charging infrastructure shall be in line with Directive (EU) 2023/2413 amending the Renewable Energy Directive (EU) 2018/2001.</w:t>
            </w:r>
          </w:p>
        </w:tc>
      </w:tr>
      <w:tr w:rsidR="004868CC" w:rsidRPr="001961AA" w14:paraId="5FBD66EF" w14:textId="77777777" w:rsidTr="0074518E">
        <w:tc>
          <w:tcPr>
            <w:tcW w:w="709" w:type="dxa"/>
            <w:shd w:val="clear" w:color="auto" w:fill="C6EFCE"/>
            <w:vAlign w:val="center"/>
          </w:tcPr>
          <w:p w14:paraId="5BBAB290" w14:textId="77777777" w:rsidR="006A41D9" w:rsidRPr="001961AA" w:rsidRDefault="006A41D9" w:rsidP="00BD6DD1">
            <w:pPr>
              <w:spacing w:line="240" w:lineRule="auto"/>
              <w:rPr>
                <w:rFonts w:ascii="Times New Roman" w:hAnsi="Times New Roman" w:cs="Times New Roman"/>
                <w:noProof/>
                <w:color w:val="006100"/>
                <w:lang w:val="en-GB"/>
              </w:rPr>
            </w:pPr>
            <w:r w:rsidRPr="001961AA">
              <w:rPr>
                <w:rFonts w:ascii="Times New Roman" w:hAnsi="Times New Roman"/>
                <w:noProof/>
                <w:color w:val="006100"/>
                <w:lang w:val="en-GB"/>
              </w:rPr>
              <w:t>217</w:t>
            </w:r>
          </w:p>
        </w:tc>
        <w:tc>
          <w:tcPr>
            <w:tcW w:w="1320" w:type="dxa"/>
            <w:shd w:val="clear" w:color="auto" w:fill="C6EFCE"/>
            <w:vAlign w:val="center"/>
          </w:tcPr>
          <w:p w14:paraId="24612784" w14:textId="3ED5355A" w:rsidR="006A41D9" w:rsidRPr="001961AA" w:rsidRDefault="006D29A2" w:rsidP="00BD6DD1">
            <w:pPr>
              <w:spacing w:line="240" w:lineRule="auto"/>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Energy measures for AWV buildings (I-7.10)</w:t>
            </w:r>
          </w:p>
        </w:tc>
        <w:tc>
          <w:tcPr>
            <w:tcW w:w="943" w:type="dxa"/>
            <w:shd w:val="clear" w:color="auto" w:fill="C6EFCE"/>
            <w:vAlign w:val="center"/>
          </w:tcPr>
          <w:p w14:paraId="3E35A754" w14:textId="77777777" w:rsidR="006A41D9" w:rsidRPr="001961AA" w:rsidRDefault="006A41D9" w:rsidP="00371265">
            <w:pPr>
              <w:spacing w:line="240" w:lineRule="auto"/>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T</w:t>
            </w:r>
          </w:p>
        </w:tc>
        <w:tc>
          <w:tcPr>
            <w:tcW w:w="1281" w:type="dxa"/>
            <w:shd w:val="clear" w:color="auto" w:fill="C6EFCE"/>
            <w:vAlign w:val="center"/>
          </w:tcPr>
          <w:p w14:paraId="2B611A15" w14:textId="77777777" w:rsidR="006A41D9" w:rsidRPr="001961AA" w:rsidRDefault="006A41D9" w:rsidP="00BD6DD1">
            <w:pPr>
              <w:spacing w:line="240" w:lineRule="auto"/>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Completed energy measure projects</w:t>
            </w:r>
          </w:p>
        </w:tc>
        <w:tc>
          <w:tcPr>
            <w:tcW w:w="1345" w:type="dxa"/>
            <w:shd w:val="clear" w:color="auto" w:fill="C6EFCE"/>
            <w:vAlign w:val="center"/>
          </w:tcPr>
          <w:p w14:paraId="473265EE" w14:textId="77777777" w:rsidR="006A41D9" w:rsidRPr="001961AA" w:rsidRDefault="006A41D9" w:rsidP="00BD6DD1">
            <w:pPr>
              <w:spacing w:line="240" w:lineRule="auto"/>
              <w:rPr>
                <w:rFonts w:ascii="Times New Roman" w:eastAsia="Times New Roman" w:hAnsi="Times New Roman" w:cs="Times New Roman"/>
                <w:noProof/>
                <w:color w:val="006100"/>
                <w:lang w:val="en-GB"/>
              </w:rPr>
            </w:pPr>
          </w:p>
        </w:tc>
        <w:tc>
          <w:tcPr>
            <w:tcW w:w="1207" w:type="dxa"/>
            <w:shd w:val="clear" w:color="auto" w:fill="C6EFCE"/>
            <w:vAlign w:val="center"/>
          </w:tcPr>
          <w:p w14:paraId="737D2E2E" w14:textId="77777777" w:rsidR="006A41D9" w:rsidRPr="001961AA" w:rsidRDefault="006A41D9" w:rsidP="00BD6DD1">
            <w:pPr>
              <w:spacing w:line="240" w:lineRule="auto"/>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Number</w:t>
            </w:r>
          </w:p>
        </w:tc>
        <w:tc>
          <w:tcPr>
            <w:tcW w:w="992" w:type="dxa"/>
            <w:shd w:val="clear" w:color="auto" w:fill="C6EFCE"/>
            <w:vAlign w:val="center"/>
          </w:tcPr>
          <w:p w14:paraId="246188EF" w14:textId="77777777" w:rsidR="006A41D9" w:rsidRPr="001961AA" w:rsidRDefault="006A41D9" w:rsidP="00BD6DD1">
            <w:pPr>
              <w:spacing w:line="240" w:lineRule="auto"/>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0</w:t>
            </w:r>
          </w:p>
        </w:tc>
        <w:tc>
          <w:tcPr>
            <w:tcW w:w="712" w:type="dxa"/>
            <w:shd w:val="clear" w:color="auto" w:fill="C6EFCE"/>
            <w:vAlign w:val="center"/>
          </w:tcPr>
          <w:p w14:paraId="4CCEF3CB" w14:textId="13633DFA" w:rsidR="006A41D9" w:rsidRPr="001961AA" w:rsidRDefault="000316A1" w:rsidP="00BD6DD1">
            <w:pPr>
              <w:spacing w:line="240" w:lineRule="auto"/>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4</w:t>
            </w:r>
          </w:p>
        </w:tc>
        <w:tc>
          <w:tcPr>
            <w:tcW w:w="987" w:type="dxa"/>
            <w:shd w:val="clear" w:color="auto" w:fill="C6EFCE"/>
            <w:vAlign w:val="center"/>
          </w:tcPr>
          <w:p w14:paraId="3A6B8AB6" w14:textId="77777777" w:rsidR="006A41D9" w:rsidRPr="001961AA" w:rsidRDefault="006A41D9" w:rsidP="00BD6DD1">
            <w:pPr>
              <w:spacing w:line="240" w:lineRule="auto"/>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Q4</w:t>
            </w:r>
          </w:p>
        </w:tc>
        <w:tc>
          <w:tcPr>
            <w:tcW w:w="813" w:type="dxa"/>
            <w:shd w:val="clear" w:color="auto" w:fill="C6EFCE"/>
            <w:vAlign w:val="center"/>
          </w:tcPr>
          <w:p w14:paraId="4AB54B66" w14:textId="77777777" w:rsidR="006A41D9" w:rsidRPr="001961AA" w:rsidRDefault="006A41D9" w:rsidP="00BD6DD1">
            <w:pPr>
              <w:spacing w:line="240" w:lineRule="auto"/>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2025</w:t>
            </w:r>
          </w:p>
        </w:tc>
        <w:tc>
          <w:tcPr>
            <w:tcW w:w="5423" w:type="dxa"/>
            <w:shd w:val="clear" w:color="auto" w:fill="C6EFCE"/>
            <w:vAlign w:val="center"/>
          </w:tcPr>
          <w:p w14:paraId="154A5577" w14:textId="424D6136" w:rsidR="006A41D9" w:rsidRPr="001961AA" w:rsidRDefault="006A41D9" w:rsidP="00BD6DD1">
            <w:pPr>
              <w:spacing w:line="240" w:lineRule="auto"/>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Four projects of installing in AWV buildings: heat pumps, insulation, solar panels and LED lights have been completed, reducing on average at least 30% of primary energy consumption, as defined in Commission Recommendation (EU) 2019/786 on the renovation of buildings.</w:t>
            </w:r>
          </w:p>
        </w:tc>
      </w:tr>
      <w:tr w:rsidR="004868CC" w:rsidRPr="001961AA" w14:paraId="75A07ADB" w14:textId="77777777" w:rsidTr="0074518E">
        <w:tc>
          <w:tcPr>
            <w:tcW w:w="709" w:type="dxa"/>
            <w:shd w:val="clear" w:color="auto" w:fill="C6EFCE"/>
            <w:vAlign w:val="center"/>
          </w:tcPr>
          <w:p w14:paraId="0022BB37" w14:textId="77777777" w:rsidR="006A41D9" w:rsidRPr="001961AA" w:rsidRDefault="006A41D9" w:rsidP="00BD6DD1">
            <w:pPr>
              <w:spacing w:line="240" w:lineRule="auto"/>
              <w:rPr>
                <w:rFonts w:ascii="Times New Roman" w:hAnsi="Times New Roman" w:cs="Times New Roman"/>
                <w:noProof/>
                <w:color w:val="006100"/>
                <w:lang w:val="en-GB"/>
              </w:rPr>
            </w:pPr>
            <w:r w:rsidRPr="001961AA">
              <w:rPr>
                <w:rFonts w:ascii="Times New Roman" w:hAnsi="Times New Roman"/>
                <w:noProof/>
                <w:color w:val="006100"/>
                <w:lang w:val="en-GB"/>
              </w:rPr>
              <w:t>218</w:t>
            </w:r>
          </w:p>
        </w:tc>
        <w:tc>
          <w:tcPr>
            <w:tcW w:w="1320" w:type="dxa"/>
            <w:shd w:val="clear" w:color="auto" w:fill="C6EFCE"/>
            <w:vAlign w:val="center"/>
          </w:tcPr>
          <w:p w14:paraId="4F74DF08" w14:textId="146C80E9" w:rsidR="006A41D9" w:rsidRPr="001961AA" w:rsidRDefault="006A41D9" w:rsidP="00BD6DD1">
            <w:pPr>
              <w:spacing w:line="240" w:lineRule="auto"/>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Saving energy in public buildings - VLA (I-7)</w:t>
            </w:r>
          </w:p>
        </w:tc>
        <w:tc>
          <w:tcPr>
            <w:tcW w:w="943" w:type="dxa"/>
            <w:shd w:val="clear" w:color="auto" w:fill="C6EFCE"/>
            <w:vAlign w:val="center"/>
          </w:tcPr>
          <w:p w14:paraId="519D1CA2" w14:textId="77777777" w:rsidR="006A41D9" w:rsidRPr="001961AA" w:rsidRDefault="006A41D9" w:rsidP="00371265">
            <w:pPr>
              <w:spacing w:after="0" w:line="240" w:lineRule="auto"/>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T</w:t>
            </w:r>
          </w:p>
        </w:tc>
        <w:tc>
          <w:tcPr>
            <w:tcW w:w="1281" w:type="dxa"/>
            <w:shd w:val="clear" w:color="auto" w:fill="C6EFCE"/>
            <w:vAlign w:val="center"/>
          </w:tcPr>
          <w:p w14:paraId="13605C34" w14:textId="77777777" w:rsidR="006A41D9" w:rsidRPr="001961AA" w:rsidRDefault="006A41D9" w:rsidP="00BD6DD1">
            <w:pPr>
              <w:spacing w:line="240" w:lineRule="auto"/>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Energy-efficient renovation of public buildings</w:t>
            </w:r>
          </w:p>
        </w:tc>
        <w:tc>
          <w:tcPr>
            <w:tcW w:w="1345" w:type="dxa"/>
            <w:shd w:val="clear" w:color="auto" w:fill="C6EFCE"/>
            <w:vAlign w:val="center"/>
          </w:tcPr>
          <w:p w14:paraId="72BDF933" w14:textId="77777777" w:rsidR="006A41D9" w:rsidRPr="001961AA" w:rsidRDefault="006A41D9" w:rsidP="00BD6DD1">
            <w:pPr>
              <w:spacing w:line="240" w:lineRule="auto"/>
              <w:rPr>
                <w:rFonts w:ascii="Times New Roman" w:eastAsia="Times New Roman" w:hAnsi="Times New Roman" w:cs="Times New Roman"/>
                <w:noProof/>
                <w:color w:val="006100"/>
                <w:lang w:val="en-GB"/>
              </w:rPr>
            </w:pPr>
          </w:p>
        </w:tc>
        <w:tc>
          <w:tcPr>
            <w:tcW w:w="1207" w:type="dxa"/>
            <w:shd w:val="clear" w:color="auto" w:fill="C6EFCE"/>
            <w:vAlign w:val="center"/>
          </w:tcPr>
          <w:p w14:paraId="7D0E1036" w14:textId="1720116A" w:rsidR="006A41D9" w:rsidRPr="001961AA" w:rsidRDefault="006A41D9" w:rsidP="00BD6DD1">
            <w:pPr>
              <w:spacing w:line="240" w:lineRule="auto"/>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Number</w:t>
            </w:r>
          </w:p>
        </w:tc>
        <w:tc>
          <w:tcPr>
            <w:tcW w:w="992" w:type="dxa"/>
            <w:shd w:val="clear" w:color="auto" w:fill="C6EFCE"/>
            <w:vAlign w:val="center"/>
          </w:tcPr>
          <w:p w14:paraId="1F90DD08" w14:textId="77777777" w:rsidR="006A41D9" w:rsidRPr="001961AA" w:rsidRDefault="006A41D9" w:rsidP="00BD6DD1">
            <w:pPr>
              <w:spacing w:line="240" w:lineRule="auto"/>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0</w:t>
            </w:r>
          </w:p>
        </w:tc>
        <w:tc>
          <w:tcPr>
            <w:tcW w:w="712" w:type="dxa"/>
            <w:shd w:val="clear" w:color="auto" w:fill="C6EFCE"/>
            <w:vAlign w:val="center"/>
          </w:tcPr>
          <w:p w14:paraId="137C47A9" w14:textId="4448DE08" w:rsidR="006A41D9" w:rsidRPr="001961AA" w:rsidRDefault="006A41D9" w:rsidP="00BD6DD1">
            <w:pPr>
              <w:spacing w:line="240" w:lineRule="auto"/>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555</w:t>
            </w:r>
          </w:p>
        </w:tc>
        <w:tc>
          <w:tcPr>
            <w:tcW w:w="987" w:type="dxa"/>
            <w:shd w:val="clear" w:color="auto" w:fill="C6EFCE"/>
            <w:vAlign w:val="center"/>
          </w:tcPr>
          <w:p w14:paraId="21D5EA60" w14:textId="77777777" w:rsidR="006A41D9" w:rsidRPr="001961AA" w:rsidRDefault="006A41D9" w:rsidP="00BD6DD1">
            <w:pPr>
              <w:spacing w:line="240" w:lineRule="auto"/>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Q2</w:t>
            </w:r>
          </w:p>
        </w:tc>
        <w:tc>
          <w:tcPr>
            <w:tcW w:w="813" w:type="dxa"/>
            <w:shd w:val="clear" w:color="auto" w:fill="C6EFCE"/>
            <w:vAlign w:val="center"/>
          </w:tcPr>
          <w:p w14:paraId="268D1F65" w14:textId="77777777" w:rsidR="006A41D9" w:rsidRPr="001961AA" w:rsidRDefault="006A41D9" w:rsidP="00BD6DD1">
            <w:pPr>
              <w:spacing w:line="240" w:lineRule="auto"/>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2026</w:t>
            </w:r>
          </w:p>
        </w:tc>
        <w:tc>
          <w:tcPr>
            <w:tcW w:w="5423" w:type="dxa"/>
            <w:shd w:val="clear" w:color="auto" w:fill="C6EFCE"/>
            <w:vAlign w:val="center"/>
          </w:tcPr>
          <w:p w14:paraId="0EFA3A37" w14:textId="2934A345" w:rsidR="006A41D9" w:rsidRPr="001961AA" w:rsidRDefault="006A41D9" w:rsidP="00BD6DD1">
            <w:pPr>
              <w:spacing w:line="240" w:lineRule="auto"/>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Four public buildings have been renovated: (1) Martelaarsplein 7, Martelaarsplein 19 and Kreupelenstraat 2, Brussel, (2) Winston Churchillkaai 2, Oostende, (3) Justitiehuis, Ieper, (4) Koolstraat 35, Brussel (I-7.06), reducing on average at least 30% of primary energy consumption, as defined in Commission Recommendation (EU) 2019/786 on the renovation of buildings. The reduction of at least on average 30% of primary energy consumption will be proven with ex-ante and ex-post Energy Performance Certificates (EPCs) for each of these buildings. In accordance with Annex I of the EPBD (Directive 2010/31/EU), the EPCs ex-ante and ex-post can be based on calculated energy use in line with the relevant (national) energy performance methodology.</w:t>
            </w:r>
          </w:p>
          <w:p w14:paraId="3097FF43" w14:textId="00294211" w:rsidR="006A41D9" w:rsidRPr="001961AA" w:rsidRDefault="006A41D9" w:rsidP="00BD6DD1">
            <w:pPr>
              <w:spacing w:line="240" w:lineRule="auto"/>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At least 100 public school buildings have been equipped with at least 100 000 cumulative m² of solar panels (I-7.07).</w:t>
            </w:r>
          </w:p>
          <w:p w14:paraId="49B788B6" w14:textId="2739D2C9" w:rsidR="006A41D9" w:rsidRPr="001961AA" w:rsidRDefault="006A41D9" w:rsidP="00BD6DD1">
            <w:pPr>
              <w:spacing w:line="240" w:lineRule="auto"/>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At least 400 care buildings have had an energy audit. At least 50 care buildings have completed the energy measures for which a grant was received (I-7.08).</w:t>
            </w:r>
          </w:p>
          <w:p w14:paraId="5228786B" w14:textId="3E387D51" w:rsidR="006A41D9" w:rsidRPr="001961AA" w:rsidRDefault="000316A1" w:rsidP="00BD6DD1">
            <w:pPr>
              <w:spacing w:line="240" w:lineRule="auto"/>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The VRT building has been equipped with heat pumps and solar panels, as well as LED lights, roof insulation and intelligent energy monitoring (I-7.09).</w:t>
            </w:r>
          </w:p>
        </w:tc>
      </w:tr>
    </w:tbl>
    <w:p w14:paraId="28962988" w14:textId="77777777" w:rsidR="006A41D9" w:rsidRPr="001961AA" w:rsidRDefault="006A41D9" w:rsidP="00BD6DD1">
      <w:pPr>
        <w:pStyle w:val="TitreComposante"/>
        <w:rPr>
          <w:noProof/>
          <w:lang w:val="en-GB"/>
        </w:rPr>
        <w:sectPr w:rsidR="006A41D9" w:rsidRPr="001961AA" w:rsidSect="007F56C3">
          <w:headerReference w:type="even" r:id="rId252"/>
          <w:headerReference w:type="default" r:id="rId253"/>
          <w:footerReference w:type="even" r:id="rId254"/>
          <w:footerReference w:type="default" r:id="rId255"/>
          <w:headerReference w:type="first" r:id="rId256"/>
          <w:footerReference w:type="first" r:id="rId257"/>
          <w:pgSz w:w="16838" w:h="11906" w:orient="landscape"/>
          <w:pgMar w:top="1417" w:right="1417" w:bottom="1417" w:left="1417" w:header="708" w:footer="708" w:gutter="0"/>
          <w:cols w:space="708"/>
          <w:docGrid w:linePitch="360"/>
        </w:sectPr>
      </w:pPr>
    </w:p>
    <w:p w14:paraId="23C4178E" w14:textId="0F48774B" w:rsidR="006A41D9" w:rsidRPr="001961AA" w:rsidRDefault="009E116C" w:rsidP="00BB70A9">
      <w:pPr>
        <w:pStyle w:val="ManualHeading1"/>
        <w:spacing w:before="120"/>
        <w:ind w:left="0" w:hanging="130"/>
        <w:rPr>
          <w:noProof/>
          <w:lang w:val="en-GB"/>
        </w:rPr>
      </w:pPr>
      <w:r w:rsidRPr="001961AA">
        <w:rPr>
          <w:noProof/>
          <w:lang w:val="en-GB"/>
        </w:rPr>
        <w:t xml:space="preserve">S. </w:t>
      </w:r>
      <w:r w:rsidRPr="001961AA">
        <w:rPr>
          <w:caps/>
          <w:smallCaps w:val="0"/>
          <w:noProof/>
          <w:lang w:val="en-GB"/>
        </w:rPr>
        <w:t>COMPONENT</w:t>
      </w:r>
      <w:r w:rsidRPr="001961AA">
        <w:rPr>
          <w:noProof/>
          <w:lang w:val="en-GB"/>
        </w:rPr>
        <w:t xml:space="preserve"> 7.2: New emerging energy technologies</w:t>
      </w:r>
    </w:p>
    <w:p w14:paraId="34C87190" w14:textId="77777777" w:rsidR="006A41D9" w:rsidRPr="001961AA" w:rsidRDefault="006A41D9" w:rsidP="00BD6DD1">
      <w:pPr>
        <w:spacing w:before="120" w:after="120" w:line="240" w:lineRule="auto"/>
        <w:jc w:val="both"/>
        <w:rPr>
          <w:rFonts w:ascii="Times New Roman" w:hAnsi="Times New Roman" w:cs="Times New Roman"/>
          <w:noProof/>
          <w:sz w:val="24"/>
          <w:szCs w:val="24"/>
          <w:lang w:val="en-GB"/>
        </w:rPr>
      </w:pPr>
      <w:r w:rsidRPr="001961AA">
        <w:rPr>
          <w:rFonts w:ascii="Times New Roman" w:hAnsi="Times New Roman"/>
          <w:noProof/>
          <w:sz w:val="24"/>
          <w:lang w:val="en-GB"/>
        </w:rPr>
        <w:t>This component of the Belgian recovery and resilience plan aims at providing a strong impetus to technological developments to support the energy transition and reduce CO</w:t>
      </w:r>
      <w:r w:rsidRPr="001961AA">
        <w:rPr>
          <w:rFonts w:ascii="Times New Roman" w:hAnsi="Times New Roman"/>
          <w:noProof/>
          <w:sz w:val="24"/>
          <w:vertAlign w:val="subscript"/>
          <w:lang w:val="en-GB"/>
        </w:rPr>
        <w:t>2</w:t>
      </w:r>
      <w:r w:rsidRPr="001961AA">
        <w:rPr>
          <w:rFonts w:ascii="Times New Roman" w:hAnsi="Times New Roman"/>
          <w:noProof/>
          <w:sz w:val="24"/>
          <w:lang w:val="en-GB"/>
        </w:rPr>
        <w:t xml:space="preserve"> emissions, with emphasis on system integration and industrial decarbonisation.</w:t>
      </w:r>
    </w:p>
    <w:p w14:paraId="08B96607" w14:textId="77777777" w:rsidR="006A41D9" w:rsidRPr="001961AA" w:rsidRDefault="006A41D9" w:rsidP="00BD6DD1">
      <w:pPr>
        <w:spacing w:before="120" w:after="120" w:line="240" w:lineRule="auto"/>
        <w:jc w:val="both"/>
        <w:rPr>
          <w:rFonts w:ascii="Times New Roman" w:hAnsi="Times New Roman" w:cs="Times New Roman"/>
          <w:noProof/>
          <w:sz w:val="24"/>
          <w:szCs w:val="24"/>
          <w:lang w:val="en-GB"/>
        </w:rPr>
      </w:pPr>
      <w:bookmarkStart w:id="3" w:name="_Hlk142416993"/>
      <w:r w:rsidRPr="001961AA">
        <w:rPr>
          <w:rFonts w:ascii="Times New Roman" w:hAnsi="Times New Roman"/>
          <w:noProof/>
          <w:sz w:val="24"/>
          <w:lang w:val="en-GB"/>
        </w:rPr>
        <w:t>The component contributes to addressing Country Specific Recommendation 2022.4 and 2023.4, calling on Belgium to reduce overall reliance on fossil fuels</w:t>
      </w:r>
      <w:bookmarkEnd w:id="3"/>
      <w:r w:rsidRPr="001961AA">
        <w:rPr>
          <w:rFonts w:ascii="Times New Roman" w:hAnsi="Times New Roman"/>
          <w:noProof/>
          <w:sz w:val="24"/>
          <w:lang w:val="en-GB"/>
        </w:rPr>
        <w:t xml:space="preserve">, </w:t>
      </w:r>
      <w:r w:rsidRPr="001961AA">
        <w:rPr>
          <w:rFonts w:ascii="Times New Roman" w:hAnsi="Times New Roman"/>
          <w:i/>
          <w:noProof/>
          <w:sz w:val="24"/>
          <w:lang w:val="en-GB"/>
        </w:rPr>
        <w:t>inter alia</w:t>
      </w:r>
      <w:r w:rsidRPr="001961AA">
        <w:rPr>
          <w:rFonts w:ascii="Times New Roman" w:hAnsi="Times New Roman"/>
          <w:noProof/>
          <w:sz w:val="24"/>
          <w:lang w:val="en-GB"/>
        </w:rPr>
        <w:t>, by further stimulating the decarbonisation of industry and to step up policy efforts aimed at the acquisition of skills and competences for the green transition.</w:t>
      </w:r>
    </w:p>
    <w:p w14:paraId="4B8BBD4F" w14:textId="77777777" w:rsidR="006A41D9" w:rsidRPr="001961AA" w:rsidRDefault="006A41D9" w:rsidP="00BD6DD1">
      <w:pPr>
        <w:spacing w:before="120" w:after="120" w:line="240" w:lineRule="auto"/>
        <w:jc w:val="both"/>
        <w:rPr>
          <w:rFonts w:ascii="Times New Roman" w:hAnsi="Times New Roman" w:cs="Times New Roman"/>
          <w:noProof/>
          <w:sz w:val="24"/>
          <w:szCs w:val="24"/>
          <w:lang w:val="en-GB"/>
        </w:rPr>
      </w:pPr>
      <w:bookmarkStart w:id="4" w:name="_Hlk142416148"/>
      <w:r w:rsidRPr="001961AA">
        <w:rPr>
          <w:rFonts w:ascii="Times New Roman" w:hAnsi="Times New Roman"/>
          <w:noProof/>
          <w:sz w:val="24"/>
          <w:lang w:val="en-GB"/>
        </w:rPr>
        <w:t>It is expected that no measure in this component does significant harm to environmental objectives within the meaning of Article 17 of Regulation (EU) 2020/852, taking into account the description of the measures and the mitigating steps set out in the recovery and resilience plan in accordance with the DNSH Technical Guidance (2021/C58/01).</w:t>
      </w:r>
      <w:bookmarkEnd w:id="4"/>
    </w:p>
    <w:p w14:paraId="4AEA6454" w14:textId="73F8FFFE" w:rsidR="006A41D9" w:rsidRPr="001961AA" w:rsidRDefault="009E116C" w:rsidP="00BD6DD1">
      <w:pPr>
        <w:pStyle w:val="Jalonsetcibles"/>
        <w:spacing w:after="120" w:line="240" w:lineRule="auto"/>
        <w:rPr>
          <w:rFonts w:eastAsia="Times New Roman"/>
          <w:noProof/>
          <w:color w:val="auto"/>
          <w:u w:val="single"/>
          <w:lang w:val="en-GB"/>
        </w:rPr>
      </w:pPr>
      <w:bookmarkStart w:id="5" w:name="_Hlk142330835"/>
      <w:r w:rsidRPr="001961AA">
        <w:rPr>
          <w:noProof/>
          <w:color w:val="auto"/>
          <w:sz w:val="24"/>
          <w:u w:val="single"/>
          <w:lang w:val="en-GB"/>
        </w:rPr>
        <w:t>S.1. Description of the reforms and investments for non-repayable financial support</w:t>
      </w:r>
    </w:p>
    <w:bookmarkEnd w:id="5"/>
    <w:p w14:paraId="1D17C22F" w14:textId="08AFD177" w:rsidR="006A41D9" w:rsidRPr="001961AA" w:rsidRDefault="006A41D9" w:rsidP="00BD6DD1">
      <w:pPr>
        <w:pStyle w:val="Jalonsetcibles"/>
        <w:spacing w:before="120" w:after="120" w:line="240" w:lineRule="auto"/>
        <w:rPr>
          <w:rFonts w:eastAsia="Times New Roman"/>
          <w:noProof/>
          <w:color w:val="000000" w:themeColor="text1"/>
          <w:sz w:val="24"/>
          <w:szCs w:val="24"/>
          <w:lang w:val="en-GB"/>
        </w:rPr>
      </w:pPr>
      <w:r w:rsidRPr="001961AA">
        <w:rPr>
          <w:b w:val="0"/>
          <w:noProof/>
          <w:color w:val="auto"/>
          <w:sz w:val="24"/>
          <w:u w:val="single"/>
          <w:lang w:val="en-GB"/>
        </w:rPr>
        <w:t>Investment I-7.11: ‘Research platform for energy transition’ of the French Community</w:t>
      </w:r>
    </w:p>
    <w:p w14:paraId="33814C7B" w14:textId="77777777" w:rsidR="006A41D9" w:rsidRPr="001961AA" w:rsidRDefault="006A41D9" w:rsidP="00BD6DD1">
      <w:pPr>
        <w:pStyle w:val="Jalonsetcibles"/>
        <w:spacing w:before="120" w:after="120" w:line="240" w:lineRule="auto"/>
        <w:jc w:val="both"/>
        <w:rPr>
          <w:rFonts w:eastAsia="Times New Roman"/>
          <w:b w:val="0"/>
          <w:bCs/>
          <w:noProof/>
          <w:color w:val="auto"/>
          <w:sz w:val="24"/>
          <w:szCs w:val="24"/>
          <w:lang w:val="en-GB"/>
        </w:rPr>
      </w:pPr>
      <w:r w:rsidRPr="001961AA">
        <w:rPr>
          <w:b w:val="0"/>
          <w:noProof/>
          <w:color w:val="auto"/>
          <w:sz w:val="24"/>
          <w:lang w:val="en-GB"/>
        </w:rPr>
        <w:t>This measure consists of investments in a series of R&amp;D facilities and equipment for the benefit of French-speaking universities. The technologies targeted by this measure relate to one or more of the following areas: renewable and low carbon energy production; energy production, conversion and storage; CO2 capture and valorisation; rational use of energy in buildings and in mobility; electricity grid operation. The implementation of the measure shall be completed by 31 December 2025.</w:t>
      </w:r>
    </w:p>
    <w:p w14:paraId="025FE87F" w14:textId="5C0385BD" w:rsidR="006A41D9" w:rsidRPr="001961AA" w:rsidRDefault="006A41D9" w:rsidP="00BD6DD1">
      <w:pPr>
        <w:pStyle w:val="Jalonsetcibles"/>
        <w:spacing w:before="120" w:after="120" w:line="240" w:lineRule="auto"/>
        <w:rPr>
          <w:rFonts w:eastAsia="Times New Roman"/>
          <w:noProof/>
          <w:color w:val="auto"/>
          <w:sz w:val="24"/>
          <w:szCs w:val="24"/>
          <w:lang w:val="en-GB"/>
        </w:rPr>
      </w:pPr>
      <w:r w:rsidRPr="001961AA">
        <w:rPr>
          <w:b w:val="0"/>
          <w:noProof/>
          <w:color w:val="auto"/>
          <w:sz w:val="24"/>
          <w:u w:val="single"/>
          <w:lang w:val="en-GB"/>
        </w:rPr>
        <w:t>Investment I-7.12: ‘Energy import infrastructure’ of the Federal State</w:t>
      </w:r>
    </w:p>
    <w:p w14:paraId="34671380" w14:textId="77777777" w:rsidR="006A41D9" w:rsidRPr="001961AA" w:rsidRDefault="006A41D9" w:rsidP="00A0286F">
      <w:pPr>
        <w:widowControl w:val="0"/>
        <w:spacing w:before="120" w:after="120" w:line="240" w:lineRule="auto"/>
        <w:jc w:val="both"/>
        <w:rPr>
          <w:rFonts w:ascii="Times New Roman" w:eastAsia="Times New Roman" w:hAnsi="Times New Roman" w:cs="Times New Roman"/>
          <w:noProof/>
          <w:color w:val="000000" w:themeColor="text1"/>
          <w:sz w:val="24"/>
          <w:szCs w:val="24"/>
          <w:lang w:val="en-GB"/>
        </w:rPr>
      </w:pPr>
      <w:r w:rsidRPr="001961AA">
        <w:rPr>
          <w:rFonts w:ascii="Times New Roman" w:hAnsi="Times New Roman"/>
          <w:noProof/>
          <w:sz w:val="24"/>
          <w:lang w:val="en-GB"/>
        </w:rPr>
        <w:t xml:space="preserve">This measure consists in supporting demonstration or R&amp;D projects with the aim of optimising the infrastructure for the import of hydrogen or electricity. </w:t>
      </w:r>
      <w:r w:rsidRPr="001961AA">
        <w:rPr>
          <w:rFonts w:ascii="Times New Roman" w:hAnsi="Times New Roman"/>
          <w:noProof/>
          <w:color w:val="000000" w:themeColor="text1"/>
          <w:sz w:val="24"/>
          <w:lang w:val="en-GB"/>
        </w:rPr>
        <w:t>Two calls for projects shall be organised:</w:t>
      </w:r>
      <w:r w:rsidRPr="001961AA">
        <w:rPr>
          <w:rFonts w:ascii="Times New Roman" w:hAnsi="Times New Roman"/>
          <w:noProof/>
          <w:sz w:val="24"/>
          <w:lang w:val="en-GB"/>
        </w:rPr>
        <w:t xml:space="preserve"> </w:t>
      </w:r>
      <w:r w:rsidRPr="001961AA">
        <w:rPr>
          <w:rFonts w:ascii="Times New Roman" w:hAnsi="Times New Roman"/>
          <w:noProof/>
          <w:color w:val="000000" w:themeColor="text1"/>
          <w:sz w:val="24"/>
          <w:lang w:val="en-GB"/>
        </w:rPr>
        <w:t xml:space="preserve">i) a call for projects to support the research, development and demonstration of technologies and infrastructures that can contribute to the import of hydrogen into Belgium and ii) a call for projects to support, through the award of grants, research, development and demonstration of technologies and infrastructures for the import of electricity or hydrogen into Belgium. </w:t>
      </w:r>
      <w:r w:rsidRPr="001961AA">
        <w:rPr>
          <w:rFonts w:ascii="Times New Roman" w:hAnsi="Times New Roman"/>
          <w:noProof/>
          <w:sz w:val="24"/>
          <w:lang w:val="en-GB"/>
        </w:rPr>
        <w:t>The implementation of the</w:t>
      </w:r>
      <w:r w:rsidRPr="001961AA">
        <w:rPr>
          <w:rFonts w:ascii="Times New Roman" w:hAnsi="Times New Roman"/>
          <w:noProof/>
          <w:color w:val="000000" w:themeColor="text1"/>
          <w:sz w:val="24"/>
          <w:lang w:val="en-GB"/>
        </w:rPr>
        <w:t xml:space="preserve"> </w:t>
      </w:r>
      <w:r w:rsidRPr="001961AA">
        <w:rPr>
          <w:rFonts w:ascii="Times New Roman" w:hAnsi="Times New Roman"/>
          <w:noProof/>
          <w:sz w:val="24"/>
          <w:lang w:val="en-GB"/>
        </w:rPr>
        <w:t>measure shall be completed by 30 June 2026.</w:t>
      </w:r>
    </w:p>
    <w:p w14:paraId="7163D44A" w14:textId="0E2E96C1" w:rsidR="006A41D9" w:rsidRPr="001961AA" w:rsidRDefault="006A41D9" w:rsidP="00BD6DD1">
      <w:pPr>
        <w:pStyle w:val="Jalonsetcibles"/>
        <w:spacing w:before="120" w:after="120" w:line="240" w:lineRule="auto"/>
        <w:rPr>
          <w:rFonts w:eastAsia="Times New Roman"/>
          <w:noProof/>
          <w:color w:val="auto"/>
          <w:sz w:val="24"/>
          <w:szCs w:val="24"/>
          <w:lang w:val="en-GB"/>
        </w:rPr>
      </w:pPr>
      <w:r w:rsidRPr="001961AA">
        <w:rPr>
          <w:b w:val="0"/>
          <w:noProof/>
          <w:color w:val="auto"/>
          <w:sz w:val="24"/>
          <w:u w:val="single"/>
          <w:lang w:val="en-GB"/>
        </w:rPr>
        <w:t>Investment I-7.13: ‘Call for the decarbonisation of industry’ of the Walloon Region</w:t>
      </w:r>
    </w:p>
    <w:p w14:paraId="1DD413F8" w14:textId="0736E81D" w:rsidR="006A41D9" w:rsidRPr="001961AA" w:rsidRDefault="006A41D9" w:rsidP="00BD6DD1">
      <w:pPr>
        <w:pStyle w:val="Jalonsetcibles"/>
        <w:spacing w:before="120" w:after="120" w:line="240" w:lineRule="auto"/>
        <w:jc w:val="both"/>
        <w:rPr>
          <w:rFonts w:eastAsia="Times New Roman"/>
          <w:b w:val="0"/>
          <w:bCs/>
          <w:noProof/>
          <w:color w:val="auto"/>
          <w:sz w:val="24"/>
          <w:szCs w:val="24"/>
          <w:lang w:val="en-GB"/>
        </w:rPr>
      </w:pPr>
      <w:r w:rsidRPr="001961AA">
        <w:rPr>
          <w:b w:val="0"/>
          <w:noProof/>
          <w:color w:val="auto"/>
          <w:sz w:val="24"/>
          <w:lang w:val="en-GB"/>
        </w:rPr>
        <w:t>This measure consists in providing financial incentives for energy investments in Walloon industries and for the development of new industries in green technologies. These investments shall cover projects on energy efficiency, such as the management of industrial heat, on carbon capture and storage (CCS) where CO</w:t>
      </w:r>
      <w:r w:rsidRPr="001961AA">
        <w:rPr>
          <w:b w:val="0"/>
          <w:noProof/>
          <w:color w:val="auto"/>
          <w:sz w:val="24"/>
          <w:vertAlign w:val="subscript"/>
          <w:lang w:val="en-GB"/>
        </w:rPr>
        <w:t>2</w:t>
      </w:r>
      <w:r w:rsidRPr="001961AA">
        <w:rPr>
          <w:b w:val="0"/>
          <w:noProof/>
          <w:color w:val="auto"/>
          <w:sz w:val="24"/>
          <w:lang w:val="en-GB"/>
        </w:rPr>
        <w:t xml:space="preserve"> captured stems from unavoidable process emissions, on fuel switching, on the production of renewable energy, or the set-up of new industrial elements of the value chain of technologies </w:t>
      </w:r>
      <w:r w:rsidRPr="001961AA">
        <w:rPr>
          <w:rStyle w:val="cf01"/>
          <w:rFonts w:ascii="Times New Roman" w:hAnsi="Times New Roman"/>
          <w:b w:val="0"/>
          <w:noProof/>
          <w:color w:val="auto"/>
          <w:sz w:val="24"/>
          <w:lang w:val="en-GB"/>
        </w:rPr>
        <w:t>linked to the green transition</w:t>
      </w:r>
      <w:r w:rsidRPr="001961AA">
        <w:rPr>
          <w:b w:val="0"/>
          <w:noProof/>
          <w:color w:val="auto"/>
          <w:sz w:val="24"/>
          <w:lang w:val="en-GB"/>
        </w:rPr>
        <w:t>, such as the batteries value chain (in production or in critical materials management) and the renewable or fossil-free hydrogen value-chain.</w:t>
      </w:r>
    </w:p>
    <w:p w14:paraId="514EB096" w14:textId="08D4797A" w:rsidR="00A0286F" w:rsidRPr="001961AA" w:rsidRDefault="006A41D9" w:rsidP="00BD6DD1">
      <w:pPr>
        <w:pStyle w:val="Jalonsetcibles"/>
        <w:spacing w:before="120" w:after="120" w:line="240" w:lineRule="auto"/>
        <w:jc w:val="both"/>
        <w:rPr>
          <w:rFonts w:eastAsia="Times New Roman"/>
          <w:b w:val="0"/>
          <w:noProof/>
          <w:color w:val="auto"/>
          <w:sz w:val="24"/>
          <w:szCs w:val="24"/>
          <w:lang w:val="en-GB"/>
        </w:rPr>
      </w:pPr>
      <w:r w:rsidRPr="001961AA">
        <w:rPr>
          <w:b w:val="0"/>
          <w:noProof/>
          <w:color w:val="auto"/>
          <w:sz w:val="24"/>
          <w:lang w:val="en-GB"/>
        </w:rPr>
        <w:t>In order to ensure that the measure complies with the ‘Do no significant harm’ principle under the Recovery and Resilience Facility as set out in the DNSH Technical Guidance (2021/C58/01), the eligibility criteria in the upcoming call shall exclude activities under the EU Emission Trading System (ETS), achieving projected greenhouse gas emissions that are not lower than the relevant benchmarks. Where the activity achieves projected greenhouse gas emissions that are not significantly lower, but still lower than the relevant benchmarks, an explanation of the reasons why this is not possible should be provided. In addition, the measure can also support, in sites registered as ETS installations, interventions which do not affect the emissions of the ETS installation and hence are actions that are not within the ETS installation boundaries (see the guidance of the interpretation of those boundaries). Benchmarks established for the free allocation for activities falling within the scope of the Emissions Trading System, are set out in the Commission Implementing Regulation (EU) 2021/447. The implementation of the measure shall be completed by 30 June 2026.</w:t>
      </w:r>
    </w:p>
    <w:p w14:paraId="597A1958" w14:textId="6C00153C" w:rsidR="006A41D9" w:rsidRPr="001961AA" w:rsidRDefault="006A41D9" w:rsidP="00BD6DD1">
      <w:pPr>
        <w:pStyle w:val="Jalonsetcibles"/>
        <w:spacing w:before="120" w:after="120" w:line="240" w:lineRule="auto"/>
        <w:rPr>
          <w:rFonts w:eastAsia="Times New Roman"/>
          <w:b w:val="0"/>
          <w:bCs/>
          <w:noProof/>
          <w:color w:val="auto"/>
          <w:sz w:val="24"/>
          <w:szCs w:val="24"/>
          <w:lang w:val="en-GB"/>
        </w:rPr>
      </w:pPr>
      <w:r w:rsidRPr="001961AA">
        <w:rPr>
          <w:b w:val="0"/>
          <w:noProof/>
          <w:color w:val="auto"/>
          <w:sz w:val="24"/>
          <w:u w:val="single"/>
          <w:lang w:val="en-GB"/>
        </w:rPr>
        <w:t>Investment I-7.14: ‘Call for climate measures in agriculture’ of the Flemish Region</w:t>
      </w:r>
    </w:p>
    <w:p w14:paraId="4011945A" w14:textId="381332AC" w:rsidR="00F14B5D" w:rsidRPr="001961AA" w:rsidRDefault="006A41D9" w:rsidP="00BD6DD1">
      <w:pPr>
        <w:pStyle w:val="Jalonsetcibles"/>
        <w:spacing w:before="120" w:after="120" w:line="240" w:lineRule="auto"/>
        <w:jc w:val="both"/>
        <w:rPr>
          <w:rFonts w:eastAsia="Times New Roman"/>
          <w:b w:val="0"/>
          <w:noProof/>
          <w:color w:val="auto"/>
          <w:sz w:val="24"/>
          <w:szCs w:val="24"/>
          <w:lang w:val="en-GB"/>
        </w:rPr>
        <w:sectPr w:rsidR="00F14B5D" w:rsidRPr="001961AA" w:rsidSect="00F14B5D">
          <w:headerReference w:type="even" r:id="rId258"/>
          <w:headerReference w:type="default" r:id="rId259"/>
          <w:footerReference w:type="even" r:id="rId260"/>
          <w:footerReference w:type="default" r:id="rId261"/>
          <w:headerReference w:type="first" r:id="rId262"/>
          <w:footerReference w:type="first" r:id="rId263"/>
          <w:pgSz w:w="11906" w:h="16838"/>
          <w:pgMar w:top="1417" w:right="1417" w:bottom="1417" w:left="1417" w:header="708" w:footer="708" w:gutter="0"/>
          <w:cols w:space="708"/>
          <w:docGrid w:linePitch="360"/>
        </w:sectPr>
      </w:pPr>
      <w:r w:rsidRPr="001961AA">
        <w:rPr>
          <w:b w:val="0"/>
          <w:noProof/>
          <w:color w:val="auto"/>
          <w:sz w:val="24"/>
          <w:lang w:val="en-GB"/>
        </w:rPr>
        <w:t xml:space="preserve">This investment consists in supporting </w:t>
      </w:r>
      <w:r w:rsidRPr="001961AA">
        <w:rPr>
          <w:b w:val="0"/>
          <w:noProof/>
          <w:color w:val="000000" w:themeColor="text1"/>
          <w:sz w:val="24"/>
          <w:lang w:val="en-GB"/>
        </w:rPr>
        <w:t xml:space="preserve">energy-saving techniques (such as insulation, heat storage, heat recovery, monitoring the frequency of pumps and fans, pre-cooling), green heat and renewable energy (such as solar water heaters, heat pumps, sustainable and local use of biomass), aimed at reducing the greenhouse gas emissions in the agricultural sector. The measure shall be implemented, using the same modalities applied to the measure “3.23 – VLIF Productive investments in agricultural holdings” included in the Flemish strategic plan under the Common Agricultural Policy. </w:t>
      </w:r>
      <w:r w:rsidRPr="001961AA">
        <w:rPr>
          <w:b w:val="0"/>
          <w:noProof/>
          <w:color w:val="auto"/>
          <w:sz w:val="24"/>
          <w:lang w:val="en-GB"/>
        </w:rPr>
        <w:t>The implementation of the measure shall be completed by 30 June 2026</w:t>
      </w:r>
    </w:p>
    <w:p w14:paraId="5FDEDF20" w14:textId="23275C78" w:rsidR="006A41D9" w:rsidRPr="001961AA" w:rsidRDefault="00F14B5D" w:rsidP="00F14B5D">
      <w:pPr>
        <w:pStyle w:val="Jalonsetcibles"/>
        <w:spacing w:before="120" w:after="120" w:line="240" w:lineRule="auto"/>
        <w:rPr>
          <w:rFonts w:eastAsia="Times New Roman"/>
          <w:noProof/>
          <w:color w:val="000000" w:themeColor="text1"/>
          <w:sz w:val="24"/>
          <w:szCs w:val="24"/>
          <w:u w:val="single"/>
          <w:lang w:val="en-GB"/>
        </w:rPr>
      </w:pPr>
      <w:r w:rsidRPr="001961AA">
        <w:rPr>
          <w:noProof/>
          <w:color w:val="000000" w:themeColor="text1"/>
          <w:sz w:val="24"/>
          <w:u w:val="single"/>
          <w:lang w:val="en-GB"/>
        </w:rPr>
        <w:t>S.2 Milestones, targets, indicators, and timetable for monitoring and implementation for non-repayable financial support</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452"/>
        <w:gridCol w:w="567"/>
        <w:gridCol w:w="1559"/>
        <w:gridCol w:w="1276"/>
        <w:gridCol w:w="992"/>
        <w:gridCol w:w="709"/>
        <w:gridCol w:w="708"/>
        <w:gridCol w:w="709"/>
        <w:gridCol w:w="709"/>
        <w:gridCol w:w="5103"/>
      </w:tblGrid>
      <w:tr w:rsidR="006A41D9" w:rsidRPr="001961AA" w14:paraId="194D69AF" w14:textId="77777777" w:rsidTr="00D91A43">
        <w:trPr>
          <w:trHeight w:val="836"/>
          <w:tblHeader/>
        </w:trPr>
        <w:tc>
          <w:tcPr>
            <w:tcW w:w="670" w:type="dxa"/>
            <w:vMerge w:val="restart"/>
            <w:shd w:val="clear" w:color="auto" w:fill="BDD7EE"/>
            <w:vAlign w:val="center"/>
          </w:tcPr>
          <w:p w14:paraId="36CF3D90" w14:textId="77777777" w:rsidR="006A41D9" w:rsidRPr="001961AA" w:rsidRDefault="006A41D9" w:rsidP="00BD6DD1">
            <w:pPr>
              <w:spacing w:after="0" w:line="240" w:lineRule="auto"/>
              <w:jc w:val="center"/>
              <w:rPr>
                <w:rFonts w:ascii="Times New Roman" w:hAnsi="Times New Roman" w:cs="Times New Roman"/>
                <w:noProof/>
                <w:color w:val="006100"/>
                <w:sz w:val="20"/>
                <w:szCs w:val="20"/>
                <w:lang w:val="en-GB"/>
              </w:rPr>
            </w:pPr>
            <w:bookmarkStart w:id="6" w:name="_Hlk142327646"/>
            <w:r w:rsidRPr="001961AA">
              <w:rPr>
                <w:rFonts w:ascii="Times New Roman" w:hAnsi="Times New Roman"/>
                <w:b/>
                <w:noProof/>
                <w:sz w:val="20"/>
                <w:lang w:val="en-GB"/>
              </w:rPr>
              <w:t>Seq. Nb</w:t>
            </w:r>
          </w:p>
        </w:tc>
        <w:tc>
          <w:tcPr>
            <w:tcW w:w="1452" w:type="dxa"/>
            <w:vMerge w:val="restart"/>
            <w:shd w:val="clear" w:color="auto" w:fill="BDD7EE"/>
            <w:vAlign w:val="center"/>
          </w:tcPr>
          <w:p w14:paraId="47799B1F" w14:textId="77777777" w:rsidR="006A41D9" w:rsidRPr="001961AA" w:rsidRDefault="006A41D9" w:rsidP="00BD6DD1">
            <w:pPr>
              <w:spacing w:after="0" w:line="240" w:lineRule="auto"/>
              <w:jc w:val="center"/>
              <w:rPr>
                <w:rFonts w:ascii="Times New Roman" w:hAnsi="Times New Roman" w:cs="Times New Roman"/>
                <w:noProof/>
                <w:color w:val="006100"/>
                <w:sz w:val="20"/>
                <w:szCs w:val="20"/>
                <w:lang w:val="en-GB"/>
              </w:rPr>
            </w:pPr>
            <w:r w:rsidRPr="001961AA">
              <w:rPr>
                <w:rFonts w:ascii="Times New Roman" w:hAnsi="Times New Roman"/>
                <w:b/>
                <w:noProof/>
                <w:sz w:val="20"/>
                <w:lang w:val="en-GB"/>
              </w:rPr>
              <w:t>Related Measure (Reform or Investment)</w:t>
            </w:r>
          </w:p>
        </w:tc>
        <w:tc>
          <w:tcPr>
            <w:tcW w:w="567" w:type="dxa"/>
            <w:vMerge w:val="restart"/>
            <w:shd w:val="clear" w:color="auto" w:fill="BDD7EE"/>
            <w:vAlign w:val="center"/>
          </w:tcPr>
          <w:p w14:paraId="1F40DDFD" w14:textId="77777777" w:rsidR="006A41D9" w:rsidRPr="001961AA" w:rsidRDefault="006A41D9" w:rsidP="00BD6DD1">
            <w:pPr>
              <w:spacing w:after="0" w:line="240" w:lineRule="auto"/>
              <w:jc w:val="center"/>
              <w:rPr>
                <w:rFonts w:ascii="Times New Roman" w:hAnsi="Times New Roman" w:cs="Times New Roman"/>
                <w:noProof/>
                <w:color w:val="006100"/>
                <w:sz w:val="20"/>
                <w:szCs w:val="20"/>
                <w:lang w:val="en-GB"/>
              </w:rPr>
            </w:pPr>
            <w:r w:rsidRPr="001961AA">
              <w:rPr>
                <w:rFonts w:ascii="Times New Roman" w:hAnsi="Times New Roman"/>
                <w:b/>
                <w:noProof/>
                <w:sz w:val="20"/>
                <w:lang w:val="en-GB"/>
              </w:rPr>
              <w:t>M / T</w:t>
            </w:r>
          </w:p>
        </w:tc>
        <w:tc>
          <w:tcPr>
            <w:tcW w:w="1559" w:type="dxa"/>
            <w:vMerge w:val="restart"/>
            <w:shd w:val="clear" w:color="auto" w:fill="BDD7EE"/>
            <w:vAlign w:val="center"/>
          </w:tcPr>
          <w:p w14:paraId="1690F1B4" w14:textId="77777777" w:rsidR="006A41D9" w:rsidRPr="001961AA" w:rsidRDefault="006A41D9" w:rsidP="00BD6DD1">
            <w:pPr>
              <w:spacing w:after="0" w:line="240" w:lineRule="auto"/>
              <w:jc w:val="center"/>
              <w:rPr>
                <w:rFonts w:ascii="Times New Roman" w:hAnsi="Times New Roman" w:cs="Times New Roman"/>
                <w:noProof/>
                <w:color w:val="006100"/>
                <w:sz w:val="20"/>
                <w:szCs w:val="20"/>
                <w:lang w:val="en-GB"/>
              </w:rPr>
            </w:pPr>
            <w:r w:rsidRPr="001961AA">
              <w:rPr>
                <w:rFonts w:ascii="Times New Roman" w:hAnsi="Times New Roman"/>
                <w:b/>
                <w:noProof/>
                <w:sz w:val="20"/>
                <w:lang w:val="en-GB"/>
              </w:rPr>
              <w:t>Name</w:t>
            </w:r>
          </w:p>
        </w:tc>
        <w:tc>
          <w:tcPr>
            <w:tcW w:w="1276" w:type="dxa"/>
            <w:vMerge w:val="restart"/>
            <w:shd w:val="clear" w:color="auto" w:fill="BDD7EE"/>
            <w:vAlign w:val="center"/>
          </w:tcPr>
          <w:p w14:paraId="5195421C" w14:textId="77777777" w:rsidR="006A41D9" w:rsidRPr="001961AA" w:rsidRDefault="006A41D9" w:rsidP="00BD6DD1">
            <w:pPr>
              <w:spacing w:after="0" w:line="240" w:lineRule="auto"/>
              <w:jc w:val="center"/>
              <w:rPr>
                <w:rFonts w:ascii="Times New Roman" w:hAnsi="Times New Roman" w:cs="Times New Roman"/>
                <w:noProof/>
                <w:color w:val="006100"/>
                <w:sz w:val="20"/>
                <w:szCs w:val="20"/>
                <w:lang w:val="en-GB"/>
              </w:rPr>
            </w:pPr>
            <w:r w:rsidRPr="001961AA">
              <w:rPr>
                <w:rFonts w:ascii="Times New Roman" w:hAnsi="Times New Roman"/>
                <w:b/>
                <w:noProof/>
                <w:sz w:val="20"/>
                <w:lang w:val="en-GB"/>
              </w:rPr>
              <w:t xml:space="preserve">Qualitative indicators </w:t>
            </w:r>
            <w:r w:rsidRPr="001961AA">
              <w:rPr>
                <w:noProof/>
                <w:lang w:val="en-GB"/>
              </w:rPr>
              <w:t xml:space="preserve"> </w:t>
            </w:r>
            <w:r w:rsidRPr="001961AA">
              <w:rPr>
                <w:noProof/>
                <w:lang w:val="en-GB"/>
              </w:rPr>
              <w:br/>
            </w:r>
            <w:r w:rsidRPr="001961AA">
              <w:rPr>
                <w:rFonts w:ascii="Times New Roman" w:hAnsi="Times New Roman"/>
                <w:b/>
                <w:noProof/>
                <w:sz w:val="20"/>
                <w:lang w:val="en-GB"/>
              </w:rPr>
              <w:t>(for milestones)</w:t>
            </w:r>
          </w:p>
        </w:tc>
        <w:tc>
          <w:tcPr>
            <w:tcW w:w="2409" w:type="dxa"/>
            <w:gridSpan w:val="3"/>
            <w:shd w:val="clear" w:color="auto" w:fill="BDD7EE"/>
            <w:vAlign w:val="center"/>
          </w:tcPr>
          <w:p w14:paraId="6615FD18" w14:textId="77777777" w:rsidR="006A41D9" w:rsidRPr="001961AA" w:rsidRDefault="006A41D9" w:rsidP="00BD6DD1">
            <w:pPr>
              <w:spacing w:after="0" w:line="240" w:lineRule="auto"/>
              <w:jc w:val="center"/>
              <w:rPr>
                <w:rFonts w:ascii="Times New Roman" w:eastAsia="Times New Roman" w:hAnsi="Times New Roman" w:cs="Times New Roman"/>
                <w:noProof/>
                <w:color w:val="006100"/>
                <w:sz w:val="20"/>
                <w:szCs w:val="20"/>
                <w:lang w:val="en-GB"/>
              </w:rPr>
            </w:pPr>
            <w:r w:rsidRPr="001961AA">
              <w:rPr>
                <w:rFonts w:ascii="Times New Roman" w:hAnsi="Times New Roman"/>
                <w:b/>
                <w:noProof/>
                <w:sz w:val="20"/>
                <w:lang w:val="en-GB"/>
              </w:rPr>
              <w:t xml:space="preserve">Quantitative indicators </w:t>
            </w:r>
            <w:r w:rsidRPr="001961AA">
              <w:rPr>
                <w:noProof/>
                <w:lang w:val="en-GB"/>
              </w:rPr>
              <w:t xml:space="preserve"> </w:t>
            </w:r>
            <w:r w:rsidRPr="001961AA">
              <w:rPr>
                <w:noProof/>
                <w:lang w:val="en-GB"/>
              </w:rPr>
              <w:br/>
            </w:r>
            <w:r w:rsidRPr="001961AA">
              <w:rPr>
                <w:rFonts w:ascii="Times New Roman" w:hAnsi="Times New Roman"/>
                <w:b/>
                <w:noProof/>
                <w:sz w:val="20"/>
                <w:lang w:val="en-GB"/>
              </w:rPr>
              <w:t>(for targets)</w:t>
            </w:r>
          </w:p>
        </w:tc>
        <w:tc>
          <w:tcPr>
            <w:tcW w:w="1418" w:type="dxa"/>
            <w:gridSpan w:val="2"/>
            <w:shd w:val="clear" w:color="auto" w:fill="BDD7EE"/>
            <w:vAlign w:val="center"/>
          </w:tcPr>
          <w:p w14:paraId="749B6226" w14:textId="77777777" w:rsidR="006A41D9" w:rsidRPr="001961AA" w:rsidRDefault="006A41D9" w:rsidP="00BD6DD1">
            <w:pPr>
              <w:jc w:val="center"/>
              <w:rPr>
                <w:rFonts w:ascii="Times New Roman" w:eastAsia="Times New Roman" w:hAnsi="Times New Roman" w:cs="Times New Roman"/>
                <w:b/>
                <w:noProof/>
                <w:sz w:val="20"/>
                <w:szCs w:val="20"/>
                <w:lang w:val="en-GB"/>
              </w:rPr>
            </w:pPr>
            <w:r w:rsidRPr="001961AA">
              <w:rPr>
                <w:rFonts w:ascii="Times New Roman" w:hAnsi="Times New Roman"/>
                <w:b/>
                <w:noProof/>
                <w:sz w:val="20"/>
                <w:lang w:val="en-GB"/>
              </w:rPr>
              <w:t>Indicative timeline for completion</w:t>
            </w:r>
          </w:p>
        </w:tc>
        <w:tc>
          <w:tcPr>
            <w:tcW w:w="5103" w:type="dxa"/>
            <w:vMerge w:val="restart"/>
            <w:shd w:val="clear" w:color="auto" w:fill="BDD7EE"/>
            <w:vAlign w:val="center"/>
          </w:tcPr>
          <w:p w14:paraId="0811433E" w14:textId="77777777" w:rsidR="006A41D9" w:rsidRPr="001961AA" w:rsidRDefault="006A41D9" w:rsidP="00BD6DD1">
            <w:pPr>
              <w:jc w:val="center"/>
              <w:rPr>
                <w:rFonts w:ascii="Times New Roman" w:eastAsia="Times New Roman" w:hAnsi="Times New Roman" w:cs="Times New Roman"/>
                <w:b/>
                <w:noProof/>
                <w:sz w:val="20"/>
                <w:szCs w:val="20"/>
                <w:lang w:val="en-GB"/>
              </w:rPr>
            </w:pPr>
            <w:r w:rsidRPr="001961AA">
              <w:rPr>
                <w:rFonts w:ascii="Times New Roman" w:hAnsi="Times New Roman"/>
                <w:b/>
                <w:noProof/>
                <w:sz w:val="20"/>
                <w:lang w:val="en-GB"/>
              </w:rPr>
              <w:t>Description of each milestone and target</w:t>
            </w:r>
          </w:p>
        </w:tc>
      </w:tr>
      <w:tr w:rsidR="006A41D9" w:rsidRPr="001961AA" w14:paraId="1C0D673A" w14:textId="77777777" w:rsidTr="00D91A43">
        <w:trPr>
          <w:trHeight w:val="842"/>
        </w:trPr>
        <w:tc>
          <w:tcPr>
            <w:tcW w:w="670" w:type="dxa"/>
            <w:vMerge/>
            <w:vAlign w:val="center"/>
          </w:tcPr>
          <w:p w14:paraId="49DC0EFA" w14:textId="77777777" w:rsidR="006A41D9" w:rsidRPr="001961AA" w:rsidRDefault="006A41D9" w:rsidP="00BD6DD1">
            <w:pPr>
              <w:rPr>
                <w:rFonts w:ascii="Times New Roman" w:hAnsi="Times New Roman" w:cs="Times New Roman"/>
                <w:noProof/>
                <w:lang w:val="en-GB"/>
              </w:rPr>
            </w:pPr>
          </w:p>
        </w:tc>
        <w:tc>
          <w:tcPr>
            <w:tcW w:w="1452" w:type="dxa"/>
            <w:vMerge/>
            <w:vAlign w:val="center"/>
          </w:tcPr>
          <w:p w14:paraId="1A3773B3" w14:textId="77777777" w:rsidR="006A41D9" w:rsidRPr="001961AA" w:rsidRDefault="006A41D9" w:rsidP="00BD6DD1">
            <w:pPr>
              <w:rPr>
                <w:rFonts w:ascii="Times New Roman" w:hAnsi="Times New Roman" w:cs="Times New Roman"/>
                <w:noProof/>
                <w:lang w:val="en-GB"/>
              </w:rPr>
            </w:pPr>
          </w:p>
        </w:tc>
        <w:tc>
          <w:tcPr>
            <w:tcW w:w="567" w:type="dxa"/>
            <w:vMerge/>
            <w:vAlign w:val="center"/>
          </w:tcPr>
          <w:p w14:paraId="5C5E5C90" w14:textId="77777777" w:rsidR="006A41D9" w:rsidRPr="001961AA" w:rsidRDefault="006A41D9" w:rsidP="00BD6DD1">
            <w:pPr>
              <w:rPr>
                <w:rFonts w:ascii="Times New Roman" w:hAnsi="Times New Roman" w:cs="Times New Roman"/>
                <w:noProof/>
                <w:lang w:val="en-GB"/>
              </w:rPr>
            </w:pPr>
          </w:p>
        </w:tc>
        <w:tc>
          <w:tcPr>
            <w:tcW w:w="1559" w:type="dxa"/>
            <w:vMerge/>
            <w:vAlign w:val="center"/>
          </w:tcPr>
          <w:p w14:paraId="2B11E58B" w14:textId="77777777" w:rsidR="006A41D9" w:rsidRPr="001961AA" w:rsidRDefault="006A41D9" w:rsidP="00BD6DD1">
            <w:pPr>
              <w:rPr>
                <w:rFonts w:ascii="Times New Roman" w:hAnsi="Times New Roman" w:cs="Times New Roman"/>
                <w:noProof/>
                <w:lang w:val="en-GB"/>
              </w:rPr>
            </w:pPr>
          </w:p>
        </w:tc>
        <w:tc>
          <w:tcPr>
            <w:tcW w:w="1276" w:type="dxa"/>
            <w:vMerge/>
            <w:vAlign w:val="center"/>
          </w:tcPr>
          <w:p w14:paraId="689FC82E" w14:textId="77777777" w:rsidR="006A41D9" w:rsidRPr="001961AA" w:rsidRDefault="006A41D9" w:rsidP="00BD6DD1">
            <w:pPr>
              <w:spacing w:after="0" w:line="240" w:lineRule="auto"/>
              <w:rPr>
                <w:rFonts w:ascii="Times New Roman" w:hAnsi="Times New Roman" w:cs="Times New Roman"/>
                <w:noProof/>
                <w:color w:val="006100"/>
                <w:lang w:val="en-GB"/>
              </w:rPr>
            </w:pPr>
          </w:p>
        </w:tc>
        <w:tc>
          <w:tcPr>
            <w:tcW w:w="992" w:type="dxa"/>
            <w:shd w:val="clear" w:color="auto" w:fill="BDD7EE"/>
            <w:vAlign w:val="center"/>
          </w:tcPr>
          <w:p w14:paraId="54CF7FE0" w14:textId="77777777" w:rsidR="006A41D9" w:rsidRPr="001961AA" w:rsidRDefault="006A41D9" w:rsidP="00BD6DD1">
            <w:pPr>
              <w:spacing w:after="0" w:line="240" w:lineRule="auto"/>
              <w:jc w:val="center"/>
              <w:rPr>
                <w:rFonts w:ascii="Times New Roman" w:eastAsia="Times New Roman" w:hAnsi="Times New Roman" w:cs="Times New Roman"/>
                <w:noProof/>
                <w:color w:val="006100"/>
                <w:sz w:val="20"/>
                <w:szCs w:val="20"/>
                <w:lang w:val="en-GB"/>
              </w:rPr>
            </w:pPr>
            <w:r w:rsidRPr="001961AA">
              <w:rPr>
                <w:rFonts w:ascii="Times New Roman" w:hAnsi="Times New Roman"/>
                <w:b/>
                <w:noProof/>
                <w:sz w:val="20"/>
                <w:lang w:val="en-GB"/>
              </w:rPr>
              <w:t>Unit of measure</w:t>
            </w:r>
          </w:p>
        </w:tc>
        <w:tc>
          <w:tcPr>
            <w:tcW w:w="709" w:type="dxa"/>
            <w:shd w:val="clear" w:color="auto" w:fill="BDD7EE"/>
            <w:vAlign w:val="center"/>
          </w:tcPr>
          <w:p w14:paraId="3769952F" w14:textId="77777777" w:rsidR="006A41D9" w:rsidRPr="001961AA" w:rsidRDefault="006A41D9" w:rsidP="00BD6DD1">
            <w:pPr>
              <w:spacing w:after="0" w:line="240" w:lineRule="auto"/>
              <w:jc w:val="center"/>
              <w:rPr>
                <w:rFonts w:ascii="Times New Roman" w:eastAsia="Times New Roman" w:hAnsi="Times New Roman" w:cs="Times New Roman"/>
                <w:noProof/>
                <w:color w:val="006100"/>
                <w:sz w:val="20"/>
                <w:szCs w:val="20"/>
                <w:lang w:val="en-GB"/>
              </w:rPr>
            </w:pPr>
            <w:r w:rsidRPr="001961AA">
              <w:rPr>
                <w:rFonts w:ascii="Times New Roman" w:hAnsi="Times New Roman"/>
                <w:b/>
                <w:noProof/>
                <w:sz w:val="20"/>
                <w:lang w:val="en-GB"/>
              </w:rPr>
              <w:t>Baseline</w:t>
            </w:r>
          </w:p>
        </w:tc>
        <w:tc>
          <w:tcPr>
            <w:tcW w:w="708" w:type="dxa"/>
            <w:shd w:val="clear" w:color="auto" w:fill="BDD7EE"/>
            <w:vAlign w:val="center"/>
          </w:tcPr>
          <w:p w14:paraId="688CF99F" w14:textId="77777777" w:rsidR="006A41D9" w:rsidRPr="001961AA" w:rsidRDefault="006A41D9" w:rsidP="00BD6DD1">
            <w:pPr>
              <w:spacing w:after="0" w:line="240" w:lineRule="auto"/>
              <w:jc w:val="center"/>
              <w:rPr>
                <w:rFonts w:ascii="Times New Roman" w:eastAsia="Times New Roman" w:hAnsi="Times New Roman" w:cs="Times New Roman"/>
                <w:b/>
                <w:noProof/>
                <w:sz w:val="20"/>
                <w:szCs w:val="20"/>
                <w:lang w:val="en-GB"/>
              </w:rPr>
            </w:pPr>
            <w:r w:rsidRPr="001961AA">
              <w:rPr>
                <w:rFonts w:ascii="Times New Roman" w:hAnsi="Times New Roman"/>
                <w:b/>
                <w:noProof/>
                <w:sz w:val="20"/>
                <w:lang w:val="en-GB"/>
              </w:rPr>
              <w:t>Goal</w:t>
            </w:r>
          </w:p>
        </w:tc>
        <w:tc>
          <w:tcPr>
            <w:tcW w:w="709" w:type="dxa"/>
            <w:shd w:val="clear" w:color="auto" w:fill="BDD7EE"/>
            <w:vAlign w:val="center"/>
          </w:tcPr>
          <w:p w14:paraId="035148E5" w14:textId="77777777" w:rsidR="006A41D9" w:rsidRPr="001961AA" w:rsidRDefault="006A41D9" w:rsidP="00BD6DD1">
            <w:pPr>
              <w:spacing w:after="0" w:line="240" w:lineRule="auto"/>
              <w:jc w:val="center"/>
              <w:rPr>
                <w:rFonts w:ascii="Times New Roman" w:eastAsia="Times New Roman" w:hAnsi="Times New Roman" w:cs="Times New Roman"/>
                <w:noProof/>
                <w:color w:val="006100"/>
                <w:sz w:val="20"/>
                <w:szCs w:val="20"/>
                <w:lang w:val="en-GB"/>
              </w:rPr>
            </w:pPr>
            <w:r w:rsidRPr="001961AA">
              <w:rPr>
                <w:rFonts w:ascii="Times New Roman" w:hAnsi="Times New Roman"/>
                <w:b/>
                <w:noProof/>
                <w:sz w:val="20"/>
                <w:lang w:val="en-GB"/>
              </w:rPr>
              <w:t>Quarter</w:t>
            </w:r>
          </w:p>
        </w:tc>
        <w:tc>
          <w:tcPr>
            <w:tcW w:w="709" w:type="dxa"/>
            <w:shd w:val="clear" w:color="auto" w:fill="BDD7EE"/>
            <w:vAlign w:val="center"/>
          </w:tcPr>
          <w:p w14:paraId="60661D88" w14:textId="77777777" w:rsidR="006A41D9" w:rsidRPr="001961AA" w:rsidRDefault="006A41D9" w:rsidP="00BD6DD1">
            <w:pPr>
              <w:spacing w:after="0" w:line="240" w:lineRule="auto"/>
              <w:jc w:val="center"/>
              <w:rPr>
                <w:rFonts w:ascii="Times New Roman" w:hAnsi="Times New Roman" w:cs="Times New Roman"/>
                <w:b/>
                <w:noProof/>
                <w:color w:val="006100"/>
                <w:sz w:val="20"/>
                <w:szCs w:val="20"/>
                <w:lang w:val="en-GB"/>
              </w:rPr>
            </w:pPr>
            <w:r w:rsidRPr="001961AA">
              <w:rPr>
                <w:rFonts w:ascii="Times New Roman" w:hAnsi="Times New Roman"/>
                <w:b/>
                <w:noProof/>
                <w:sz w:val="20"/>
                <w:lang w:val="en-GB"/>
              </w:rPr>
              <w:t>Year</w:t>
            </w:r>
          </w:p>
        </w:tc>
        <w:tc>
          <w:tcPr>
            <w:tcW w:w="5103" w:type="dxa"/>
            <w:vMerge/>
            <w:vAlign w:val="center"/>
          </w:tcPr>
          <w:p w14:paraId="4887C7EB" w14:textId="77777777" w:rsidR="006A41D9" w:rsidRPr="001961AA" w:rsidRDefault="006A41D9" w:rsidP="00BD6DD1">
            <w:pPr>
              <w:rPr>
                <w:rFonts w:ascii="Times New Roman" w:eastAsia="Times New Roman" w:hAnsi="Times New Roman" w:cs="Times New Roman"/>
                <w:b/>
                <w:noProof/>
                <w:lang w:val="en-GB" w:eastAsia="en-GB"/>
              </w:rPr>
            </w:pPr>
          </w:p>
        </w:tc>
      </w:tr>
      <w:bookmarkEnd w:id="6"/>
      <w:tr w:rsidR="006A41D9" w:rsidRPr="001961AA" w14:paraId="7A8B2AF1" w14:textId="77777777" w:rsidTr="00D91A43">
        <w:trPr>
          <w:trHeight w:val="300"/>
        </w:trPr>
        <w:tc>
          <w:tcPr>
            <w:tcW w:w="670" w:type="dxa"/>
            <w:tcBorders>
              <w:top w:val="single" w:sz="4" w:space="0" w:color="auto"/>
              <w:left w:val="single" w:sz="4" w:space="0" w:color="auto"/>
              <w:bottom w:val="single" w:sz="4" w:space="0" w:color="auto"/>
              <w:right w:val="single" w:sz="4" w:space="0" w:color="auto"/>
            </w:tcBorders>
            <w:shd w:val="clear" w:color="auto" w:fill="C6EFCE"/>
            <w:vAlign w:val="center"/>
          </w:tcPr>
          <w:p w14:paraId="493DE247" w14:textId="77777777" w:rsidR="006A41D9" w:rsidRPr="001961AA" w:rsidDel="003B1270" w:rsidRDefault="006A41D9" w:rsidP="00BD6DD1">
            <w:pPr>
              <w:spacing w:after="0" w:line="240" w:lineRule="auto"/>
              <w:jc w:val="center"/>
              <w:rPr>
                <w:rFonts w:ascii="Times New Roman" w:hAnsi="Times New Roman" w:cs="Times New Roman"/>
                <w:noProof/>
                <w:color w:val="006100"/>
                <w:lang w:val="en-GB"/>
              </w:rPr>
            </w:pPr>
            <w:r w:rsidRPr="001961AA">
              <w:rPr>
                <w:rFonts w:ascii="Times New Roman" w:hAnsi="Times New Roman"/>
                <w:noProof/>
                <w:color w:val="006100"/>
                <w:lang w:val="en-GB"/>
              </w:rPr>
              <w:t>219</w:t>
            </w:r>
          </w:p>
        </w:tc>
        <w:tc>
          <w:tcPr>
            <w:tcW w:w="1452" w:type="dxa"/>
            <w:tcBorders>
              <w:top w:val="single" w:sz="4" w:space="0" w:color="auto"/>
              <w:left w:val="single" w:sz="4" w:space="0" w:color="auto"/>
              <w:bottom w:val="single" w:sz="4" w:space="0" w:color="auto"/>
              <w:right w:val="single" w:sz="4" w:space="0" w:color="auto"/>
            </w:tcBorders>
            <w:shd w:val="clear" w:color="auto" w:fill="C6EFCE"/>
            <w:vAlign w:val="center"/>
          </w:tcPr>
          <w:p w14:paraId="661E9F33" w14:textId="77777777" w:rsidR="006A41D9" w:rsidRPr="001961AA" w:rsidDel="003B1270" w:rsidRDefault="006A41D9" w:rsidP="00BD6DD1">
            <w:pPr>
              <w:spacing w:after="0" w:line="240" w:lineRule="auto"/>
              <w:rPr>
                <w:rFonts w:ascii="Times New Roman" w:hAnsi="Times New Roman" w:cs="Times New Roman"/>
                <w:noProof/>
                <w:color w:val="006100"/>
                <w:lang w:val="en-GB"/>
              </w:rPr>
            </w:pPr>
            <w:r w:rsidRPr="001961AA">
              <w:rPr>
                <w:rFonts w:ascii="Times New Roman" w:hAnsi="Times New Roman"/>
                <w:noProof/>
                <w:color w:val="006100"/>
                <w:lang w:val="en-GB"/>
              </w:rPr>
              <w:t xml:space="preserve">Research platform for energy transition (I-7.11) </w:t>
            </w:r>
          </w:p>
        </w:tc>
        <w:tc>
          <w:tcPr>
            <w:tcW w:w="567" w:type="dxa"/>
            <w:tcBorders>
              <w:top w:val="single" w:sz="4" w:space="0" w:color="auto"/>
              <w:left w:val="single" w:sz="4" w:space="0" w:color="auto"/>
              <w:bottom w:val="single" w:sz="4" w:space="0" w:color="auto"/>
              <w:right w:val="single" w:sz="4" w:space="0" w:color="auto"/>
            </w:tcBorders>
            <w:shd w:val="clear" w:color="auto" w:fill="C6EFCE"/>
            <w:vAlign w:val="center"/>
          </w:tcPr>
          <w:p w14:paraId="3FCE4676" w14:textId="77777777" w:rsidR="006A41D9" w:rsidRPr="001961AA" w:rsidDel="003B1270" w:rsidRDefault="006A41D9" w:rsidP="00BD6DD1">
            <w:pPr>
              <w:spacing w:after="0" w:line="240" w:lineRule="auto"/>
              <w:rPr>
                <w:rFonts w:ascii="Times New Roman" w:hAnsi="Times New Roman" w:cs="Times New Roman"/>
                <w:noProof/>
                <w:color w:val="006100"/>
                <w:lang w:val="en-GB"/>
              </w:rPr>
            </w:pPr>
            <w:r w:rsidRPr="001961AA">
              <w:rPr>
                <w:rFonts w:ascii="Times New Roman" w:hAnsi="Times New Roman"/>
                <w:noProof/>
                <w:color w:val="006100"/>
                <w:lang w:val="en-GB"/>
              </w:rPr>
              <w:t>M</w:t>
            </w:r>
          </w:p>
        </w:tc>
        <w:tc>
          <w:tcPr>
            <w:tcW w:w="1559" w:type="dxa"/>
            <w:tcBorders>
              <w:top w:val="single" w:sz="4" w:space="0" w:color="auto"/>
              <w:left w:val="single" w:sz="4" w:space="0" w:color="auto"/>
              <w:bottom w:val="single" w:sz="4" w:space="0" w:color="auto"/>
              <w:right w:val="single" w:sz="4" w:space="0" w:color="auto"/>
            </w:tcBorders>
            <w:shd w:val="clear" w:color="auto" w:fill="C6EFCE"/>
            <w:vAlign w:val="center"/>
          </w:tcPr>
          <w:p w14:paraId="6771FC06" w14:textId="77777777" w:rsidR="006A41D9" w:rsidRPr="001961AA" w:rsidDel="003B1270" w:rsidRDefault="006A41D9" w:rsidP="00BD6DD1">
            <w:pPr>
              <w:spacing w:after="0" w:line="240" w:lineRule="auto"/>
              <w:rPr>
                <w:rFonts w:ascii="Times New Roman" w:hAnsi="Times New Roman" w:cs="Times New Roman"/>
                <w:noProof/>
                <w:color w:val="006100"/>
                <w:lang w:val="en-GB"/>
              </w:rPr>
            </w:pPr>
            <w:r w:rsidRPr="001961AA">
              <w:rPr>
                <w:rFonts w:ascii="Times New Roman" w:hAnsi="Times New Roman"/>
                <w:noProof/>
                <w:color w:val="006100"/>
                <w:lang w:val="en-GB"/>
              </w:rPr>
              <w:t>Release of public tenders for equipment</w:t>
            </w:r>
          </w:p>
        </w:tc>
        <w:tc>
          <w:tcPr>
            <w:tcW w:w="1276" w:type="dxa"/>
            <w:tcBorders>
              <w:top w:val="single" w:sz="4" w:space="0" w:color="auto"/>
              <w:left w:val="single" w:sz="4" w:space="0" w:color="auto"/>
              <w:bottom w:val="single" w:sz="4" w:space="0" w:color="auto"/>
              <w:right w:val="single" w:sz="4" w:space="0" w:color="auto"/>
            </w:tcBorders>
            <w:shd w:val="clear" w:color="auto" w:fill="C6EFCE"/>
            <w:vAlign w:val="center"/>
          </w:tcPr>
          <w:p w14:paraId="1ADE663F" w14:textId="6F4AD4F4" w:rsidR="006A41D9" w:rsidRPr="001961AA" w:rsidDel="003B1270" w:rsidRDefault="006A41D9" w:rsidP="00BD6DD1">
            <w:pPr>
              <w:spacing w:after="0" w:line="240" w:lineRule="auto"/>
              <w:rPr>
                <w:rFonts w:ascii="Times New Roman" w:hAnsi="Times New Roman" w:cs="Times New Roman"/>
                <w:noProof/>
                <w:color w:val="006100"/>
                <w:lang w:val="en-GB"/>
              </w:rPr>
            </w:pPr>
            <w:r w:rsidRPr="001961AA">
              <w:rPr>
                <w:rFonts w:ascii="Times New Roman" w:hAnsi="Times New Roman"/>
                <w:noProof/>
                <w:color w:val="006100"/>
                <w:lang w:val="en-GB"/>
              </w:rPr>
              <w:t>Release of public tenders</w:t>
            </w:r>
          </w:p>
        </w:tc>
        <w:tc>
          <w:tcPr>
            <w:tcW w:w="992" w:type="dxa"/>
            <w:tcBorders>
              <w:top w:val="single" w:sz="4" w:space="0" w:color="auto"/>
              <w:left w:val="single" w:sz="4" w:space="0" w:color="auto"/>
              <w:bottom w:val="single" w:sz="4" w:space="0" w:color="auto"/>
              <w:right w:val="single" w:sz="4" w:space="0" w:color="auto"/>
            </w:tcBorders>
            <w:shd w:val="clear" w:color="auto" w:fill="C6EFCE"/>
            <w:vAlign w:val="center"/>
          </w:tcPr>
          <w:p w14:paraId="61054039" w14:textId="77777777" w:rsidR="006A41D9" w:rsidRPr="001961AA" w:rsidRDefault="006A41D9" w:rsidP="00BD6DD1">
            <w:pPr>
              <w:spacing w:after="0" w:line="240" w:lineRule="auto"/>
              <w:rPr>
                <w:rFonts w:ascii="Times New Roman" w:eastAsia="Times New Roman" w:hAnsi="Times New Roman" w:cs="Times New Roman"/>
                <w:noProof/>
                <w:color w:val="006100"/>
                <w:lang w:val="en-GB" w:eastAsia="en-GB"/>
              </w:rPr>
            </w:pPr>
          </w:p>
        </w:tc>
        <w:tc>
          <w:tcPr>
            <w:tcW w:w="709" w:type="dxa"/>
            <w:tcBorders>
              <w:top w:val="single" w:sz="4" w:space="0" w:color="auto"/>
              <w:left w:val="single" w:sz="4" w:space="0" w:color="auto"/>
              <w:bottom w:val="single" w:sz="4" w:space="0" w:color="auto"/>
              <w:right w:val="single" w:sz="4" w:space="0" w:color="auto"/>
            </w:tcBorders>
            <w:shd w:val="clear" w:color="auto" w:fill="C6EFCE"/>
            <w:vAlign w:val="center"/>
          </w:tcPr>
          <w:p w14:paraId="217DB389" w14:textId="77777777" w:rsidR="006A41D9" w:rsidRPr="001961AA" w:rsidRDefault="006A41D9" w:rsidP="00BD6DD1">
            <w:pPr>
              <w:spacing w:after="0" w:line="240" w:lineRule="auto"/>
              <w:rPr>
                <w:rFonts w:ascii="Times New Roman" w:eastAsia="Times New Roman" w:hAnsi="Times New Roman" w:cs="Times New Roman"/>
                <w:noProof/>
                <w:color w:val="006100"/>
                <w:lang w:val="en-GB" w:eastAsia="en-GB"/>
              </w:rPr>
            </w:pPr>
          </w:p>
        </w:tc>
        <w:tc>
          <w:tcPr>
            <w:tcW w:w="708" w:type="dxa"/>
            <w:tcBorders>
              <w:top w:val="single" w:sz="4" w:space="0" w:color="auto"/>
              <w:left w:val="single" w:sz="4" w:space="0" w:color="auto"/>
              <w:bottom w:val="single" w:sz="4" w:space="0" w:color="auto"/>
              <w:right w:val="single" w:sz="4" w:space="0" w:color="auto"/>
            </w:tcBorders>
            <w:shd w:val="clear" w:color="auto" w:fill="C6EFCE"/>
            <w:vAlign w:val="center"/>
          </w:tcPr>
          <w:p w14:paraId="6E5D46AA" w14:textId="77777777" w:rsidR="006A41D9" w:rsidRPr="001961AA" w:rsidRDefault="006A41D9" w:rsidP="00BD6DD1">
            <w:pPr>
              <w:spacing w:after="0" w:line="240" w:lineRule="auto"/>
              <w:rPr>
                <w:rFonts w:ascii="Times New Roman" w:eastAsia="Times New Roman" w:hAnsi="Times New Roman" w:cs="Times New Roman"/>
                <w:noProof/>
                <w:color w:val="006100"/>
                <w:lang w:val="en-GB" w:eastAsia="en-GB"/>
              </w:rPr>
            </w:pPr>
          </w:p>
        </w:tc>
        <w:tc>
          <w:tcPr>
            <w:tcW w:w="709" w:type="dxa"/>
            <w:tcBorders>
              <w:top w:val="single" w:sz="4" w:space="0" w:color="auto"/>
              <w:left w:val="single" w:sz="4" w:space="0" w:color="auto"/>
              <w:bottom w:val="single" w:sz="4" w:space="0" w:color="auto"/>
              <w:right w:val="single" w:sz="4" w:space="0" w:color="auto"/>
            </w:tcBorders>
            <w:shd w:val="clear" w:color="auto" w:fill="C6EFCE"/>
            <w:vAlign w:val="center"/>
          </w:tcPr>
          <w:p w14:paraId="0B6CD4EF" w14:textId="77777777" w:rsidR="006A41D9" w:rsidRPr="001961AA" w:rsidDel="003B1270" w:rsidRDefault="006A41D9" w:rsidP="00BD6DD1">
            <w:pPr>
              <w:spacing w:after="0" w:line="240" w:lineRule="auto"/>
              <w:jc w:val="center"/>
              <w:rPr>
                <w:rFonts w:ascii="Times New Roman" w:hAnsi="Times New Roman" w:cs="Times New Roman"/>
                <w:noProof/>
                <w:color w:val="006100"/>
                <w:lang w:val="en-GB"/>
              </w:rPr>
            </w:pPr>
            <w:r w:rsidRPr="001961AA">
              <w:rPr>
                <w:rFonts w:ascii="Times New Roman" w:hAnsi="Times New Roman"/>
                <w:noProof/>
                <w:color w:val="006100"/>
                <w:lang w:val="en-GB"/>
              </w:rPr>
              <w:t>Q2</w:t>
            </w:r>
          </w:p>
        </w:tc>
        <w:tc>
          <w:tcPr>
            <w:tcW w:w="709" w:type="dxa"/>
            <w:tcBorders>
              <w:top w:val="single" w:sz="4" w:space="0" w:color="auto"/>
              <w:left w:val="single" w:sz="4" w:space="0" w:color="auto"/>
              <w:bottom w:val="single" w:sz="4" w:space="0" w:color="auto"/>
              <w:right w:val="single" w:sz="4" w:space="0" w:color="auto"/>
            </w:tcBorders>
            <w:shd w:val="clear" w:color="auto" w:fill="C6EFCE"/>
            <w:vAlign w:val="center"/>
          </w:tcPr>
          <w:p w14:paraId="69317AF6" w14:textId="77777777" w:rsidR="006A41D9" w:rsidRPr="001961AA" w:rsidDel="003B1270" w:rsidRDefault="006A41D9" w:rsidP="00BD6DD1">
            <w:pPr>
              <w:spacing w:after="0" w:line="240" w:lineRule="auto"/>
              <w:jc w:val="center"/>
              <w:rPr>
                <w:rFonts w:ascii="Times New Roman" w:hAnsi="Times New Roman" w:cs="Times New Roman"/>
                <w:noProof/>
                <w:color w:val="006100"/>
                <w:lang w:val="en-GB"/>
              </w:rPr>
            </w:pPr>
            <w:r w:rsidRPr="001961AA">
              <w:rPr>
                <w:rFonts w:ascii="Times New Roman" w:hAnsi="Times New Roman"/>
                <w:noProof/>
                <w:color w:val="006100"/>
                <w:lang w:val="en-GB"/>
              </w:rPr>
              <w:t>2024</w:t>
            </w:r>
          </w:p>
        </w:tc>
        <w:tc>
          <w:tcPr>
            <w:tcW w:w="5103" w:type="dxa"/>
            <w:tcBorders>
              <w:top w:val="single" w:sz="4" w:space="0" w:color="auto"/>
              <w:left w:val="single" w:sz="4" w:space="0" w:color="auto"/>
              <w:bottom w:val="single" w:sz="4" w:space="0" w:color="auto"/>
              <w:right w:val="single" w:sz="4" w:space="0" w:color="auto"/>
            </w:tcBorders>
            <w:shd w:val="clear" w:color="auto" w:fill="C6EFCE"/>
            <w:vAlign w:val="center"/>
          </w:tcPr>
          <w:p w14:paraId="2A471AAB" w14:textId="77777777" w:rsidR="006A41D9" w:rsidRPr="001961AA" w:rsidRDefault="006A41D9" w:rsidP="00BD6DD1">
            <w:pPr>
              <w:spacing w:after="0" w:line="240" w:lineRule="auto"/>
              <w:rPr>
                <w:rFonts w:ascii="Times New Roman" w:hAnsi="Times New Roman" w:cs="Times New Roman"/>
                <w:noProof/>
                <w:color w:val="006100"/>
                <w:lang w:val="en-GB"/>
              </w:rPr>
            </w:pPr>
            <w:r w:rsidRPr="001961AA">
              <w:rPr>
                <w:rFonts w:ascii="Times New Roman" w:hAnsi="Times New Roman"/>
                <w:noProof/>
                <w:color w:val="006100"/>
                <w:lang w:val="en-GB"/>
              </w:rPr>
              <w:t xml:space="preserve">Release of public tenders to procure targeted equipment under the project “Research platform for energy transition” (Fedération Wallonie-Bruxelles) satisfying the following conditions as regards the intended research and innovation (R&amp;I) activities: </w:t>
            </w:r>
          </w:p>
          <w:p w14:paraId="04D6C9CC" w14:textId="77777777" w:rsidR="006A41D9" w:rsidRPr="001961AA" w:rsidRDefault="006A41D9" w:rsidP="00BD6DD1">
            <w:pPr>
              <w:spacing w:after="0" w:line="240" w:lineRule="auto"/>
              <w:rPr>
                <w:rFonts w:ascii="Times New Roman" w:hAnsi="Times New Roman" w:cs="Times New Roman"/>
                <w:noProof/>
                <w:color w:val="006100"/>
                <w:lang w:val="en-GB"/>
              </w:rPr>
            </w:pPr>
            <w:r w:rsidRPr="001961AA">
              <w:rPr>
                <w:rFonts w:ascii="Times New Roman" w:hAnsi="Times New Roman"/>
                <w:noProof/>
                <w:color w:val="006100"/>
                <w:lang w:val="en-GB"/>
              </w:rPr>
              <w:t>- The R&amp;I exclusively or primarily focuses on low-impact options (such as renewable hydrogen production or zero emission environmental innovations); or</w:t>
            </w:r>
          </w:p>
          <w:p w14:paraId="3F084903" w14:textId="77777777" w:rsidR="006A41D9" w:rsidRPr="001961AA" w:rsidRDefault="006A41D9" w:rsidP="00BD6DD1">
            <w:pPr>
              <w:spacing w:after="0" w:line="240" w:lineRule="auto"/>
              <w:rPr>
                <w:rFonts w:ascii="Times New Roman" w:hAnsi="Times New Roman" w:cs="Times New Roman"/>
                <w:noProof/>
                <w:color w:val="006100"/>
                <w:lang w:val="en-GB"/>
              </w:rPr>
            </w:pPr>
            <w:r w:rsidRPr="001961AA">
              <w:rPr>
                <w:rFonts w:ascii="Times New Roman" w:hAnsi="Times New Roman"/>
                <w:noProof/>
                <w:color w:val="006100"/>
                <w:lang w:val="en-GB"/>
              </w:rPr>
              <w:t>- The R&amp;I is dedicated to improving “best in class” technology (such as technologies with the most limited impact (but not zero / low impact) among those currently available), and appropriate flanking measures are put in place to prevent lock-in effects (measures enabling the uptake of low impact technologies, or their development); or</w:t>
            </w:r>
          </w:p>
          <w:p w14:paraId="3BE5D0E1" w14:textId="77777777" w:rsidR="006A41D9" w:rsidRPr="001961AA" w:rsidDel="003B1270" w:rsidRDefault="006A41D9" w:rsidP="00BD6DD1">
            <w:pPr>
              <w:spacing w:after="0" w:line="240" w:lineRule="auto"/>
              <w:rPr>
                <w:rFonts w:ascii="Times New Roman" w:eastAsia="Times New Roman" w:hAnsi="Times New Roman" w:cs="Times New Roman"/>
                <w:noProof/>
                <w:color w:val="006100"/>
                <w:highlight w:val="yellow"/>
                <w:lang w:val="en-GB"/>
              </w:rPr>
            </w:pPr>
            <w:r w:rsidRPr="001961AA">
              <w:rPr>
                <w:rFonts w:ascii="Times New Roman" w:hAnsi="Times New Roman"/>
                <w:noProof/>
                <w:color w:val="006100"/>
                <w:lang w:val="en-GB"/>
              </w:rPr>
              <w:t>- The results of the R&amp;I process are technologically neutral at the level of their application (i.e. they may be applied across all available technologies).</w:t>
            </w:r>
          </w:p>
        </w:tc>
      </w:tr>
      <w:tr w:rsidR="006A41D9" w:rsidRPr="001961AA" w14:paraId="294CC6C4" w14:textId="77777777" w:rsidTr="00D91A43">
        <w:trPr>
          <w:trHeight w:val="300"/>
        </w:trPr>
        <w:tc>
          <w:tcPr>
            <w:tcW w:w="670" w:type="dxa"/>
            <w:tcBorders>
              <w:top w:val="single" w:sz="4" w:space="0" w:color="auto"/>
              <w:left w:val="single" w:sz="4" w:space="0" w:color="auto"/>
              <w:bottom w:val="single" w:sz="4" w:space="0" w:color="auto"/>
              <w:right w:val="single" w:sz="4" w:space="0" w:color="auto"/>
            </w:tcBorders>
            <w:shd w:val="clear" w:color="auto" w:fill="C6EFCE"/>
            <w:vAlign w:val="center"/>
          </w:tcPr>
          <w:p w14:paraId="47FB4C46" w14:textId="77777777" w:rsidR="006A41D9" w:rsidRPr="001961AA" w:rsidDel="003B1270" w:rsidRDefault="006A41D9" w:rsidP="00BD6DD1">
            <w:pPr>
              <w:spacing w:after="0" w:line="240" w:lineRule="auto"/>
              <w:jc w:val="center"/>
              <w:rPr>
                <w:rFonts w:ascii="Times New Roman" w:hAnsi="Times New Roman" w:cs="Times New Roman"/>
                <w:noProof/>
                <w:color w:val="006100"/>
                <w:lang w:val="en-GB"/>
              </w:rPr>
            </w:pPr>
            <w:r w:rsidRPr="001961AA">
              <w:rPr>
                <w:rFonts w:ascii="Times New Roman" w:hAnsi="Times New Roman"/>
                <w:noProof/>
                <w:color w:val="006100"/>
                <w:lang w:val="en-GB"/>
              </w:rPr>
              <w:t>220</w:t>
            </w:r>
          </w:p>
        </w:tc>
        <w:tc>
          <w:tcPr>
            <w:tcW w:w="1452" w:type="dxa"/>
            <w:tcBorders>
              <w:top w:val="single" w:sz="4" w:space="0" w:color="auto"/>
              <w:left w:val="single" w:sz="4" w:space="0" w:color="auto"/>
              <w:bottom w:val="single" w:sz="4" w:space="0" w:color="auto"/>
              <w:right w:val="single" w:sz="4" w:space="0" w:color="auto"/>
            </w:tcBorders>
            <w:shd w:val="clear" w:color="auto" w:fill="C6EFCE"/>
            <w:vAlign w:val="center"/>
          </w:tcPr>
          <w:p w14:paraId="0EA9E27D" w14:textId="77777777" w:rsidR="006A41D9" w:rsidRPr="001961AA" w:rsidDel="003B1270" w:rsidRDefault="006A41D9" w:rsidP="00BD6DD1">
            <w:pPr>
              <w:spacing w:after="0" w:line="240" w:lineRule="auto"/>
              <w:rPr>
                <w:rFonts w:ascii="Times New Roman" w:hAnsi="Times New Roman" w:cs="Times New Roman"/>
                <w:noProof/>
                <w:color w:val="006100"/>
                <w:lang w:val="en-GB"/>
              </w:rPr>
            </w:pPr>
            <w:r w:rsidRPr="001961AA">
              <w:rPr>
                <w:rFonts w:ascii="Times New Roman" w:hAnsi="Times New Roman"/>
                <w:noProof/>
                <w:color w:val="006100"/>
                <w:lang w:val="en-GB"/>
              </w:rPr>
              <w:t xml:space="preserve">Research platform for energy transition (I-7.11) </w:t>
            </w:r>
          </w:p>
        </w:tc>
        <w:tc>
          <w:tcPr>
            <w:tcW w:w="567" w:type="dxa"/>
            <w:tcBorders>
              <w:top w:val="single" w:sz="4" w:space="0" w:color="auto"/>
              <w:left w:val="single" w:sz="4" w:space="0" w:color="auto"/>
              <w:bottom w:val="single" w:sz="4" w:space="0" w:color="auto"/>
              <w:right w:val="single" w:sz="4" w:space="0" w:color="auto"/>
            </w:tcBorders>
            <w:shd w:val="clear" w:color="auto" w:fill="C6EFCE"/>
            <w:vAlign w:val="center"/>
          </w:tcPr>
          <w:p w14:paraId="26628CB6" w14:textId="77777777" w:rsidR="006A41D9" w:rsidRPr="001961AA" w:rsidDel="003B1270" w:rsidRDefault="006A41D9" w:rsidP="00BD6DD1">
            <w:pPr>
              <w:spacing w:after="0" w:line="240" w:lineRule="auto"/>
              <w:rPr>
                <w:rFonts w:ascii="Times New Roman" w:hAnsi="Times New Roman" w:cs="Times New Roman"/>
                <w:noProof/>
                <w:color w:val="006100"/>
                <w:lang w:val="en-GB"/>
              </w:rPr>
            </w:pPr>
            <w:r w:rsidRPr="001961AA">
              <w:rPr>
                <w:rFonts w:ascii="Times New Roman" w:hAnsi="Times New Roman"/>
                <w:noProof/>
                <w:color w:val="006100"/>
                <w:lang w:val="en-GB"/>
              </w:rPr>
              <w:t>M</w:t>
            </w:r>
          </w:p>
        </w:tc>
        <w:tc>
          <w:tcPr>
            <w:tcW w:w="1559" w:type="dxa"/>
            <w:tcBorders>
              <w:top w:val="single" w:sz="4" w:space="0" w:color="auto"/>
              <w:left w:val="single" w:sz="4" w:space="0" w:color="auto"/>
              <w:bottom w:val="single" w:sz="4" w:space="0" w:color="auto"/>
              <w:right w:val="single" w:sz="4" w:space="0" w:color="auto"/>
            </w:tcBorders>
            <w:shd w:val="clear" w:color="auto" w:fill="C6EFCE"/>
            <w:vAlign w:val="center"/>
          </w:tcPr>
          <w:p w14:paraId="2DBCD78B" w14:textId="77777777" w:rsidR="006A41D9" w:rsidRPr="001961AA" w:rsidDel="003B1270" w:rsidRDefault="006A41D9" w:rsidP="00BD6DD1">
            <w:pPr>
              <w:spacing w:after="0" w:line="240" w:lineRule="auto"/>
              <w:rPr>
                <w:rFonts w:ascii="Times New Roman" w:hAnsi="Times New Roman" w:cs="Times New Roman"/>
                <w:noProof/>
                <w:color w:val="006100"/>
                <w:lang w:val="en-GB"/>
              </w:rPr>
            </w:pPr>
            <w:r w:rsidRPr="001961AA">
              <w:rPr>
                <w:rFonts w:ascii="Times New Roman" w:hAnsi="Times New Roman"/>
                <w:noProof/>
                <w:color w:val="006100"/>
                <w:lang w:val="en-GB"/>
              </w:rPr>
              <w:t>Procurement of equipment</w:t>
            </w:r>
          </w:p>
        </w:tc>
        <w:tc>
          <w:tcPr>
            <w:tcW w:w="1276" w:type="dxa"/>
            <w:tcBorders>
              <w:top w:val="single" w:sz="4" w:space="0" w:color="auto"/>
              <w:left w:val="single" w:sz="4" w:space="0" w:color="auto"/>
              <w:bottom w:val="single" w:sz="4" w:space="0" w:color="auto"/>
              <w:right w:val="single" w:sz="4" w:space="0" w:color="auto"/>
            </w:tcBorders>
            <w:shd w:val="clear" w:color="auto" w:fill="C6EFCE"/>
            <w:vAlign w:val="center"/>
          </w:tcPr>
          <w:p w14:paraId="40A5B687" w14:textId="77777777" w:rsidR="006A41D9" w:rsidRPr="001961AA" w:rsidDel="003B1270" w:rsidRDefault="006A41D9" w:rsidP="00BD6DD1">
            <w:pPr>
              <w:spacing w:after="0" w:line="240" w:lineRule="auto"/>
              <w:rPr>
                <w:rFonts w:ascii="Times New Roman" w:hAnsi="Times New Roman" w:cs="Times New Roman"/>
                <w:noProof/>
                <w:color w:val="006100"/>
                <w:lang w:val="en-GB"/>
              </w:rPr>
            </w:pPr>
            <w:r w:rsidRPr="001961AA">
              <w:rPr>
                <w:rFonts w:ascii="Times New Roman" w:hAnsi="Times New Roman"/>
                <w:noProof/>
                <w:color w:val="006100"/>
                <w:lang w:val="en-GB"/>
              </w:rPr>
              <w:t xml:space="preserve">Final Project Report </w:t>
            </w:r>
          </w:p>
        </w:tc>
        <w:tc>
          <w:tcPr>
            <w:tcW w:w="992" w:type="dxa"/>
            <w:tcBorders>
              <w:top w:val="single" w:sz="4" w:space="0" w:color="auto"/>
              <w:left w:val="single" w:sz="4" w:space="0" w:color="auto"/>
              <w:bottom w:val="single" w:sz="4" w:space="0" w:color="auto"/>
              <w:right w:val="single" w:sz="4" w:space="0" w:color="auto"/>
            </w:tcBorders>
            <w:shd w:val="clear" w:color="auto" w:fill="C6EFCE"/>
            <w:vAlign w:val="center"/>
          </w:tcPr>
          <w:p w14:paraId="30583A60" w14:textId="77777777" w:rsidR="006A41D9" w:rsidRPr="001961AA" w:rsidRDefault="006A41D9" w:rsidP="00BD6DD1">
            <w:pPr>
              <w:spacing w:after="0" w:line="240" w:lineRule="auto"/>
              <w:rPr>
                <w:rFonts w:ascii="Times New Roman" w:eastAsia="Times New Roman" w:hAnsi="Times New Roman" w:cs="Times New Roman"/>
                <w:noProof/>
                <w:color w:val="006100"/>
                <w:lang w:val="en-GB" w:eastAsia="en-GB"/>
              </w:rPr>
            </w:pPr>
          </w:p>
        </w:tc>
        <w:tc>
          <w:tcPr>
            <w:tcW w:w="709" w:type="dxa"/>
            <w:tcBorders>
              <w:top w:val="single" w:sz="4" w:space="0" w:color="auto"/>
              <w:left w:val="single" w:sz="4" w:space="0" w:color="auto"/>
              <w:bottom w:val="single" w:sz="4" w:space="0" w:color="auto"/>
              <w:right w:val="single" w:sz="4" w:space="0" w:color="auto"/>
            </w:tcBorders>
            <w:shd w:val="clear" w:color="auto" w:fill="C6EFCE"/>
            <w:vAlign w:val="center"/>
          </w:tcPr>
          <w:p w14:paraId="43C44CD7" w14:textId="77777777" w:rsidR="006A41D9" w:rsidRPr="001961AA" w:rsidRDefault="006A41D9" w:rsidP="00BD6DD1">
            <w:pPr>
              <w:spacing w:after="0" w:line="240" w:lineRule="auto"/>
              <w:rPr>
                <w:rFonts w:ascii="Times New Roman" w:eastAsia="Times New Roman" w:hAnsi="Times New Roman" w:cs="Times New Roman"/>
                <w:noProof/>
                <w:color w:val="006100"/>
                <w:lang w:val="en-GB" w:eastAsia="en-GB"/>
              </w:rPr>
            </w:pPr>
          </w:p>
        </w:tc>
        <w:tc>
          <w:tcPr>
            <w:tcW w:w="708" w:type="dxa"/>
            <w:tcBorders>
              <w:top w:val="single" w:sz="4" w:space="0" w:color="auto"/>
              <w:left w:val="single" w:sz="4" w:space="0" w:color="auto"/>
              <w:bottom w:val="single" w:sz="4" w:space="0" w:color="auto"/>
              <w:right w:val="single" w:sz="4" w:space="0" w:color="auto"/>
            </w:tcBorders>
            <w:shd w:val="clear" w:color="auto" w:fill="C6EFCE"/>
            <w:vAlign w:val="center"/>
          </w:tcPr>
          <w:p w14:paraId="5CC4B762" w14:textId="77777777" w:rsidR="006A41D9" w:rsidRPr="001961AA" w:rsidRDefault="006A41D9" w:rsidP="00BD6DD1">
            <w:pPr>
              <w:spacing w:after="0" w:line="240" w:lineRule="auto"/>
              <w:rPr>
                <w:rFonts w:ascii="Times New Roman" w:eastAsia="Times New Roman" w:hAnsi="Times New Roman" w:cs="Times New Roman"/>
                <w:noProof/>
                <w:color w:val="006100"/>
                <w:lang w:val="en-GB" w:eastAsia="en-GB"/>
              </w:rPr>
            </w:pPr>
          </w:p>
        </w:tc>
        <w:tc>
          <w:tcPr>
            <w:tcW w:w="709" w:type="dxa"/>
            <w:tcBorders>
              <w:top w:val="single" w:sz="4" w:space="0" w:color="auto"/>
              <w:left w:val="single" w:sz="4" w:space="0" w:color="auto"/>
              <w:bottom w:val="single" w:sz="4" w:space="0" w:color="auto"/>
              <w:right w:val="single" w:sz="4" w:space="0" w:color="auto"/>
            </w:tcBorders>
            <w:shd w:val="clear" w:color="auto" w:fill="C6EFCE"/>
            <w:vAlign w:val="center"/>
          </w:tcPr>
          <w:p w14:paraId="01BC1E4C" w14:textId="77777777" w:rsidR="006A41D9" w:rsidRPr="001961AA" w:rsidDel="003B1270" w:rsidRDefault="006A41D9" w:rsidP="00BD6DD1">
            <w:pPr>
              <w:spacing w:after="0" w:line="240" w:lineRule="auto"/>
              <w:jc w:val="center"/>
              <w:rPr>
                <w:rFonts w:ascii="Times New Roman" w:hAnsi="Times New Roman" w:cs="Times New Roman"/>
                <w:noProof/>
                <w:color w:val="006100"/>
                <w:lang w:val="en-GB"/>
              </w:rPr>
            </w:pPr>
            <w:r w:rsidRPr="001961AA">
              <w:rPr>
                <w:rFonts w:ascii="Times New Roman" w:hAnsi="Times New Roman"/>
                <w:noProof/>
                <w:color w:val="006100"/>
                <w:lang w:val="en-GB"/>
              </w:rPr>
              <w:t>Q4</w:t>
            </w:r>
          </w:p>
        </w:tc>
        <w:tc>
          <w:tcPr>
            <w:tcW w:w="709" w:type="dxa"/>
            <w:tcBorders>
              <w:top w:val="single" w:sz="4" w:space="0" w:color="auto"/>
              <w:left w:val="single" w:sz="4" w:space="0" w:color="auto"/>
              <w:bottom w:val="single" w:sz="4" w:space="0" w:color="auto"/>
              <w:right w:val="single" w:sz="4" w:space="0" w:color="auto"/>
            </w:tcBorders>
            <w:shd w:val="clear" w:color="auto" w:fill="C6EFCE"/>
            <w:vAlign w:val="center"/>
          </w:tcPr>
          <w:p w14:paraId="28E2E81B" w14:textId="77777777" w:rsidR="006A41D9" w:rsidRPr="001961AA" w:rsidDel="003B1270" w:rsidRDefault="006A41D9" w:rsidP="00BD6DD1">
            <w:pPr>
              <w:spacing w:after="0" w:line="240" w:lineRule="auto"/>
              <w:jc w:val="center"/>
              <w:rPr>
                <w:rFonts w:ascii="Times New Roman" w:hAnsi="Times New Roman" w:cs="Times New Roman"/>
                <w:noProof/>
                <w:color w:val="006100"/>
                <w:lang w:val="en-GB"/>
              </w:rPr>
            </w:pPr>
            <w:r w:rsidRPr="001961AA">
              <w:rPr>
                <w:rFonts w:ascii="Times New Roman" w:hAnsi="Times New Roman"/>
                <w:noProof/>
                <w:color w:val="006100"/>
                <w:lang w:val="en-GB"/>
              </w:rPr>
              <w:t>2025</w:t>
            </w:r>
          </w:p>
        </w:tc>
        <w:tc>
          <w:tcPr>
            <w:tcW w:w="5103" w:type="dxa"/>
            <w:tcBorders>
              <w:top w:val="single" w:sz="4" w:space="0" w:color="auto"/>
              <w:left w:val="single" w:sz="4" w:space="0" w:color="auto"/>
              <w:bottom w:val="single" w:sz="4" w:space="0" w:color="auto"/>
              <w:right w:val="single" w:sz="4" w:space="0" w:color="auto"/>
            </w:tcBorders>
            <w:shd w:val="clear" w:color="auto" w:fill="C6EFCE"/>
            <w:vAlign w:val="center"/>
          </w:tcPr>
          <w:p w14:paraId="23EF2AE1" w14:textId="77777777" w:rsidR="006A41D9" w:rsidRPr="001961AA" w:rsidDel="003B1270" w:rsidRDefault="006A41D9" w:rsidP="00BD6DD1">
            <w:pPr>
              <w:spacing w:after="0" w:line="240" w:lineRule="auto"/>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EUR 21 182 204 executed upon completion of the procurement of equipment and the remaining EUR 2 353 578 has been ordered.</w:t>
            </w:r>
          </w:p>
        </w:tc>
      </w:tr>
      <w:tr w:rsidR="006A41D9" w:rsidRPr="001961AA" w14:paraId="79B20CA1" w14:textId="77777777" w:rsidTr="00D91A43">
        <w:trPr>
          <w:trHeight w:val="300"/>
        </w:trPr>
        <w:tc>
          <w:tcPr>
            <w:tcW w:w="670" w:type="dxa"/>
            <w:tcBorders>
              <w:top w:val="single" w:sz="4" w:space="0" w:color="auto"/>
              <w:left w:val="single" w:sz="4" w:space="0" w:color="auto"/>
              <w:bottom w:val="single" w:sz="4" w:space="0" w:color="auto"/>
              <w:right w:val="single" w:sz="4" w:space="0" w:color="auto"/>
            </w:tcBorders>
            <w:shd w:val="clear" w:color="auto" w:fill="C6EFCE"/>
            <w:vAlign w:val="center"/>
          </w:tcPr>
          <w:p w14:paraId="01721C8E" w14:textId="77777777" w:rsidR="006A41D9" w:rsidRPr="001961AA" w:rsidRDefault="006A41D9" w:rsidP="00BD6DD1">
            <w:pPr>
              <w:spacing w:line="240" w:lineRule="auto"/>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221</w:t>
            </w:r>
          </w:p>
        </w:tc>
        <w:tc>
          <w:tcPr>
            <w:tcW w:w="1452" w:type="dxa"/>
            <w:tcBorders>
              <w:top w:val="single" w:sz="4" w:space="0" w:color="auto"/>
              <w:left w:val="single" w:sz="4" w:space="0" w:color="auto"/>
              <w:bottom w:val="single" w:sz="4" w:space="0" w:color="auto"/>
              <w:right w:val="single" w:sz="4" w:space="0" w:color="auto"/>
            </w:tcBorders>
            <w:shd w:val="clear" w:color="auto" w:fill="C6EFCE"/>
            <w:vAlign w:val="center"/>
          </w:tcPr>
          <w:p w14:paraId="11BE34C7" w14:textId="77777777" w:rsidR="006A41D9" w:rsidRPr="001961AA" w:rsidRDefault="006A41D9" w:rsidP="00BD6DD1">
            <w:pPr>
              <w:spacing w:line="240" w:lineRule="auto"/>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Energy import infrastructure (I-7.12)</w:t>
            </w:r>
          </w:p>
        </w:tc>
        <w:tc>
          <w:tcPr>
            <w:tcW w:w="567" w:type="dxa"/>
            <w:tcBorders>
              <w:top w:val="single" w:sz="4" w:space="0" w:color="auto"/>
              <w:left w:val="single" w:sz="4" w:space="0" w:color="auto"/>
              <w:bottom w:val="single" w:sz="4" w:space="0" w:color="auto"/>
              <w:right w:val="single" w:sz="4" w:space="0" w:color="auto"/>
            </w:tcBorders>
            <w:shd w:val="clear" w:color="auto" w:fill="C6EFCE"/>
            <w:vAlign w:val="center"/>
          </w:tcPr>
          <w:p w14:paraId="48FB6AD2" w14:textId="77777777" w:rsidR="006A41D9" w:rsidRPr="001961AA" w:rsidRDefault="006A41D9" w:rsidP="00BD6DD1">
            <w:pPr>
              <w:spacing w:line="240" w:lineRule="auto"/>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M</w:t>
            </w:r>
          </w:p>
        </w:tc>
        <w:tc>
          <w:tcPr>
            <w:tcW w:w="1559" w:type="dxa"/>
            <w:tcBorders>
              <w:top w:val="single" w:sz="4" w:space="0" w:color="auto"/>
              <w:left w:val="single" w:sz="4" w:space="0" w:color="auto"/>
              <w:bottom w:val="single" w:sz="4" w:space="0" w:color="auto"/>
              <w:right w:val="single" w:sz="4" w:space="0" w:color="auto"/>
            </w:tcBorders>
            <w:shd w:val="clear" w:color="auto" w:fill="C6EFCE"/>
            <w:vAlign w:val="center"/>
          </w:tcPr>
          <w:p w14:paraId="703DC5ED" w14:textId="77777777" w:rsidR="006A41D9" w:rsidRPr="001961AA" w:rsidRDefault="006A41D9" w:rsidP="00BD6DD1">
            <w:pPr>
              <w:spacing w:after="0" w:line="240" w:lineRule="auto"/>
              <w:rPr>
                <w:rFonts w:ascii="Times New Roman" w:eastAsia="Times New Roman" w:hAnsi="Times New Roman" w:cs="Times New Roman"/>
                <w:noProof/>
                <w:color w:val="000000" w:themeColor="text1"/>
                <w:lang w:val="en-GB"/>
              </w:rPr>
            </w:pPr>
            <w:r w:rsidRPr="001961AA">
              <w:rPr>
                <w:rFonts w:ascii="Times New Roman" w:hAnsi="Times New Roman"/>
                <w:noProof/>
                <w:color w:val="006100"/>
                <w:lang w:val="en-GB"/>
              </w:rPr>
              <w:t>Award of contracts under the calls for projects</w:t>
            </w:r>
          </w:p>
        </w:tc>
        <w:tc>
          <w:tcPr>
            <w:tcW w:w="1276" w:type="dxa"/>
            <w:tcBorders>
              <w:top w:val="single" w:sz="4" w:space="0" w:color="auto"/>
              <w:left w:val="single" w:sz="4" w:space="0" w:color="auto"/>
              <w:bottom w:val="single" w:sz="4" w:space="0" w:color="auto"/>
              <w:right w:val="single" w:sz="4" w:space="0" w:color="auto"/>
            </w:tcBorders>
            <w:shd w:val="clear" w:color="auto" w:fill="C6EFCE"/>
            <w:vAlign w:val="center"/>
          </w:tcPr>
          <w:p w14:paraId="0CDF1022" w14:textId="4F4852CB" w:rsidR="006A41D9" w:rsidRPr="001961AA" w:rsidRDefault="006A41D9" w:rsidP="00BD6DD1">
            <w:pPr>
              <w:spacing w:after="0" w:line="240" w:lineRule="auto"/>
              <w:rPr>
                <w:rFonts w:ascii="Times New Roman" w:eastAsia="Times New Roman" w:hAnsi="Times New Roman" w:cs="Times New Roman"/>
                <w:noProof/>
                <w:color w:val="000000" w:themeColor="text1"/>
                <w:lang w:val="en-GB"/>
              </w:rPr>
            </w:pPr>
            <w:r w:rsidRPr="001961AA">
              <w:rPr>
                <w:rFonts w:ascii="Times New Roman" w:hAnsi="Times New Roman"/>
                <w:noProof/>
                <w:color w:val="006100"/>
                <w:lang w:val="en-GB"/>
              </w:rPr>
              <w:t xml:space="preserve">Written notification to successful candidates </w:t>
            </w:r>
          </w:p>
        </w:tc>
        <w:tc>
          <w:tcPr>
            <w:tcW w:w="992" w:type="dxa"/>
            <w:tcBorders>
              <w:top w:val="single" w:sz="4" w:space="0" w:color="auto"/>
              <w:left w:val="single" w:sz="4" w:space="0" w:color="auto"/>
              <w:bottom w:val="single" w:sz="4" w:space="0" w:color="auto"/>
              <w:right w:val="single" w:sz="4" w:space="0" w:color="auto"/>
            </w:tcBorders>
            <w:shd w:val="clear" w:color="auto" w:fill="C6EFCE"/>
            <w:vAlign w:val="center"/>
          </w:tcPr>
          <w:p w14:paraId="647AA5B7" w14:textId="77777777" w:rsidR="006A41D9" w:rsidRPr="001961AA" w:rsidRDefault="006A41D9" w:rsidP="00BD6DD1">
            <w:pPr>
              <w:spacing w:line="240" w:lineRule="auto"/>
              <w:rPr>
                <w:rFonts w:ascii="Times New Roman" w:eastAsia="Times New Roman" w:hAnsi="Times New Roman" w:cs="Times New Roman"/>
                <w:noProof/>
                <w:color w:val="006100"/>
                <w:lang w:val="en-GB" w:eastAsia="en-GB"/>
              </w:rPr>
            </w:pPr>
          </w:p>
        </w:tc>
        <w:tc>
          <w:tcPr>
            <w:tcW w:w="709" w:type="dxa"/>
            <w:tcBorders>
              <w:top w:val="single" w:sz="4" w:space="0" w:color="auto"/>
              <w:left w:val="single" w:sz="4" w:space="0" w:color="auto"/>
              <w:bottom w:val="single" w:sz="4" w:space="0" w:color="auto"/>
              <w:right w:val="single" w:sz="4" w:space="0" w:color="auto"/>
            </w:tcBorders>
            <w:shd w:val="clear" w:color="auto" w:fill="C6EFCE"/>
            <w:vAlign w:val="center"/>
          </w:tcPr>
          <w:p w14:paraId="5034549E" w14:textId="77777777" w:rsidR="006A41D9" w:rsidRPr="001961AA" w:rsidRDefault="006A41D9" w:rsidP="00BD6DD1">
            <w:pPr>
              <w:spacing w:line="240" w:lineRule="auto"/>
              <w:rPr>
                <w:rFonts w:ascii="Times New Roman" w:eastAsia="Times New Roman" w:hAnsi="Times New Roman" w:cs="Times New Roman"/>
                <w:noProof/>
                <w:color w:val="006100"/>
                <w:lang w:val="en-GB" w:eastAsia="en-GB"/>
              </w:rPr>
            </w:pPr>
          </w:p>
        </w:tc>
        <w:tc>
          <w:tcPr>
            <w:tcW w:w="708" w:type="dxa"/>
            <w:tcBorders>
              <w:top w:val="single" w:sz="4" w:space="0" w:color="auto"/>
              <w:left w:val="single" w:sz="4" w:space="0" w:color="auto"/>
              <w:bottom w:val="single" w:sz="4" w:space="0" w:color="auto"/>
              <w:right w:val="single" w:sz="4" w:space="0" w:color="auto"/>
            </w:tcBorders>
            <w:shd w:val="clear" w:color="auto" w:fill="C6EFCE"/>
            <w:vAlign w:val="center"/>
          </w:tcPr>
          <w:p w14:paraId="029F03E6" w14:textId="77777777" w:rsidR="006A41D9" w:rsidRPr="001961AA" w:rsidRDefault="006A41D9" w:rsidP="00BD6DD1">
            <w:pPr>
              <w:spacing w:line="240" w:lineRule="auto"/>
              <w:rPr>
                <w:rFonts w:ascii="Times New Roman" w:eastAsia="Times New Roman" w:hAnsi="Times New Roman" w:cs="Times New Roman"/>
                <w:noProof/>
                <w:color w:val="006100"/>
                <w:lang w:val="en-GB" w:eastAsia="en-GB"/>
              </w:rPr>
            </w:pPr>
          </w:p>
        </w:tc>
        <w:tc>
          <w:tcPr>
            <w:tcW w:w="709" w:type="dxa"/>
            <w:tcBorders>
              <w:top w:val="single" w:sz="4" w:space="0" w:color="auto"/>
              <w:left w:val="single" w:sz="4" w:space="0" w:color="auto"/>
              <w:bottom w:val="single" w:sz="4" w:space="0" w:color="auto"/>
              <w:right w:val="single" w:sz="4" w:space="0" w:color="auto"/>
            </w:tcBorders>
            <w:shd w:val="clear" w:color="auto" w:fill="C6EFCE"/>
            <w:vAlign w:val="center"/>
          </w:tcPr>
          <w:p w14:paraId="29654182" w14:textId="77777777" w:rsidR="006A41D9" w:rsidRPr="001961AA" w:rsidRDefault="006A41D9" w:rsidP="00BD6DD1">
            <w:pPr>
              <w:spacing w:line="240" w:lineRule="auto"/>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Q2</w:t>
            </w:r>
          </w:p>
        </w:tc>
        <w:tc>
          <w:tcPr>
            <w:tcW w:w="709" w:type="dxa"/>
            <w:tcBorders>
              <w:top w:val="single" w:sz="4" w:space="0" w:color="auto"/>
              <w:left w:val="single" w:sz="4" w:space="0" w:color="auto"/>
              <w:bottom w:val="single" w:sz="4" w:space="0" w:color="auto"/>
              <w:right w:val="single" w:sz="4" w:space="0" w:color="auto"/>
            </w:tcBorders>
            <w:shd w:val="clear" w:color="auto" w:fill="C6EFCE"/>
            <w:vAlign w:val="center"/>
          </w:tcPr>
          <w:p w14:paraId="2C8EDF7D" w14:textId="77777777" w:rsidR="006A41D9" w:rsidRPr="001961AA" w:rsidRDefault="006A41D9" w:rsidP="00BD6DD1">
            <w:pPr>
              <w:spacing w:line="240" w:lineRule="auto"/>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2024</w:t>
            </w:r>
          </w:p>
        </w:tc>
        <w:tc>
          <w:tcPr>
            <w:tcW w:w="5103" w:type="dxa"/>
            <w:tcBorders>
              <w:top w:val="single" w:sz="4" w:space="0" w:color="auto"/>
              <w:left w:val="single" w:sz="4" w:space="0" w:color="auto"/>
              <w:bottom w:val="single" w:sz="4" w:space="0" w:color="auto"/>
              <w:right w:val="single" w:sz="4" w:space="0" w:color="auto"/>
            </w:tcBorders>
            <w:shd w:val="clear" w:color="auto" w:fill="C6EFCE"/>
            <w:vAlign w:val="center"/>
          </w:tcPr>
          <w:p w14:paraId="00207EED" w14:textId="77777777" w:rsidR="006A41D9" w:rsidRPr="001961AA" w:rsidRDefault="006A41D9" w:rsidP="00BD6DD1">
            <w:pPr>
              <w:spacing w:after="0" w:line="240" w:lineRule="auto"/>
              <w:rPr>
                <w:rFonts w:ascii="Times New Roman" w:hAnsi="Times New Roman" w:cs="Times New Roman"/>
                <w:noProof/>
                <w:color w:val="006100"/>
                <w:lang w:val="en-GB"/>
              </w:rPr>
            </w:pPr>
            <w:r w:rsidRPr="001961AA">
              <w:rPr>
                <w:rFonts w:ascii="Times New Roman" w:hAnsi="Times New Roman"/>
                <w:noProof/>
                <w:color w:val="006100"/>
                <w:lang w:val="en-GB"/>
              </w:rPr>
              <w:t>Award of contracts to the demonstration projects or R&amp;D projects selected under the calls for projects on the optimisation of import infrastructures for hydrogen or electricity.</w:t>
            </w:r>
          </w:p>
        </w:tc>
      </w:tr>
      <w:tr w:rsidR="006A41D9" w:rsidRPr="001961AA" w14:paraId="797A19EF" w14:textId="77777777" w:rsidTr="00D91A43">
        <w:trPr>
          <w:trHeight w:val="300"/>
        </w:trPr>
        <w:tc>
          <w:tcPr>
            <w:tcW w:w="670" w:type="dxa"/>
            <w:tcBorders>
              <w:top w:val="single" w:sz="4" w:space="0" w:color="auto"/>
              <w:left w:val="single" w:sz="4" w:space="0" w:color="auto"/>
              <w:bottom w:val="single" w:sz="4" w:space="0" w:color="auto"/>
              <w:right w:val="single" w:sz="4" w:space="0" w:color="auto"/>
            </w:tcBorders>
            <w:shd w:val="clear" w:color="auto" w:fill="C6EFCE"/>
            <w:vAlign w:val="center"/>
          </w:tcPr>
          <w:p w14:paraId="3E9B8815" w14:textId="77777777" w:rsidR="006A41D9" w:rsidRPr="001961AA" w:rsidRDefault="006A41D9" w:rsidP="00BD6DD1">
            <w:pPr>
              <w:spacing w:line="240" w:lineRule="auto"/>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222</w:t>
            </w:r>
          </w:p>
        </w:tc>
        <w:tc>
          <w:tcPr>
            <w:tcW w:w="1452" w:type="dxa"/>
            <w:tcBorders>
              <w:top w:val="single" w:sz="4" w:space="0" w:color="auto"/>
              <w:left w:val="single" w:sz="4" w:space="0" w:color="auto"/>
              <w:bottom w:val="single" w:sz="4" w:space="0" w:color="auto"/>
              <w:right w:val="single" w:sz="4" w:space="0" w:color="auto"/>
            </w:tcBorders>
            <w:shd w:val="clear" w:color="auto" w:fill="C6EFCE"/>
            <w:vAlign w:val="center"/>
          </w:tcPr>
          <w:p w14:paraId="6FC05EC6" w14:textId="77777777" w:rsidR="006A41D9" w:rsidRPr="001961AA" w:rsidRDefault="006A41D9" w:rsidP="00BD6DD1">
            <w:pPr>
              <w:spacing w:line="240" w:lineRule="auto"/>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Energy import infrastructure (I-7.12)</w:t>
            </w:r>
          </w:p>
        </w:tc>
        <w:tc>
          <w:tcPr>
            <w:tcW w:w="567" w:type="dxa"/>
            <w:tcBorders>
              <w:top w:val="single" w:sz="4" w:space="0" w:color="auto"/>
              <w:left w:val="single" w:sz="4" w:space="0" w:color="auto"/>
              <w:bottom w:val="single" w:sz="4" w:space="0" w:color="auto"/>
              <w:right w:val="single" w:sz="4" w:space="0" w:color="auto"/>
            </w:tcBorders>
            <w:shd w:val="clear" w:color="auto" w:fill="C6EFCE"/>
            <w:vAlign w:val="center"/>
          </w:tcPr>
          <w:p w14:paraId="4200C745" w14:textId="77777777" w:rsidR="006A41D9" w:rsidRPr="001961AA" w:rsidRDefault="006A41D9" w:rsidP="00BD6DD1">
            <w:pPr>
              <w:spacing w:line="240" w:lineRule="auto"/>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M</w:t>
            </w:r>
          </w:p>
        </w:tc>
        <w:tc>
          <w:tcPr>
            <w:tcW w:w="1559" w:type="dxa"/>
            <w:tcBorders>
              <w:top w:val="single" w:sz="4" w:space="0" w:color="auto"/>
              <w:left w:val="single" w:sz="4" w:space="0" w:color="auto"/>
              <w:bottom w:val="single" w:sz="4" w:space="0" w:color="auto"/>
              <w:right w:val="single" w:sz="4" w:space="0" w:color="auto"/>
            </w:tcBorders>
            <w:shd w:val="clear" w:color="auto" w:fill="C6EFCE"/>
            <w:vAlign w:val="center"/>
          </w:tcPr>
          <w:p w14:paraId="32E966ED" w14:textId="77777777" w:rsidR="006A41D9" w:rsidRPr="001961AA" w:rsidRDefault="006A41D9" w:rsidP="00BD6DD1">
            <w:pPr>
              <w:spacing w:after="0" w:line="240" w:lineRule="auto"/>
              <w:rPr>
                <w:rFonts w:ascii="Times New Roman" w:eastAsia="Times New Roman" w:hAnsi="Times New Roman" w:cs="Times New Roman"/>
                <w:noProof/>
                <w:color w:val="000000" w:themeColor="text1"/>
                <w:lang w:val="en-GB"/>
              </w:rPr>
            </w:pPr>
            <w:r w:rsidRPr="001961AA">
              <w:rPr>
                <w:rFonts w:ascii="Times New Roman" w:hAnsi="Times New Roman"/>
                <w:noProof/>
                <w:color w:val="006100"/>
                <w:lang w:val="en-GB"/>
              </w:rPr>
              <w:t>Completion of projects awarded under the calls for projects</w:t>
            </w:r>
          </w:p>
        </w:tc>
        <w:tc>
          <w:tcPr>
            <w:tcW w:w="1276" w:type="dxa"/>
            <w:tcBorders>
              <w:top w:val="single" w:sz="4" w:space="0" w:color="auto"/>
              <w:left w:val="single" w:sz="4" w:space="0" w:color="auto"/>
              <w:bottom w:val="single" w:sz="4" w:space="0" w:color="auto"/>
              <w:right w:val="single" w:sz="4" w:space="0" w:color="auto"/>
            </w:tcBorders>
            <w:shd w:val="clear" w:color="auto" w:fill="C6EFCE"/>
            <w:vAlign w:val="center"/>
          </w:tcPr>
          <w:p w14:paraId="3F1E692A" w14:textId="77777777" w:rsidR="006A41D9" w:rsidRPr="001961AA" w:rsidRDefault="006A41D9" w:rsidP="00BD6DD1">
            <w:pPr>
              <w:spacing w:after="0" w:line="240" w:lineRule="auto"/>
              <w:rPr>
                <w:rFonts w:ascii="Times New Roman" w:eastAsia="Times New Roman" w:hAnsi="Times New Roman" w:cs="Times New Roman"/>
                <w:noProof/>
                <w:color w:val="000000" w:themeColor="text1"/>
                <w:lang w:val="en-GB"/>
              </w:rPr>
            </w:pPr>
            <w:r w:rsidRPr="001961AA">
              <w:rPr>
                <w:rFonts w:ascii="Times New Roman" w:hAnsi="Times New Roman"/>
                <w:noProof/>
                <w:color w:val="006100"/>
                <w:lang w:val="en-GB"/>
              </w:rPr>
              <w:t>Final project report approved</w:t>
            </w:r>
          </w:p>
        </w:tc>
        <w:tc>
          <w:tcPr>
            <w:tcW w:w="992" w:type="dxa"/>
            <w:tcBorders>
              <w:top w:val="single" w:sz="4" w:space="0" w:color="auto"/>
              <w:left w:val="single" w:sz="4" w:space="0" w:color="auto"/>
              <w:bottom w:val="single" w:sz="4" w:space="0" w:color="auto"/>
              <w:right w:val="single" w:sz="4" w:space="0" w:color="auto"/>
            </w:tcBorders>
            <w:shd w:val="clear" w:color="auto" w:fill="C6EFCE"/>
            <w:vAlign w:val="center"/>
          </w:tcPr>
          <w:p w14:paraId="0CB54CA6" w14:textId="77777777" w:rsidR="006A41D9" w:rsidRPr="001961AA" w:rsidRDefault="006A41D9" w:rsidP="00BD6DD1">
            <w:pPr>
              <w:spacing w:line="240" w:lineRule="auto"/>
              <w:rPr>
                <w:rFonts w:ascii="Times New Roman" w:eastAsia="Times New Roman" w:hAnsi="Times New Roman" w:cs="Times New Roman"/>
                <w:noProof/>
                <w:color w:val="006100"/>
                <w:lang w:val="en-GB" w:eastAsia="en-GB"/>
              </w:rPr>
            </w:pPr>
          </w:p>
        </w:tc>
        <w:tc>
          <w:tcPr>
            <w:tcW w:w="709" w:type="dxa"/>
            <w:tcBorders>
              <w:top w:val="single" w:sz="4" w:space="0" w:color="auto"/>
              <w:left w:val="single" w:sz="4" w:space="0" w:color="auto"/>
              <w:bottom w:val="single" w:sz="4" w:space="0" w:color="auto"/>
              <w:right w:val="single" w:sz="4" w:space="0" w:color="auto"/>
            </w:tcBorders>
            <w:shd w:val="clear" w:color="auto" w:fill="C6EFCE"/>
            <w:vAlign w:val="center"/>
          </w:tcPr>
          <w:p w14:paraId="224A2E5C" w14:textId="77777777" w:rsidR="006A41D9" w:rsidRPr="001961AA" w:rsidRDefault="006A41D9" w:rsidP="00BD6DD1">
            <w:pPr>
              <w:spacing w:line="240" w:lineRule="auto"/>
              <w:rPr>
                <w:rFonts w:ascii="Times New Roman" w:eastAsia="Times New Roman" w:hAnsi="Times New Roman" w:cs="Times New Roman"/>
                <w:noProof/>
                <w:color w:val="006100"/>
                <w:lang w:val="en-GB" w:eastAsia="en-GB"/>
              </w:rPr>
            </w:pPr>
          </w:p>
        </w:tc>
        <w:tc>
          <w:tcPr>
            <w:tcW w:w="708" w:type="dxa"/>
            <w:tcBorders>
              <w:top w:val="single" w:sz="4" w:space="0" w:color="auto"/>
              <w:left w:val="single" w:sz="4" w:space="0" w:color="auto"/>
              <w:bottom w:val="single" w:sz="4" w:space="0" w:color="auto"/>
              <w:right w:val="single" w:sz="4" w:space="0" w:color="auto"/>
            </w:tcBorders>
            <w:shd w:val="clear" w:color="auto" w:fill="C6EFCE"/>
            <w:vAlign w:val="center"/>
          </w:tcPr>
          <w:p w14:paraId="12E13FCA" w14:textId="77777777" w:rsidR="006A41D9" w:rsidRPr="001961AA" w:rsidRDefault="006A41D9" w:rsidP="00BD6DD1">
            <w:pPr>
              <w:spacing w:line="240" w:lineRule="auto"/>
              <w:rPr>
                <w:rFonts w:ascii="Times New Roman" w:eastAsia="Times New Roman" w:hAnsi="Times New Roman" w:cs="Times New Roman"/>
                <w:noProof/>
                <w:color w:val="006100"/>
                <w:lang w:val="en-GB" w:eastAsia="en-GB"/>
              </w:rPr>
            </w:pPr>
          </w:p>
        </w:tc>
        <w:tc>
          <w:tcPr>
            <w:tcW w:w="709" w:type="dxa"/>
            <w:tcBorders>
              <w:top w:val="single" w:sz="4" w:space="0" w:color="auto"/>
              <w:left w:val="single" w:sz="4" w:space="0" w:color="auto"/>
              <w:bottom w:val="single" w:sz="4" w:space="0" w:color="auto"/>
              <w:right w:val="single" w:sz="4" w:space="0" w:color="auto"/>
            </w:tcBorders>
            <w:shd w:val="clear" w:color="auto" w:fill="C6EFCE"/>
            <w:vAlign w:val="center"/>
          </w:tcPr>
          <w:p w14:paraId="6658DCFB" w14:textId="77777777" w:rsidR="006A41D9" w:rsidRPr="001961AA" w:rsidRDefault="006A41D9" w:rsidP="00BD6DD1">
            <w:pPr>
              <w:spacing w:line="240" w:lineRule="auto"/>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Q2</w:t>
            </w:r>
          </w:p>
        </w:tc>
        <w:tc>
          <w:tcPr>
            <w:tcW w:w="709" w:type="dxa"/>
            <w:tcBorders>
              <w:top w:val="single" w:sz="4" w:space="0" w:color="auto"/>
              <w:left w:val="single" w:sz="4" w:space="0" w:color="auto"/>
              <w:bottom w:val="single" w:sz="4" w:space="0" w:color="auto"/>
              <w:right w:val="single" w:sz="4" w:space="0" w:color="auto"/>
            </w:tcBorders>
            <w:shd w:val="clear" w:color="auto" w:fill="C6EFCE"/>
            <w:vAlign w:val="center"/>
          </w:tcPr>
          <w:p w14:paraId="7A2276A7" w14:textId="77777777" w:rsidR="006A41D9" w:rsidRPr="001961AA" w:rsidRDefault="006A41D9" w:rsidP="00BD6DD1">
            <w:pPr>
              <w:spacing w:line="240" w:lineRule="auto"/>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2026</w:t>
            </w:r>
          </w:p>
        </w:tc>
        <w:tc>
          <w:tcPr>
            <w:tcW w:w="5103" w:type="dxa"/>
            <w:tcBorders>
              <w:top w:val="single" w:sz="4" w:space="0" w:color="auto"/>
              <w:left w:val="single" w:sz="4" w:space="0" w:color="auto"/>
              <w:bottom w:val="single" w:sz="4" w:space="0" w:color="auto"/>
              <w:right w:val="single" w:sz="4" w:space="0" w:color="auto"/>
            </w:tcBorders>
            <w:shd w:val="clear" w:color="auto" w:fill="C6EFCE"/>
            <w:vAlign w:val="center"/>
          </w:tcPr>
          <w:p w14:paraId="172ECCF9" w14:textId="77777777" w:rsidR="006A41D9" w:rsidRPr="001961AA" w:rsidRDefault="006A41D9" w:rsidP="00BD6DD1">
            <w:pPr>
              <w:spacing w:after="0" w:line="240" w:lineRule="auto"/>
              <w:rPr>
                <w:rFonts w:ascii="Times New Roman" w:hAnsi="Times New Roman" w:cs="Times New Roman"/>
                <w:noProof/>
                <w:color w:val="006100"/>
                <w:lang w:val="en-GB"/>
              </w:rPr>
            </w:pPr>
            <w:r w:rsidRPr="001961AA">
              <w:rPr>
                <w:rFonts w:ascii="Times New Roman" w:hAnsi="Times New Roman"/>
                <w:noProof/>
                <w:color w:val="006100"/>
                <w:lang w:val="en-GB"/>
              </w:rPr>
              <w:t>Completion of projects awarded under the calls for projects on</w:t>
            </w:r>
            <w:r w:rsidRPr="001961AA">
              <w:rPr>
                <w:noProof/>
                <w:lang w:val="en-GB"/>
              </w:rPr>
              <w:t xml:space="preserve"> </w:t>
            </w:r>
            <w:r w:rsidRPr="001961AA">
              <w:rPr>
                <w:rFonts w:ascii="Times New Roman" w:hAnsi="Times New Roman"/>
                <w:noProof/>
                <w:color w:val="006100"/>
                <w:lang w:val="en-GB"/>
              </w:rPr>
              <w:t>the optimisation of import infrastructures for hydrogen or electricity, with at least EUR 12 000 000 executed.</w:t>
            </w:r>
          </w:p>
        </w:tc>
      </w:tr>
      <w:tr w:rsidR="006A41D9" w:rsidRPr="001961AA" w14:paraId="4CBD7566" w14:textId="77777777" w:rsidTr="00D91A43">
        <w:trPr>
          <w:trHeight w:val="300"/>
        </w:trPr>
        <w:tc>
          <w:tcPr>
            <w:tcW w:w="670" w:type="dxa"/>
            <w:tcBorders>
              <w:top w:val="single" w:sz="4" w:space="0" w:color="auto"/>
              <w:left w:val="single" w:sz="4" w:space="0" w:color="auto"/>
              <w:bottom w:val="single" w:sz="4" w:space="0" w:color="auto"/>
              <w:right w:val="single" w:sz="4" w:space="0" w:color="auto"/>
            </w:tcBorders>
            <w:shd w:val="clear" w:color="auto" w:fill="C6EFCE"/>
            <w:vAlign w:val="center"/>
          </w:tcPr>
          <w:p w14:paraId="5C41EFD7" w14:textId="77777777" w:rsidR="006A41D9" w:rsidRPr="001961AA" w:rsidRDefault="006A41D9" w:rsidP="00BD6DD1">
            <w:pPr>
              <w:spacing w:line="240" w:lineRule="auto"/>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223</w:t>
            </w:r>
          </w:p>
        </w:tc>
        <w:tc>
          <w:tcPr>
            <w:tcW w:w="1452" w:type="dxa"/>
            <w:tcBorders>
              <w:top w:val="single" w:sz="4" w:space="0" w:color="auto"/>
              <w:left w:val="single" w:sz="4" w:space="0" w:color="auto"/>
              <w:bottom w:val="single" w:sz="4" w:space="0" w:color="auto"/>
              <w:right w:val="single" w:sz="4" w:space="0" w:color="auto"/>
            </w:tcBorders>
            <w:shd w:val="clear" w:color="auto" w:fill="C6EFCE"/>
            <w:vAlign w:val="center"/>
          </w:tcPr>
          <w:p w14:paraId="689AFB6C" w14:textId="77777777" w:rsidR="006A41D9" w:rsidRPr="001961AA" w:rsidRDefault="006A41D9" w:rsidP="00BD6DD1">
            <w:pPr>
              <w:spacing w:line="240" w:lineRule="auto"/>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Call for the decarbonisation of industry (I-7-13)</w:t>
            </w:r>
          </w:p>
        </w:tc>
        <w:tc>
          <w:tcPr>
            <w:tcW w:w="567" w:type="dxa"/>
            <w:tcBorders>
              <w:top w:val="single" w:sz="4" w:space="0" w:color="auto"/>
              <w:left w:val="single" w:sz="4" w:space="0" w:color="auto"/>
              <w:bottom w:val="single" w:sz="4" w:space="0" w:color="auto"/>
              <w:right w:val="single" w:sz="4" w:space="0" w:color="auto"/>
            </w:tcBorders>
            <w:shd w:val="clear" w:color="auto" w:fill="C6EFCE"/>
            <w:vAlign w:val="center"/>
          </w:tcPr>
          <w:p w14:paraId="1CAC42CA" w14:textId="77777777" w:rsidR="006A41D9" w:rsidRPr="001961AA" w:rsidRDefault="006A41D9" w:rsidP="00BD6DD1">
            <w:pPr>
              <w:spacing w:line="240" w:lineRule="auto"/>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M</w:t>
            </w:r>
          </w:p>
        </w:tc>
        <w:tc>
          <w:tcPr>
            <w:tcW w:w="1559" w:type="dxa"/>
            <w:tcBorders>
              <w:top w:val="single" w:sz="4" w:space="0" w:color="auto"/>
              <w:left w:val="single" w:sz="4" w:space="0" w:color="auto"/>
              <w:bottom w:val="single" w:sz="4" w:space="0" w:color="auto"/>
              <w:right w:val="single" w:sz="4" w:space="0" w:color="auto"/>
            </w:tcBorders>
            <w:shd w:val="clear" w:color="auto" w:fill="C6EFCE"/>
            <w:vAlign w:val="center"/>
          </w:tcPr>
          <w:p w14:paraId="178B1015" w14:textId="70582436" w:rsidR="006A41D9" w:rsidRPr="001961AA" w:rsidRDefault="00E118E8" w:rsidP="00BD6DD1">
            <w:pPr>
              <w:spacing w:line="240" w:lineRule="auto"/>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Award of contracts under the call for projects</w:t>
            </w:r>
          </w:p>
        </w:tc>
        <w:tc>
          <w:tcPr>
            <w:tcW w:w="1276" w:type="dxa"/>
            <w:tcBorders>
              <w:top w:val="single" w:sz="4" w:space="0" w:color="auto"/>
              <w:left w:val="single" w:sz="4" w:space="0" w:color="auto"/>
              <w:bottom w:val="single" w:sz="4" w:space="0" w:color="auto"/>
              <w:right w:val="single" w:sz="4" w:space="0" w:color="auto"/>
            </w:tcBorders>
            <w:shd w:val="clear" w:color="auto" w:fill="C6EFCE"/>
            <w:vAlign w:val="center"/>
          </w:tcPr>
          <w:p w14:paraId="4CF4C128" w14:textId="0072187E" w:rsidR="006A41D9" w:rsidRPr="001961AA" w:rsidRDefault="00AF35D2" w:rsidP="00BD6DD1">
            <w:pPr>
              <w:spacing w:after="0" w:line="240" w:lineRule="auto"/>
              <w:rPr>
                <w:rFonts w:ascii="Times New Roman" w:eastAsia="Times New Roman" w:hAnsi="Times New Roman" w:cs="Times New Roman"/>
                <w:noProof/>
                <w:color w:val="000000" w:themeColor="text1"/>
                <w:lang w:val="en-GB"/>
              </w:rPr>
            </w:pPr>
            <w:r w:rsidRPr="001961AA">
              <w:rPr>
                <w:rFonts w:ascii="Times New Roman" w:hAnsi="Times New Roman"/>
                <w:noProof/>
                <w:color w:val="006100"/>
                <w:lang w:val="en-GB"/>
              </w:rPr>
              <w:t xml:space="preserve">Written notification to successful candidates </w:t>
            </w:r>
          </w:p>
        </w:tc>
        <w:tc>
          <w:tcPr>
            <w:tcW w:w="992" w:type="dxa"/>
            <w:tcBorders>
              <w:top w:val="single" w:sz="4" w:space="0" w:color="auto"/>
              <w:left w:val="single" w:sz="4" w:space="0" w:color="auto"/>
              <w:bottom w:val="single" w:sz="4" w:space="0" w:color="auto"/>
              <w:right w:val="single" w:sz="4" w:space="0" w:color="auto"/>
            </w:tcBorders>
            <w:shd w:val="clear" w:color="auto" w:fill="C6EFCE"/>
            <w:vAlign w:val="center"/>
          </w:tcPr>
          <w:p w14:paraId="64A2F8F7" w14:textId="77777777" w:rsidR="006A41D9" w:rsidRPr="001961AA" w:rsidRDefault="006A41D9" w:rsidP="00BD6DD1">
            <w:pPr>
              <w:spacing w:line="240" w:lineRule="auto"/>
              <w:rPr>
                <w:rFonts w:ascii="Times New Roman" w:eastAsia="Times New Roman" w:hAnsi="Times New Roman" w:cs="Times New Roman"/>
                <w:noProof/>
                <w:color w:val="006100"/>
                <w:lang w:val="en-GB" w:eastAsia="en-GB"/>
              </w:rPr>
            </w:pPr>
          </w:p>
        </w:tc>
        <w:tc>
          <w:tcPr>
            <w:tcW w:w="709" w:type="dxa"/>
            <w:tcBorders>
              <w:top w:val="single" w:sz="4" w:space="0" w:color="auto"/>
              <w:left w:val="single" w:sz="4" w:space="0" w:color="auto"/>
              <w:bottom w:val="single" w:sz="4" w:space="0" w:color="auto"/>
              <w:right w:val="single" w:sz="4" w:space="0" w:color="auto"/>
            </w:tcBorders>
            <w:shd w:val="clear" w:color="auto" w:fill="C6EFCE"/>
            <w:vAlign w:val="center"/>
          </w:tcPr>
          <w:p w14:paraId="5B3608F9" w14:textId="77777777" w:rsidR="006A41D9" w:rsidRPr="001961AA" w:rsidRDefault="006A41D9" w:rsidP="00BD6DD1">
            <w:pPr>
              <w:spacing w:line="240" w:lineRule="auto"/>
              <w:rPr>
                <w:rFonts w:ascii="Times New Roman" w:eastAsia="Times New Roman" w:hAnsi="Times New Roman" w:cs="Times New Roman"/>
                <w:noProof/>
                <w:color w:val="006100"/>
                <w:lang w:val="en-GB" w:eastAsia="en-GB"/>
              </w:rPr>
            </w:pPr>
          </w:p>
        </w:tc>
        <w:tc>
          <w:tcPr>
            <w:tcW w:w="708" w:type="dxa"/>
            <w:tcBorders>
              <w:top w:val="single" w:sz="4" w:space="0" w:color="auto"/>
              <w:left w:val="single" w:sz="4" w:space="0" w:color="auto"/>
              <w:bottom w:val="single" w:sz="4" w:space="0" w:color="auto"/>
              <w:right w:val="single" w:sz="4" w:space="0" w:color="auto"/>
            </w:tcBorders>
            <w:shd w:val="clear" w:color="auto" w:fill="C6EFCE"/>
            <w:vAlign w:val="center"/>
          </w:tcPr>
          <w:p w14:paraId="43033237" w14:textId="77777777" w:rsidR="006A41D9" w:rsidRPr="001961AA" w:rsidRDefault="006A41D9" w:rsidP="00BD6DD1">
            <w:pPr>
              <w:spacing w:line="240" w:lineRule="auto"/>
              <w:rPr>
                <w:rFonts w:ascii="Times New Roman" w:eastAsia="Times New Roman" w:hAnsi="Times New Roman" w:cs="Times New Roman"/>
                <w:noProof/>
                <w:color w:val="006100"/>
                <w:lang w:val="en-GB" w:eastAsia="en-GB"/>
              </w:rPr>
            </w:pPr>
          </w:p>
        </w:tc>
        <w:tc>
          <w:tcPr>
            <w:tcW w:w="709" w:type="dxa"/>
            <w:tcBorders>
              <w:top w:val="single" w:sz="4" w:space="0" w:color="auto"/>
              <w:left w:val="single" w:sz="4" w:space="0" w:color="auto"/>
              <w:bottom w:val="single" w:sz="4" w:space="0" w:color="auto"/>
              <w:right w:val="single" w:sz="4" w:space="0" w:color="auto"/>
            </w:tcBorders>
            <w:shd w:val="clear" w:color="auto" w:fill="C6EFCE"/>
            <w:vAlign w:val="center"/>
          </w:tcPr>
          <w:p w14:paraId="6CAA4830" w14:textId="34224A67" w:rsidR="006A41D9" w:rsidRPr="001961AA" w:rsidRDefault="006A41D9" w:rsidP="00BD6DD1">
            <w:pPr>
              <w:spacing w:after="0" w:line="240" w:lineRule="auto"/>
              <w:jc w:val="center"/>
              <w:rPr>
                <w:rFonts w:ascii="Times New Roman" w:eastAsia="Times New Roman" w:hAnsi="Times New Roman" w:cs="Times New Roman"/>
                <w:noProof/>
                <w:lang w:val="en-GB"/>
              </w:rPr>
            </w:pPr>
            <w:r w:rsidRPr="001961AA">
              <w:rPr>
                <w:rFonts w:ascii="Times New Roman" w:hAnsi="Times New Roman"/>
                <w:noProof/>
                <w:color w:val="006100"/>
                <w:lang w:val="en-GB"/>
              </w:rPr>
              <w:t>Q2</w:t>
            </w:r>
          </w:p>
        </w:tc>
        <w:tc>
          <w:tcPr>
            <w:tcW w:w="709" w:type="dxa"/>
            <w:tcBorders>
              <w:top w:val="single" w:sz="4" w:space="0" w:color="auto"/>
              <w:left w:val="single" w:sz="4" w:space="0" w:color="auto"/>
              <w:bottom w:val="single" w:sz="4" w:space="0" w:color="auto"/>
              <w:right w:val="single" w:sz="4" w:space="0" w:color="auto"/>
            </w:tcBorders>
            <w:shd w:val="clear" w:color="auto" w:fill="C6EFCE"/>
            <w:vAlign w:val="center"/>
          </w:tcPr>
          <w:p w14:paraId="5BA03BF8" w14:textId="228D26D7" w:rsidR="006A41D9" w:rsidRPr="001961AA" w:rsidRDefault="006A41D9" w:rsidP="00BD6DD1">
            <w:pPr>
              <w:spacing w:after="0" w:line="240" w:lineRule="auto"/>
              <w:jc w:val="center"/>
              <w:rPr>
                <w:rFonts w:ascii="Times New Roman" w:eastAsia="Times New Roman" w:hAnsi="Times New Roman" w:cs="Times New Roman"/>
                <w:noProof/>
                <w:lang w:val="en-GB"/>
              </w:rPr>
            </w:pPr>
            <w:r w:rsidRPr="001961AA">
              <w:rPr>
                <w:rFonts w:ascii="Times New Roman" w:hAnsi="Times New Roman"/>
                <w:noProof/>
                <w:color w:val="006100"/>
                <w:lang w:val="en-GB"/>
              </w:rPr>
              <w:t>2024</w:t>
            </w:r>
          </w:p>
        </w:tc>
        <w:tc>
          <w:tcPr>
            <w:tcW w:w="5103" w:type="dxa"/>
            <w:tcBorders>
              <w:top w:val="single" w:sz="4" w:space="0" w:color="auto"/>
              <w:left w:val="single" w:sz="4" w:space="0" w:color="auto"/>
              <w:bottom w:val="single" w:sz="4" w:space="0" w:color="auto"/>
              <w:right w:val="single" w:sz="4" w:space="0" w:color="auto"/>
            </w:tcBorders>
            <w:shd w:val="clear" w:color="auto" w:fill="C6EFCE"/>
            <w:vAlign w:val="center"/>
          </w:tcPr>
          <w:p w14:paraId="295C15CF" w14:textId="788EA0B3" w:rsidR="006A41D9" w:rsidRPr="001961AA" w:rsidRDefault="00AF35D2" w:rsidP="00BD6DD1">
            <w:pPr>
              <w:spacing w:after="0" w:line="240" w:lineRule="auto"/>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Award of contracts to projects, in line with the DNSH requirement specified in the measure description, following the call for projects on energy efficiency, on topics such as the management of industrial heat, carbon capture and storage (CCS) where CO2 captured stems from unavoidable process emissions, fuel switching, the production of renewable energy, or the set-up of new industrial elements of the value chain of technologies linked to the green transition, such as the batteries value chain (in production or in critical materials management) and the renewable or fossil-free hydrogen value-chain.</w:t>
            </w:r>
          </w:p>
        </w:tc>
      </w:tr>
      <w:tr w:rsidR="006A41D9" w:rsidRPr="001961AA" w14:paraId="3FA6C167" w14:textId="77777777" w:rsidTr="00D91A43">
        <w:trPr>
          <w:trHeight w:val="300"/>
        </w:trPr>
        <w:tc>
          <w:tcPr>
            <w:tcW w:w="670" w:type="dxa"/>
            <w:tcBorders>
              <w:top w:val="single" w:sz="4" w:space="0" w:color="auto"/>
              <w:left w:val="single" w:sz="4" w:space="0" w:color="auto"/>
              <w:bottom w:val="single" w:sz="4" w:space="0" w:color="auto"/>
              <w:right w:val="single" w:sz="4" w:space="0" w:color="auto"/>
            </w:tcBorders>
            <w:shd w:val="clear" w:color="auto" w:fill="C6EFCE"/>
            <w:vAlign w:val="center"/>
          </w:tcPr>
          <w:p w14:paraId="1B4DA3AC" w14:textId="77777777" w:rsidR="006A41D9" w:rsidRPr="001961AA" w:rsidRDefault="006A41D9" w:rsidP="00BD6DD1">
            <w:pPr>
              <w:spacing w:line="240" w:lineRule="auto"/>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224</w:t>
            </w:r>
          </w:p>
        </w:tc>
        <w:tc>
          <w:tcPr>
            <w:tcW w:w="1452" w:type="dxa"/>
            <w:tcBorders>
              <w:top w:val="single" w:sz="4" w:space="0" w:color="auto"/>
              <w:left w:val="single" w:sz="4" w:space="0" w:color="auto"/>
              <w:bottom w:val="single" w:sz="4" w:space="0" w:color="auto"/>
              <w:right w:val="single" w:sz="4" w:space="0" w:color="auto"/>
            </w:tcBorders>
            <w:shd w:val="clear" w:color="auto" w:fill="C6EFCE"/>
            <w:vAlign w:val="center"/>
          </w:tcPr>
          <w:p w14:paraId="0C8CBA41" w14:textId="77777777" w:rsidR="006A41D9" w:rsidRPr="001961AA" w:rsidRDefault="006A41D9" w:rsidP="00BD6DD1">
            <w:pPr>
              <w:spacing w:line="240" w:lineRule="auto"/>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Call for the decarbonisation of industry (I-7.13)</w:t>
            </w:r>
          </w:p>
        </w:tc>
        <w:tc>
          <w:tcPr>
            <w:tcW w:w="567" w:type="dxa"/>
            <w:tcBorders>
              <w:top w:val="single" w:sz="4" w:space="0" w:color="auto"/>
              <w:left w:val="single" w:sz="4" w:space="0" w:color="auto"/>
              <w:bottom w:val="single" w:sz="4" w:space="0" w:color="auto"/>
              <w:right w:val="single" w:sz="4" w:space="0" w:color="auto"/>
            </w:tcBorders>
            <w:shd w:val="clear" w:color="auto" w:fill="C6EFCE"/>
            <w:vAlign w:val="center"/>
          </w:tcPr>
          <w:p w14:paraId="0DD20F02" w14:textId="77777777" w:rsidR="006A41D9" w:rsidRPr="001961AA" w:rsidRDefault="006A41D9" w:rsidP="00BD6DD1">
            <w:pPr>
              <w:spacing w:after="0" w:line="240" w:lineRule="auto"/>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M</w:t>
            </w:r>
          </w:p>
        </w:tc>
        <w:tc>
          <w:tcPr>
            <w:tcW w:w="1559" w:type="dxa"/>
            <w:tcBorders>
              <w:top w:val="single" w:sz="4" w:space="0" w:color="auto"/>
              <w:left w:val="single" w:sz="4" w:space="0" w:color="auto"/>
              <w:bottom w:val="single" w:sz="4" w:space="0" w:color="auto"/>
              <w:right w:val="single" w:sz="4" w:space="0" w:color="auto"/>
            </w:tcBorders>
            <w:shd w:val="clear" w:color="auto" w:fill="C6EFCE"/>
            <w:vAlign w:val="center"/>
          </w:tcPr>
          <w:p w14:paraId="4E966677" w14:textId="77777777" w:rsidR="006A41D9" w:rsidRPr="001961AA" w:rsidRDefault="006A41D9" w:rsidP="00BD6DD1">
            <w:pPr>
              <w:spacing w:after="0" w:line="240" w:lineRule="auto"/>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Completion of projects awarded under the call for projects</w:t>
            </w:r>
          </w:p>
        </w:tc>
        <w:tc>
          <w:tcPr>
            <w:tcW w:w="1276" w:type="dxa"/>
            <w:tcBorders>
              <w:top w:val="single" w:sz="4" w:space="0" w:color="auto"/>
              <w:left w:val="single" w:sz="4" w:space="0" w:color="auto"/>
              <w:bottom w:val="single" w:sz="4" w:space="0" w:color="auto"/>
              <w:right w:val="single" w:sz="4" w:space="0" w:color="auto"/>
            </w:tcBorders>
            <w:shd w:val="clear" w:color="auto" w:fill="C6EFCE"/>
            <w:vAlign w:val="center"/>
          </w:tcPr>
          <w:p w14:paraId="7AE5B98B" w14:textId="77777777" w:rsidR="006A41D9" w:rsidRPr="001961AA" w:rsidRDefault="006A41D9" w:rsidP="00BD6DD1">
            <w:pPr>
              <w:spacing w:line="240" w:lineRule="auto"/>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Final project report approved</w:t>
            </w:r>
          </w:p>
        </w:tc>
        <w:tc>
          <w:tcPr>
            <w:tcW w:w="992" w:type="dxa"/>
            <w:tcBorders>
              <w:top w:val="single" w:sz="4" w:space="0" w:color="auto"/>
              <w:left w:val="single" w:sz="4" w:space="0" w:color="auto"/>
              <w:bottom w:val="single" w:sz="4" w:space="0" w:color="auto"/>
              <w:right w:val="single" w:sz="4" w:space="0" w:color="auto"/>
            </w:tcBorders>
            <w:shd w:val="clear" w:color="auto" w:fill="C6EFCE"/>
            <w:vAlign w:val="center"/>
          </w:tcPr>
          <w:p w14:paraId="5A0C134A" w14:textId="77777777" w:rsidR="006A41D9" w:rsidRPr="001961AA" w:rsidRDefault="006A41D9" w:rsidP="00BD6DD1">
            <w:pPr>
              <w:spacing w:line="240" w:lineRule="auto"/>
              <w:rPr>
                <w:rFonts w:ascii="Times New Roman" w:eastAsia="Times New Roman" w:hAnsi="Times New Roman" w:cs="Times New Roman"/>
                <w:noProof/>
                <w:color w:val="006100"/>
                <w:lang w:val="en-GB" w:eastAsia="en-GB"/>
              </w:rPr>
            </w:pPr>
          </w:p>
        </w:tc>
        <w:tc>
          <w:tcPr>
            <w:tcW w:w="709" w:type="dxa"/>
            <w:tcBorders>
              <w:top w:val="single" w:sz="4" w:space="0" w:color="auto"/>
              <w:left w:val="single" w:sz="4" w:space="0" w:color="auto"/>
              <w:bottom w:val="single" w:sz="4" w:space="0" w:color="auto"/>
              <w:right w:val="single" w:sz="4" w:space="0" w:color="auto"/>
            </w:tcBorders>
            <w:shd w:val="clear" w:color="auto" w:fill="C6EFCE"/>
            <w:vAlign w:val="center"/>
          </w:tcPr>
          <w:p w14:paraId="1C4CD939" w14:textId="77777777" w:rsidR="006A41D9" w:rsidRPr="001961AA" w:rsidRDefault="006A41D9" w:rsidP="00BD6DD1">
            <w:pPr>
              <w:spacing w:line="240" w:lineRule="auto"/>
              <w:rPr>
                <w:rFonts w:ascii="Times New Roman" w:eastAsia="Times New Roman" w:hAnsi="Times New Roman" w:cs="Times New Roman"/>
                <w:noProof/>
                <w:color w:val="006100"/>
                <w:lang w:val="en-GB" w:eastAsia="en-GB"/>
              </w:rPr>
            </w:pPr>
          </w:p>
        </w:tc>
        <w:tc>
          <w:tcPr>
            <w:tcW w:w="708" w:type="dxa"/>
            <w:tcBorders>
              <w:top w:val="single" w:sz="4" w:space="0" w:color="auto"/>
              <w:left w:val="single" w:sz="4" w:space="0" w:color="auto"/>
              <w:bottom w:val="single" w:sz="4" w:space="0" w:color="auto"/>
              <w:right w:val="single" w:sz="4" w:space="0" w:color="auto"/>
            </w:tcBorders>
            <w:shd w:val="clear" w:color="auto" w:fill="C6EFCE"/>
            <w:vAlign w:val="center"/>
          </w:tcPr>
          <w:p w14:paraId="4B36234B" w14:textId="77777777" w:rsidR="006A41D9" w:rsidRPr="001961AA" w:rsidRDefault="006A41D9" w:rsidP="00BD6DD1">
            <w:pPr>
              <w:spacing w:line="240" w:lineRule="auto"/>
              <w:rPr>
                <w:rFonts w:ascii="Times New Roman" w:eastAsia="Times New Roman" w:hAnsi="Times New Roman" w:cs="Times New Roman"/>
                <w:noProof/>
                <w:color w:val="006100"/>
                <w:lang w:val="en-GB" w:eastAsia="en-GB"/>
              </w:rPr>
            </w:pPr>
          </w:p>
        </w:tc>
        <w:tc>
          <w:tcPr>
            <w:tcW w:w="709" w:type="dxa"/>
            <w:tcBorders>
              <w:top w:val="single" w:sz="4" w:space="0" w:color="auto"/>
              <w:left w:val="single" w:sz="4" w:space="0" w:color="auto"/>
              <w:bottom w:val="single" w:sz="4" w:space="0" w:color="auto"/>
              <w:right w:val="single" w:sz="4" w:space="0" w:color="auto"/>
            </w:tcBorders>
            <w:shd w:val="clear" w:color="auto" w:fill="C6EFCE"/>
            <w:vAlign w:val="center"/>
          </w:tcPr>
          <w:p w14:paraId="76F4C7F0" w14:textId="77777777" w:rsidR="006A41D9" w:rsidRPr="001961AA" w:rsidRDefault="006A41D9" w:rsidP="00BD6DD1">
            <w:pPr>
              <w:spacing w:line="240" w:lineRule="auto"/>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Q2</w:t>
            </w:r>
          </w:p>
        </w:tc>
        <w:tc>
          <w:tcPr>
            <w:tcW w:w="709" w:type="dxa"/>
            <w:tcBorders>
              <w:top w:val="single" w:sz="4" w:space="0" w:color="auto"/>
              <w:left w:val="single" w:sz="4" w:space="0" w:color="auto"/>
              <w:bottom w:val="single" w:sz="4" w:space="0" w:color="auto"/>
              <w:right w:val="single" w:sz="4" w:space="0" w:color="auto"/>
            </w:tcBorders>
            <w:shd w:val="clear" w:color="auto" w:fill="C6EFCE"/>
            <w:vAlign w:val="center"/>
          </w:tcPr>
          <w:p w14:paraId="27A73E45" w14:textId="77777777" w:rsidR="006A41D9" w:rsidRPr="001961AA" w:rsidRDefault="006A41D9" w:rsidP="00BD6DD1">
            <w:pPr>
              <w:spacing w:line="240" w:lineRule="auto"/>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2026</w:t>
            </w:r>
          </w:p>
        </w:tc>
        <w:tc>
          <w:tcPr>
            <w:tcW w:w="5103" w:type="dxa"/>
            <w:tcBorders>
              <w:top w:val="single" w:sz="4" w:space="0" w:color="auto"/>
              <w:left w:val="single" w:sz="4" w:space="0" w:color="auto"/>
              <w:bottom w:val="single" w:sz="4" w:space="0" w:color="auto"/>
              <w:right w:val="single" w:sz="4" w:space="0" w:color="auto"/>
            </w:tcBorders>
            <w:shd w:val="clear" w:color="auto" w:fill="C6EFCE"/>
            <w:vAlign w:val="center"/>
          </w:tcPr>
          <w:p w14:paraId="560CAF1D" w14:textId="77777777" w:rsidR="006A41D9" w:rsidRPr="001961AA" w:rsidRDefault="006A41D9" w:rsidP="00BD6DD1">
            <w:pPr>
              <w:spacing w:after="0" w:line="240" w:lineRule="auto"/>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Completion of projects awarded under the call for projects “Decarbonisation of industry” with at least EUR 64 000 000 executed.</w:t>
            </w:r>
          </w:p>
        </w:tc>
      </w:tr>
      <w:tr w:rsidR="006A41D9" w:rsidRPr="001961AA" w14:paraId="01A7C447" w14:textId="77777777" w:rsidTr="00D91A43">
        <w:trPr>
          <w:trHeight w:val="300"/>
        </w:trPr>
        <w:tc>
          <w:tcPr>
            <w:tcW w:w="670" w:type="dxa"/>
            <w:tcBorders>
              <w:top w:val="single" w:sz="4" w:space="0" w:color="auto"/>
              <w:left w:val="single" w:sz="4" w:space="0" w:color="auto"/>
              <w:bottom w:val="single" w:sz="4" w:space="0" w:color="auto"/>
              <w:right w:val="single" w:sz="4" w:space="0" w:color="auto"/>
            </w:tcBorders>
            <w:shd w:val="clear" w:color="auto" w:fill="C6EFCE"/>
            <w:vAlign w:val="center"/>
          </w:tcPr>
          <w:p w14:paraId="7B566C66" w14:textId="77777777" w:rsidR="006A41D9" w:rsidRPr="001961AA" w:rsidRDefault="006A41D9" w:rsidP="00BD6DD1">
            <w:pPr>
              <w:spacing w:line="240" w:lineRule="auto"/>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225</w:t>
            </w:r>
          </w:p>
        </w:tc>
        <w:tc>
          <w:tcPr>
            <w:tcW w:w="1452" w:type="dxa"/>
            <w:tcBorders>
              <w:top w:val="single" w:sz="4" w:space="0" w:color="auto"/>
              <w:left w:val="single" w:sz="4" w:space="0" w:color="auto"/>
              <w:bottom w:val="single" w:sz="4" w:space="0" w:color="auto"/>
              <w:right w:val="single" w:sz="4" w:space="0" w:color="auto"/>
            </w:tcBorders>
            <w:shd w:val="clear" w:color="auto" w:fill="C6EFCE"/>
            <w:vAlign w:val="center"/>
          </w:tcPr>
          <w:p w14:paraId="3D89790B" w14:textId="77777777" w:rsidR="006A41D9" w:rsidRPr="001961AA" w:rsidRDefault="006A41D9" w:rsidP="00BD6DD1">
            <w:pPr>
              <w:spacing w:line="240" w:lineRule="auto"/>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Call for climate measures in agriculture (I-7.14)</w:t>
            </w:r>
          </w:p>
        </w:tc>
        <w:tc>
          <w:tcPr>
            <w:tcW w:w="567" w:type="dxa"/>
            <w:tcBorders>
              <w:top w:val="single" w:sz="4" w:space="0" w:color="auto"/>
              <w:left w:val="single" w:sz="4" w:space="0" w:color="auto"/>
              <w:bottom w:val="single" w:sz="4" w:space="0" w:color="auto"/>
              <w:right w:val="single" w:sz="4" w:space="0" w:color="auto"/>
            </w:tcBorders>
            <w:shd w:val="clear" w:color="auto" w:fill="C6EFCE"/>
            <w:vAlign w:val="center"/>
          </w:tcPr>
          <w:p w14:paraId="5DF57BBA" w14:textId="77777777" w:rsidR="006A41D9" w:rsidRPr="001961AA" w:rsidRDefault="006A41D9" w:rsidP="00BD6DD1">
            <w:pPr>
              <w:spacing w:line="240" w:lineRule="auto"/>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T</w:t>
            </w:r>
          </w:p>
        </w:tc>
        <w:tc>
          <w:tcPr>
            <w:tcW w:w="1559" w:type="dxa"/>
            <w:tcBorders>
              <w:top w:val="single" w:sz="4" w:space="0" w:color="auto"/>
              <w:left w:val="single" w:sz="4" w:space="0" w:color="auto"/>
              <w:bottom w:val="single" w:sz="4" w:space="0" w:color="auto"/>
              <w:right w:val="single" w:sz="4" w:space="0" w:color="auto"/>
            </w:tcBorders>
            <w:shd w:val="clear" w:color="auto" w:fill="C6EFCE"/>
            <w:vAlign w:val="center"/>
          </w:tcPr>
          <w:p w14:paraId="2D987B84" w14:textId="77777777" w:rsidR="006A41D9" w:rsidRPr="001961AA" w:rsidRDefault="006A41D9" w:rsidP="00BD6DD1">
            <w:pPr>
              <w:spacing w:after="0" w:line="240" w:lineRule="auto"/>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Completion of projects awarded under the call for proposals</w:t>
            </w:r>
          </w:p>
        </w:tc>
        <w:tc>
          <w:tcPr>
            <w:tcW w:w="1276" w:type="dxa"/>
            <w:tcBorders>
              <w:top w:val="single" w:sz="4" w:space="0" w:color="auto"/>
              <w:left w:val="single" w:sz="4" w:space="0" w:color="auto"/>
              <w:bottom w:val="single" w:sz="4" w:space="0" w:color="auto"/>
              <w:right w:val="single" w:sz="4" w:space="0" w:color="auto"/>
            </w:tcBorders>
            <w:shd w:val="clear" w:color="auto" w:fill="C6EFCE"/>
            <w:vAlign w:val="center"/>
          </w:tcPr>
          <w:p w14:paraId="4DC754D6" w14:textId="77777777" w:rsidR="006A41D9" w:rsidRPr="001961AA" w:rsidRDefault="006A41D9" w:rsidP="00BD6DD1">
            <w:pPr>
              <w:spacing w:line="240" w:lineRule="auto"/>
              <w:rPr>
                <w:rFonts w:ascii="Times New Roman" w:eastAsia="Times New Roman" w:hAnsi="Times New Roman" w:cs="Times New Roman"/>
                <w:noProof/>
                <w:color w:val="006100"/>
                <w:lang w:val="en-GB"/>
              </w:rPr>
            </w:pPr>
          </w:p>
        </w:tc>
        <w:tc>
          <w:tcPr>
            <w:tcW w:w="992" w:type="dxa"/>
            <w:tcBorders>
              <w:top w:val="single" w:sz="4" w:space="0" w:color="auto"/>
              <w:left w:val="single" w:sz="4" w:space="0" w:color="auto"/>
              <w:bottom w:val="single" w:sz="4" w:space="0" w:color="auto"/>
              <w:right w:val="single" w:sz="4" w:space="0" w:color="auto"/>
            </w:tcBorders>
            <w:shd w:val="clear" w:color="auto" w:fill="C6EFCE"/>
            <w:vAlign w:val="center"/>
          </w:tcPr>
          <w:p w14:paraId="730E866E" w14:textId="5FB5F31B" w:rsidR="006A41D9" w:rsidRPr="001961AA" w:rsidRDefault="006A41D9" w:rsidP="00BD6DD1">
            <w:pPr>
              <w:spacing w:line="240" w:lineRule="auto"/>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Number</w:t>
            </w:r>
          </w:p>
        </w:tc>
        <w:tc>
          <w:tcPr>
            <w:tcW w:w="709" w:type="dxa"/>
            <w:tcBorders>
              <w:top w:val="single" w:sz="4" w:space="0" w:color="auto"/>
              <w:left w:val="single" w:sz="4" w:space="0" w:color="auto"/>
              <w:bottom w:val="single" w:sz="4" w:space="0" w:color="auto"/>
              <w:right w:val="single" w:sz="4" w:space="0" w:color="auto"/>
            </w:tcBorders>
            <w:shd w:val="clear" w:color="auto" w:fill="C6EFCE"/>
            <w:vAlign w:val="center"/>
          </w:tcPr>
          <w:p w14:paraId="0F48315C" w14:textId="77777777" w:rsidR="006A41D9" w:rsidRPr="001961AA" w:rsidRDefault="006A41D9" w:rsidP="00BD6DD1">
            <w:pPr>
              <w:spacing w:line="240" w:lineRule="auto"/>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0</w:t>
            </w:r>
          </w:p>
        </w:tc>
        <w:tc>
          <w:tcPr>
            <w:tcW w:w="708" w:type="dxa"/>
            <w:tcBorders>
              <w:top w:val="single" w:sz="4" w:space="0" w:color="auto"/>
              <w:left w:val="single" w:sz="4" w:space="0" w:color="auto"/>
              <w:bottom w:val="single" w:sz="4" w:space="0" w:color="auto"/>
              <w:right w:val="single" w:sz="4" w:space="0" w:color="auto"/>
            </w:tcBorders>
            <w:shd w:val="clear" w:color="auto" w:fill="C6EFCE"/>
            <w:vAlign w:val="center"/>
          </w:tcPr>
          <w:p w14:paraId="5F9A5296" w14:textId="77777777" w:rsidR="006A41D9" w:rsidRPr="001961AA" w:rsidRDefault="006A41D9" w:rsidP="00BD6DD1">
            <w:pPr>
              <w:spacing w:line="240" w:lineRule="auto"/>
              <w:rPr>
                <w:rFonts w:ascii="Times New Roman" w:eastAsia="Times New Roman" w:hAnsi="Times New Roman" w:cs="Times New Roman"/>
                <w:noProof/>
                <w:color w:val="006100"/>
                <w:highlight w:val="yellow"/>
                <w:lang w:val="en-GB"/>
              </w:rPr>
            </w:pPr>
            <w:r w:rsidRPr="001961AA">
              <w:rPr>
                <w:rFonts w:ascii="Times New Roman" w:hAnsi="Times New Roman"/>
                <w:noProof/>
                <w:color w:val="006100"/>
                <w:lang w:val="en-GB"/>
              </w:rPr>
              <w:t>270</w:t>
            </w:r>
          </w:p>
        </w:tc>
        <w:tc>
          <w:tcPr>
            <w:tcW w:w="709" w:type="dxa"/>
            <w:tcBorders>
              <w:top w:val="single" w:sz="4" w:space="0" w:color="auto"/>
              <w:left w:val="single" w:sz="4" w:space="0" w:color="auto"/>
              <w:bottom w:val="single" w:sz="4" w:space="0" w:color="auto"/>
              <w:right w:val="single" w:sz="4" w:space="0" w:color="auto"/>
            </w:tcBorders>
            <w:shd w:val="clear" w:color="auto" w:fill="C6EFCE"/>
            <w:vAlign w:val="center"/>
          </w:tcPr>
          <w:p w14:paraId="3E5F3F3A" w14:textId="77777777" w:rsidR="006A41D9" w:rsidRPr="001961AA" w:rsidRDefault="006A41D9" w:rsidP="00BD6DD1">
            <w:pPr>
              <w:spacing w:line="240" w:lineRule="auto"/>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Q2</w:t>
            </w:r>
          </w:p>
        </w:tc>
        <w:tc>
          <w:tcPr>
            <w:tcW w:w="709" w:type="dxa"/>
            <w:tcBorders>
              <w:top w:val="single" w:sz="4" w:space="0" w:color="auto"/>
              <w:left w:val="single" w:sz="4" w:space="0" w:color="auto"/>
              <w:bottom w:val="single" w:sz="4" w:space="0" w:color="auto"/>
              <w:right w:val="single" w:sz="4" w:space="0" w:color="auto"/>
            </w:tcBorders>
            <w:shd w:val="clear" w:color="auto" w:fill="C6EFCE"/>
            <w:vAlign w:val="center"/>
          </w:tcPr>
          <w:p w14:paraId="67095BC6" w14:textId="77777777" w:rsidR="006A41D9" w:rsidRPr="001961AA" w:rsidRDefault="006A41D9" w:rsidP="00BD6DD1">
            <w:pPr>
              <w:spacing w:line="240" w:lineRule="auto"/>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2026</w:t>
            </w:r>
          </w:p>
        </w:tc>
        <w:tc>
          <w:tcPr>
            <w:tcW w:w="5103" w:type="dxa"/>
            <w:tcBorders>
              <w:top w:val="single" w:sz="4" w:space="0" w:color="auto"/>
              <w:left w:val="single" w:sz="4" w:space="0" w:color="auto"/>
              <w:bottom w:val="single" w:sz="4" w:space="0" w:color="auto"/>
              <w:right w:val="single" w:sz="4" w:space="0" w:color="auto"/>
            </w:tcBorders>
            <w:shd w:val="clear" w:color="auto" w:fill="C6EFCE"/>
            <w:vAlign w:val="center"/>
          </w:tcPr>
          <w:p w14:paraId="6D12B49C" w14:textId="77777777" w:rsidR="006A41D9" w:rsidRPr="001961AA" w:rsidRDefault="006A41D9" w:rsidP="00BD6DD1">
            <w:pPr>
              <w:spacing w:after="0" w:line="240" w:lineRule="auto"/>
              <w:rPr>
                <w:rFonts w:ascii="Times New Roman" w:eastAsia="Times New Roman" w:hAnsi="Times New Roman" w:cs="Times New Roman"/>
                <w:noProof/>
                <w:color w:val="000000" w:themeColor="text1"/>
                <w:lang w:val="en-GB"/>
              </w:rPr>
            </w:pPr>
            <w:r w:rsidRPr="001961AA">
              <w:rPr>
                <w:rFonts w:ascii="Times New Roman" w:hAnsi="Times New Roman"/>
                <w:noProof/>
                <w:color w:val="006100"/>
                <w:lang w:val="en-GB"/>
              </w:rPr>
              <w:t>Completion of at least 270 projects in agriculture on energy-saving techniques, green heat or renewable energy, aimed at reducing the greenhouse gas emissions.</w:t>
            </w:r>
          </w:p>
        </w:tc>
      </w:tr>
    </w:tbl>
    <w:p w14:paraId="1C219829" w14:textId="77777777" w:rsidR="006A41D9" w:rsidRPr="001961AA" w:rsidRDefault="006A41D9">
      <w:pPr>
        <w:rPr>
          <w:noProof/>
          <w:lang w:val="en-GB"/>
        </w:rPr>
      </w:pPr>
    </w:p>
    <w:p w14:paraId="4FD7117F" w14:textId="77777777" w:rsidR="006A41D9" w:rsidRPr="001961AA" w:rsidRDefault="006A41D9" w:rsidP="00BD6DD1">
      <w:pPr>
        <w:pStyle w:val="TitreComposante"/>
        <w:jc w:val="both"/>
        <w:rPr>
          <w:noProof/>
          <w:lang w:val="en-GB"/>
        </w:rPr>
        <w:sectPr w:rsidR="006A41D9" w:rsidRPr="001961AA" w:rsidSect="00F14B5D">
          <w:headerReference w:type="even" r:id="rId264"/>
          <w:headerReference w:type="default" r:id="rId265"/>
          <w:footerReference w:type="even" r:id="rId266"/>
          <w:footerReference w:type="default" r:id="rId267"/>
          <w:headerReference w:type="first" r:id="rId268"/>
          <w:footerReference w:type="first" r:id="rId269"/>
          <w:pgSz w:w="16838" w:h="11906" w:orient="landscape"/>
          <w:pgMar w:top="1417" w:right="1417" w:bottom="1417" w:left="1417" w:header="708" w:footer="708" w:gutter="0"/>
          <w:cols w:space="708"/>
          <w:docGrid w:linePitch="360"/>
        </w:sectPr>
      </w:pPr>
    </w:p>
    <w:p w14:paraId="08C707C0" w14:textId="77777777" w:rsidR="006A41D9" w:rsidRPr="001961AA" w:rsidRDefault="006A41D9" w:rsidP="00BD6DD1">
      <w:pPr>
        <w:pStyle w:val="Jalonsetcibles"/>
        <w:rPr>
          <w:rFonts w:eastAsia="Times New Roman"/>
          <w:noProof/>
          <w:color w:val="000000" w:themeColor="text1"/>
          <w:sz w:val="24"/>
          <w:szCs w:val="24"/>
          <w:u w:val="single"/>
          <w:lang w:val="en-GB"/>
        </w:rPr>
      </w:pPr>
      <w:r w:rsidRPr="001961AA">
        <w:rPr>
          <w:noProof/>
          <w:color w:val="000000" w:themeColor="text1"/>
          <w:sz w:val="24"/>
          <w:u w:val="single"/>
          <w:lang w:val="en-GB"/>
        </w:rPr>
        <w:t>T.3. Description of the reforms and investments for the loan</w:t>
      </w:r>
    </w:p>
    <w:p w14:paraId="5680FB02" w14:textId="77777777" w:rsidR="006A41D9" w:rsidRPr="001961AA" w:rsidRDefault="006A41D9" w:rsidP="00BD6DD1">
      <w:pPr>
        <w:pStyle w:val="Jalonsetcibles"/>
        <w:rPr>
          <w:rFonts w:eastAsia="Times New Roman"/>
          <w:b w:val="0"/>
          <w:noProof/>
          <w:color w:val="000000" w:themeColor="text1"/>
          <w:sz w:val="24"/>
          <w:szCs w:val="24"/>
          <w:u w:val="single"/>
          <w:lang w:val="en-GB"/>
        </w:rPr>
      </w:pPr>
      <w:bookmarkStart w:id="7" w:name="_Hlk142319314"/>
      <w:r w:rsidRPr="001961AA">
        <w:rPr>
          <w:b w:val="0"/>
          <w:noProof/>
          <w:color w:val="000000" w:themeColor="text1"/>
          <w:sz w:val="24"/>
          <w:u w:val="single"/>
          <w:lang w:val="en-GB"/>
        </w:rPr>
        <w:t xml:space="preserve">Investment I-7.15 </w:t>
      </w:r>
      <w:bookmarkEnd w:id="7"/>
      <w:r w:rsidRPr="001961AA">
        <w:rPr>
          <w:b w:val="0"/>
          <w:noProof/>
          <w:color w:val="000000" w:themeColor="text1"/>
          <w:sz w:val="24"/>
          <w:u w:val="single"/>
          <w:lang w:val="en-GB"/>
        </w:rPr>
        <w:t>‘Backbone for H</w:t>
      </w:r>
      <w:r w:rsidRPr="001961AA">
        <w:rPr>
          <w:b w:val="0"/>
          <w:noProof/>
          <w:color w:val="000000" w:themeColor="text1"/>
          <w:sz w:val="24"/>
          <w:u w:val="single"/>
          <w:vertAlign w:val="subscript"/>
          <w:lang w:val="en-GB"/>
        </w:rPr>
        <w:t>2</w:t>
      </w:r>
      <w:r w:rsidRPr="001961AA">
        <w:rPr>
          <w:b w:val="0"/>
          <w:noProof/>
          <w:color w:val="000000" w:themeColor="text1"/>
          <w:sz w:val="24"/>
          <w:u w:val="single"/>
          <w:lang w:val="en-GB"/>
        </w:rPr>
        <w:t>’ of the Federal State</w:t>
      </w:r>
    </w:p>
    <w:p w14:paraId="2025BAAA" w14:textId="77777777" w:rsidR="00F14B5D" w:rsidRPr="001961AA" w:rsidRDefault="006A41D9" w:rsidP="00BA7609">
      <w:pPr>
        <w:pStyle w:val="Jalonsetcibles"/>
        <w:spacing w:before="120" w:after="120" w:line="240" w:lineRule="auto"/>
        <w:jc w:val="both"/>
        <w:rPr>
          <w:rFonts w:eastAsia="Times New Roman"/>
          <w:b w:val="0"/>
          <w:noProof/>
          <w:color w:val="000000" w:themeColor="text1"/>
          <w:sz w:val="24"/>
          <w:szCs w:val="24"/>
          <w:lang w:val="en-GB"/>
        </w:rPr>
        <w:sectPr w:rsidR="00F14B5D" w:rsidRPr="001961AA" w:rsidSect="00F14B5D">
          <w:headerReference w:type="even" r:id="rId270"/>
          <w:headerReference w:type="default" r:id="rId271"/>
          <w:footerReference w:type="even" r:id="rId272"/>
          <w:footerReference w:type="default" r:id="rId273"/>
          <w:headerReference w:type="first" r:id="rId274"/>
          <w:footerReference w:type="first" r:id="rId275"/>
          <w:pgSz w:w="11906" w:h="16838"/>
          <w:pgMar w:top="1417" w:right="1417" w:bottom="1417" w:left="1417" w:header="708" w:footer="708" w:gutter="0"/>
          <w:cols w:space="708"/>
          <w:docGrid w:linePitch="360"/>
        </w:sectPr>
      </w:pPr>
      <w:r w:rsidRPr="001961AA">
        <w:rPr>
          <w:b w:val="0"/>
          <w:noProof/>
          <w:color w:val="000000" w:themeColor="text1"/>
          <w:sz w:val="24"/>
          <w:lang w:val="en-GB"/>
        </w:rPr>
        <w:t>This investment consists in the development of a hydrogen transport network, with primary focus on the main industrial clusters of Flanders (Antwerp, Ghent), Wallonia (Hainaut, Liège) and Brussels. The projects to be implemented shall be determined on the basis of a validation of market needs, and shall form part of a planned wider cross-border Important Project of Common European Interest (“IPCEI”) on hydrogen. The implementation of the measure shall be completed by 30 June 2026.</w:t>
      </w:r>
    </w:p>
    <w:p w14:paraId="6AD79E60" w14:textId="2D8E4E7C" w:rsidR="008B3268" w:rsidRPr="001961AA" w:rsidRDefault="00F14B5D" w:rsidP="00BA7609">
      <w:pPr>
        <w:pStyle w:val="Jalonsetcibles"/>
        <w:spacing w:before="120" w:after="120" w:line="240" w:lineRule="auto"/>
        <w:jc w:val="both"/>
        <w:rPr>
          <w:rFonts w:eastAsia="Times New Roman"/>
          <w:b w:val="0"/>
          <w:noProof/>
          <w:color w:val="000000" w:themeColor="text1"/>
          <w:sz w:val="24"/>
          <w:szCs w:val="24"/>
          <w:lang w:val="en-GB"/>
        </w:rPr>
      </w:pPr>
      <w:r w:rsidRPr="001961AA">
        <w:rPr>
          <w:noProof/>
          <w:color w:val="000000" w:themeColor="text1"/>
          <w:sz w:val="24"/>
          <w:u w:val="single"/>
          <w:lang w:val="en-GB"/>
        </w:rPr>
        <w:t>T.4. Milestones, targets, indicators, and timetable for monitoring and implementation for the loan</w:t>
      </w:r>
    </w:p>
    <w:tbl>
      <w:tblPr>
        <w:tblW w:w="13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418"/>
        <w:gridCol w:w="709"/>
        <w:gridCol w:w="1417"/>
        <w:gridCol w:w="1276"/>
        <w:gridCol w:w="992"/>
        <w:gridCol w:w="709"/>
        <w:gridCol w:w="850"/>
        <w:gridCol w:w="709"/>
        <w:gridCol w:w="709"/>
        <w:gridCol w:w="4642"/>
      </w:tblGrid>
      <w:tr w:rsidR="006A41D9" w:rsidRPr="001961AA" w14:paraId="0F7A8410" w14:textId="77777777" w:rsidTr="42D61C8E">
        <w:trPr>
          <w:trHeight w:val="915"/>
          <w:tblHeader/>
        </w:trPr>
        <w:tc>
          <w:tcPr>
            <w:tcW w:w="562" w:type="dxa"/>
            <w:vMerge w:val="restart"/>
            <w:shd w:val="clear" w:color="auto" w:fill="BDD7EE"/>
            <w:vAlign w:val="center"/>
          </w:tcPr>
          <w:p w14:paraId="02315136" w14:textId="7F1981F3" w:rsidR="006A41D9" w:rsidRPr="001961AA" w:rsidRDefault="006A41D9">
            <w:pPr>
              <w:spacing w:after="0" w:line="240" w:lineRule="auto"/>
              <w:jc w:val="center"/>
              <w:rPr>
                <w:rFonts w:ascii="Times New Roman" w:hAnsi="Times New Roman" w:cs="Times New Roman"/>
                <w:noProof/>
                <w:color w:val="006100"/>
                <w:sz w:val="20"/>
                <w:szCs w:val="20"/>
                <w:lang w:val="en-GB"/>
              </w:rPr>
            </w:pPr>
            <w:r w:rsidRPr="001961AA">
              <w:rPr>
                <w:rFonts w:ascii="Times New Roman" w:hAnsi="Times New Roman"/>
                <w:b/>
                <w:noProof/>
                <w:sz w:val="20"/>
                <w:lang w:val="en-GB"/>
              </w:rPr>
              <w:t>Seq Nb.</w:t>
            </w:r>
          </w:p>
        </w:tc>
        <w:tc>
          <w:tcPr>
            <w:tcW w:w="1418" w:type="dxa"/>
            <w:vMerge w:val="restart"/>
            <w:shd w:val="clear" w:color="auto" w:fill="BDD7EE"/>
            <w:vAlign w:val="center"/>
          </w:tcPr>
          <w:p w14:paraId="39053EEA" w14:textId="77777777" w:rsidR="006A41D9" w:rsidRPr="001961AA" w:rsidRDefault="006A41D9">
            <w:pPr>
              <w:spacing w:after="0" w:line="240" w:lineRule="auto"/>
              <w:jc w:val="center"/>
              <w:rPr>
                <w:rFonts w:ascii="Times New Roman" w:hAnsi="Times New Roman" w:cs="Times New Roman"/>
                <w:noProof/>
                <w:color w:val="006100"/>
                <w:sz w:val="20"/>
                <w:szCs w:val="20"/>
                <w:lang w:val="en-GB"/>
              </w:rPr>
            </w:pPr>
            <w:r w:rsidRPr="001961AA">
              <w:rPr>
                <w:rFonts w:ascii="Times New Roman" w:hAnsi="Times New Roman"/>
                <w:b/>
                <w:noProof/>
                <w:sz w:val="20"/>
                <w:lang w:val="en-GB"/>
              </w:rPr>
              <w:t>Related Measure (Reform or Investment)</w:t>
            </w:r>
          </w:p>
        </w:tc>
        <w:tc>
          <w:tcPr>
            <w:tcW w:w="709" w:type="dxa"/>
            <w:vMerge w:val="restart"/>
            <w:shd w:val="clear" w:color="auto" w:fill="BDD7EE"/>
            <w:vAlign w:val="center"/>
          </w:tcPr>
          <w:p w14:paraId="194B56A1" w14:textId="77777777" w:rsidR="006A41D9" w:rsidRPr="001961AA" w:rsidRDefault="006A41D9">
            <w:pPr>
              <w:spacing w:after="0" w:line="240" w:lineRule="auto"/>
              <w:jc w:val="center"/>
              <w:rPr>
                <w:rFonts w:ascii="Times New Roman" w:hAnsi="Times New Roman" w:cs="Times New Roman"/>
                <w:noProof/>
                <w:color w:val="006100"/>
                <w:sz w:val="20"/>
                <w:szCs w:val="20"/>
                <w:lang w:val="en-GB"/>
              </w:rPr>
            </w:pPr>
            <w:r w:rsidRPr="001961AA">
              <w:rPr>
                <w:rFonts w:ascii="Times New Roman" w:hAnsi="Times New Roman"/>
                <w:b/>
                <w:noProof/>
                <w:sz w:val="20"/>
                <w:lang w:val="en-GB"/>
              </w:rPr>
              <w:t>M/T</w:t>
            </w:r>
          </w:p>
        </w:tc>
        <w:tc>
          <w:tcPr>
            <w:tcW w:w="1417" w:type="dxa"/>
            <w:vMerge w:val="restart"/>
            <w:shd w:val="clear" w:color="auto" w:fill="BDD7EE"/>
            <w:vAlign w:val="center"/>
          </w:tcPr>
          <w:p w14:paraId="7A470AC5" w14:textId="77777777" w:rsidR="006A41D9" w:rsidRPr="001961AA" w:rsidRDefault="006A41D9">
            <w:pPr>
              <w:spacing w:after="0" w:line="240" w:lineRule="auto"/>
              <w:jc w:val="center"/>
              <w:rPr>
                <w:rFonts w:ascii="Times New Roman" w:hAnsi="Times New Roman" w:cs="Times New Roman"/>
                <w:noProof/>
                <w:color w:val="006100"/>
                <w:sz w:val="20"/>
                <w:szCs w:val="20"/>
                <w:lang w:val="en-GB"/>
              </w:rPr>
            </w:pPr>
            <w:r w:rsidRPr="001961AA">
              <w:rPr>
                <w:rFonts w:ascii="Times New Roman" w:hAnsi="Times New Roman"/>
                <w:b/>
                <w:noProof/>
                <w:sz w:val="20"/>
                <w:lang w:val="en-GB"/>
              </w:rPr>
              <w:t>Name</w:t>
            </w:r>
          </w:p>
        </w:tc>
        <w:tc>
          <w:tcPr>
            <w:tcW w:w="1276" w:type="dxa"/>
            <w:vMerge w:val="restart"/>
            <w:shd w:val="clear" w:color="auto" w:fill="BDD7EE"/>
            <w:vAlign w:val="center"/>
          </w:tcPr>
          <w:p w14:paraId="12750ED2" w14:textId="77777777" w:rsidR="006A41D9" w:rsidRPr="001961AA" w:rsidRDefault="006A41D9">
            <w:pPr>
              <w:spacing w:after="0" w:line="240" w:lineRule="auto"/>
              <w:jc w:val="center"/>
              <w:rPr>
                <w:rFonts w:ascii="Times New Roman" w:hAnsi="Times New Roman" w:cs="Times New Roman"/>
                <w:noProof/>
                <w:color w:val="006100"/>
                <w:sz w:val="20"/>
                <w:szCs w:val="20"/>
                <w:lang w:val="en-GB"/>
              </w:rPr>
            </w:pPr>
            <w:r w:rsidRPr="001961AA">
              <w:rPr>
                <w:rFonts w:ascii="Times New Roman" w:hAnsi="Times New Roman"/>
                <w:b/>
                <w:noProof/>
                <w:sz w:val="20"/>
                <w:lang w:val="en-GB"/>
              </w:rPr>
              <w:t xml:space="preserve">Qualitative indicators </w:t>
            </w:r>
            <w:r w:rsidRPr="001961AA">
              <w:rPr>
                <w:noProof/>
                <w:lang w:val="en-GB"/>
              </w:rPr>
              <w:t xml:space="preserve"> </w:t>
            </w:r>
            <w:r w:rsidRPr="001961AA">
              <w:rPr>
                <w:noProof/>
                <w:lang w:val="en-GB"/>
              </w:rPr>
              <w:br/>
            </w:r>
            <w:r w:rsidRPr="001961AA">
              <w:rPr>
                <w:rFonts w:ascii="Times New Roman" w:hAnsi="Times New Roman"/>
                <w:b/>
                <w:noProof/>
                <w:sz w:val="20"/>
                <w:lang w:val="en-GB"/>
              </w:rPr>
              <w:t>(for milestones)</w:t>
            </w:r>
          </w:p>
        </w:tc>
        <w:tc>
          <w:tcPr>
            <w:tcW w:w="2551" w:type="dxa"/>
            <w:gridSpan w:val="3"/>
            <w:shd w:val="clear" w:color="auto" w:fill="BDD7EE"/>
            <w:vAlign w:val="center"/>
          </w:tcPr>
          <w:p w14:paraId="2FC64D74" w14:textId="77777777" w:rsidR="006A41D9" w:rsidRPr="001961AA" w:rsidRDefault="006A41D9">
            <w:pPr>
              <w:spacing w:after="0" w:line="240" w:lineRule="auto"/>
              <w:jc w:val="center"/>
              <w:rPr>
                <w:rFonts w:ascii="Times New Roman" w:eastAsia="Times New Roman" w:hAnsi="Times New Roman" w:cs="Times New Roman"/>
                <w:noProof/>
                <w:color w:val="006100"/>
                <w:sz w:val="20"/>
                <w:szCs w:val="20"/>
                <w:lang w:val="en-GB"/>
              </w:rPr>
            </w:pPr>
            <w:r w:rsidRPr="001961AA">
              <w:rPr>
                <w:rFonts w:ascii="Times New Roman" w:hAnsi="Times New Roman"/>
                <w:b/>
                <w:noProof/>
                <w:sz w:val="20"/>
                <w:lang w:val="en-GB"/>
              </w:rPr>
              <w:t xml:space="preserve">Quantitative indicators </w:t>
            </w:r>
            <w:r w:rsidRPr="001961AA">
              <w:rPr>
                <w:noProof/>
                <w:lang w:val="en-GB"/>
              </w:rPr>
              <w:t xml:space="preserve"> </w:t>
            </w:r>
            <w:r w:rsidRPr="001961AA">
              <w:rPr>
                <w:noProof/>
                <w:lang w:val="en-GB"/>
              </w:rPr>
              <w:br/>
            </w:r>
            <w:r w:rsidRPr="001961AA">
              <w:rPr>
                <w:rFonts w:ascii="Times New Roman" w:hAnsi="Times New Roman"/>
                <w:b/>
                <w:noProof/>
                <w:sz w:val="20"/>
                <w:lang w:val="en-GB"/>
              </w:rPr>
              <w:t>(for targets)</w:t>
            </w:r>
          </w:p>
        </w:tc>
        <w:tc>
          <w:tcPr>
            <w:tcW w:w="1418" w:type="dxa"/>
            <w:gridSpan w:val="2"/>
            <w:shd w:val="clear" w:color="auto" w:fill="BDD7EE"/>
            <w:vAlign w:val="center"/>
          </w:tcPr>
          <w:p w14:paraId="659639B3" w14:textId="77777777" w:rsidR="006A41D9" w:rsidRPr="001961AA" w:rsidRDefault="006A41D9">
            <w:pPr>
              <w:jc w:val="center"/>
              <w:rPr>
                <w:rFonts w:ascii="Times New Roman" w:eastAsia="Times New Roman" w:hAnsi="Times New Roman" w:cs="Times New Roman"/>
                <w:b/>
                <w:noProof/>
                <w:sz w:val="20"/>
                <w:szCs w:val="20"/>
                <w:lang w:val="en-GB"/>
              </w:rPr>
            </w:pPr>
            <w:r w:rsidRPr="001961AA">
              <w:rPr>
                <w:rFonts w:ascii="Times New Roman" w:hAnsi="Times New Roman"/>
                <w:b/>
                <w:noProof/>
                <w:sz w:val="20"/>
                <w:lang w:val="en-GB"/>
              </w:rPr>
              <w:t>Indicative timeline for completion</w:t>
            </w:r>
          </w:p>
        </w:tc>
        <w:tc>
          <w:tcPr>
            <w:tcW w:w="4642" w:type="dxa"/>
            <w:vMerge w:val="restart"/>
            <w:shd w:val="clear" w:color="auto" w:fill="BDD7EE"/>
            <w:vAlign w:val="center"/>
          </w:tcPr>
          <w:p w14:paraId="4F306AB5" w14:textId="77777777" w:rsidR="006A41D9" w:rsidRPr="001961AA" w:rsidRDefault="006A41D9">
            <w:pPr>
              <w:jc w:val="center"/>
              <w:rPr>
                <w:rFonts w:ascii="Times New Roman" w:eastAsia="Times New Roman" w:hAnsi="Times New Roman" w:cs="Times New Roman"/>
                <w:b/>
                <w:noProof/>
                <w:sz w:val="20"/>
                <w:szCs w:val="20"/>
                <w:lang w:val="en-GB"/>
              </w:rPr>
            </w:pPr>
            <w:r w:rsidRPr="001961AA">
              <w:rPr>
                <w:rFonts w:ascii="Times New Roman" w:hAnsi="Times New Roman"/>
                <w:b/>
                <w:noProof/>
                <w:sz w:val="20"/>
                <w:lang w:val="en-GB"/>
              </w:rPr>
              <w:t>Description of each milestone and target</w:t>
            </w:r>
          </w:p>
        </w:tc>
      </w:tr>
      <w:tr w:rsidR="006A41D9" w:rsidRPr="001961AA" w14:paraId="11952FF7" w14:textId="77777777" w:rsidTr="42D61C8E">
        <w:trPr>
          <w:trHeight w:val="154"/>
        </w:trPr>
        <w:tc>
          <w:tcPr>
            <w:tcW w:w="562" w:type="dxa"/>
            <w:vMerge/>
          </w:tcPr>
          <w:p w14:paraId="6A291946" w14:textId="77777777" w:rsidR="006A41D9" w:rsidRPr="001961AA" w:rsidRDefault="006A41D9">
            <w:pPr>
              <w:rPr>
                <w:rFonts w:ascii="Times New Roman" w:hAnsi="Times New Roman" w:cs="Times New Roman"/>
                <w:noProof/>
                <w:lang w:val="en-GB"/>
              </w:rPr>
            </w:pPr>
          </w:p>
        </w:tc>
        <w:tc>
          <w:tcPr>
            <w:tcW w:w="1418" w:type="dxa"/>
            <w:vMerge/>
          </w:tcPr>
          <w:p w14:paraId="45BB8CDD" w14:textId="77777777" w:rsidR="006A41D9" w:rsidRPr="001961AA" w:rsidRDefault="006A41D9">
            <w:pPr>
              <w:rPr>
                <w:rFonts w:ascii="Times New Roman" w:hAnsi="Times New Roman" w:cs="Times New Roman"/>
                <w:noProof/>
                <w:lang w:val="en-GB"/>
              </w:rPr>
            </w:pPr>
          </w:p>
        </w:tc>
        <w:tc>
          <w:tcPr>
            <w:tcW w:w="709" w:type="dxa"/>
            <w:vMerge/>
          </w:tcPr>
          <w:p w14:paraId="4717CC7B" w14:textId="77777777" w:rsidR="006A41D9" w:rsidRPr="001961AA" w:rsidRDefault="006A41D9">
            <w:pPr>
              <w:rPr>
                <w:rFonts w:ascii="Times New Roman" w:hAnsi="Times New Roman" w:cs="Times New Roman"/>
                <w:noProof/>
                <w:lang w:val="en-GB"/>
              </w:rPr>
            </w:pPr>
          </w:p>
        </w:tc>
        <w:tc>
          <w:tcPr>
            <w:tcW w:w="1417" w:type="dxa"/>
            <w:vMerge/>
          </w:tcPr>
          <w:p w14:paraId="770C6E7C" w14:textId="77777777" w:rsidR="006A41D9" w:rsidRPr="001961AA" w:rsidRDefault="006A41D9">
            <w:pPr>
              <w:rPr>
                <w:rFonts w:ascii="Times New Roman" w:hAnsi="Times New Roman" w:cs="Times New Roman"/>
                <w:noProof/>
                <w:lang w:val="en-GB"/>
              </w:rPr>
            </w:pPr>
          </w:p>
        </w:tc>
        <w:tc>
          <w:tcPr>
            <w:tcW w:w="1276" w:type="dxa"/>
            <w:vMerge/>
            <w:vAlign w:val="center"/>
          </w:tcPr>
          <w:p w14:paraId="32F78927" w14:textId="77777777" w:rsidR="006A41D9" w:rsidRPr="001961AA" w:rsidRDefault="006A41D9">
            <w:pPr>
              <w:spacing w:after="0" w:line="240" w:lineRule="auto"/>
              <w:rPr>
                <w:rFonts w:ascii="Times New Roman" w:hAnsi="Times New Roman" w:cs="Times New Roman"/>
                <w:noProof/>
                <w:color w:val="006100"/>
                <w:lang w:val="en-GB"/>
              </w:rPr>
            </w:pPr>
          </w:p>
        </w:tc>
        <w:tc>
          <w:tcPr>
            <w:tcW w:w="992" w:type="dxa"/>
            <w:shd w:val="clear" w:color="auto" w:fill="BDD7EE"/>
            <w:vAlign w:val="center"/>
          </w:tcPr>
          <w:p w14:paraId="5D556B9E" w14:textId="77777777" w:rsidR="006A41D9" w:rsidRPr="001961AA" w:rsidRDefault="006A41D9">
            <w:pPr>
              <w:spacing w:after="0" w:line="240" w:lineRule="auto"/>
              <w:jc w:val="center"/>
              <w:rPr>
                <w:rFonts w:ascii="Times New Roman" w:eastAsia="Times New Roman" w:hAnsi="Times New Roman" w:cs="Times New Roman"/>
                <w:noProof/>
                <w:color w:val="006100"/>
                <w:sz w:val="20"/>
                <w:szCs w:val="20"/>
                <w:lang w:val="en-GB"/>
              </w:rPr>
            </w:pPr>
            <w:r w:rsidRPr="001961AA">
              <w:rPr>
                <w:rFonts w:ascii="Times New Roman" w:hAnsi="Times New Roman"/>
                <w:b/>
                <w:noProof/>
                <w:sz w:val="20"/>
                <w:lang w:val="en-GB"/>
              </w:rPr>
              <w:t>Unit of measure</w:t>
            </w:r>
          </w:p>
        </w:tc>
        <w:tc>
          <w:tcPr>
            <w:tcW w:w="709" w:type="dxa"/>
            <w:shd w:val="clear" w:color="auto" w:fill="BDD7EE"/>
            <w:vAlign w:val="center"/>
          </w:tcPr>
          <w:p w14:paraId="310E6D0F" w14:textId="77777777" w:rsidR="006A41D9" w:rsidRPr="001961AA" w:rsidRDefault="006A41D9">
            <w:pPr>
              <w:spacing w:after="0" w:line="240" w:lineRule="auto"/>
              <w:jc w:val="center"/>
              <w:rPr>
                <w:rFonts w:ascii="Times New Roman" w:eastAsia="Times New Roman" w:hAnsi="Times New Roman" w:cs="Times New Roman"/>
                <w:noProof/>
                <w:color w:val="006100"/>
                <w:sz w:val="20"/>
                <w:szCs w:val="20"/>
                <w:lang w:val="en-GB"/>
              </w:rPr>
            </w:pPr>
            <w:r w:rsidRPr="001961AA">
              <w:rPr>
                <w:rFonts w:ascii="Times New Roman" w:hAnsi="Times New Roman"/>
                <w:b/>
                <w:noProof/>
                <w:sz w:val="20"/>
                <w:lang w:val="en-GB"/>
              </w:rPr>
              <w:t>Baseline</w:t>
            </w:r>
          </w:p>
        </w:tc>
        <w:tc>
          <w:tcPr>
            <w:tcW w:w="850" w:type="dxa"/>
            <w:shd w:val="clear" w:color="auto" w:fill="BDD7EE"/>
            <w:vAlign w:val="center"/>
          </w:tcPr>
          <w:p w14:paraId="117A9811" w14:textId="77777777" w:rsidR="006A41D9" w:rsidRPr="001961AA" w:rsidRDefault="006A41D9">
            <w:pPr>
              <w:spacing w:after="0" w:line="240" w:lineRule="auto"/>
              <w:jc w:val="center"/>
              <w:rPr>
                <w:rFonts w:ascii="Times New Roman" w:eastAsia="Times New Roman" w:hAnsi="Times New Roman" w:cs="Times New Roman"/>
                <w:b/>
                <w:noProof/>
                <w:sz w:val="20"/>
                <w:szCs w:val="20"/>
                <w:lang w:val="en-GB"/>
              </w:rPr>
            </w:pPr>
            <w:r w:rsidRPr="001961AA">
              <w:rPr>
                <w:rFonts w:ascii="Times New Roman" w:hAnsi="Times New Roman"/>
                <w:b/>
                <w:noProof/>
                <w:sz w:val="20"/>
                <w:lang w:val="en-GB"/>
              </w:rPr>
              <w:t>Goal</w:t>
            </w:r>
          </w:p>
        </w:tc>
        <w:tc>
          <w:tcPr>
            <w:tcW w:w="709" w:type="dxa"/>
            <w:shd w:val="clear" w:color="auto" w:fill="BDD7EE"/>
            <w:vAlign w:val="center"/>
          </w:tcPr>
          <w:p w14:paraId="27287FD2" w14:textId="77777777" w:rsidR="006A41D9" w:rsidRPr="001961AA" w:rsidRDefault="006A41D9">
            <w:pPr>
              <w:spacing w:after="0" w:line="240" w:lineRule="auto"/>
              <w:jc w:val="center"/>
              <w:rPr>
                <w:rFonts w:ascii="Times New Roman" w:eastAsia="Times New Roman" w:hAnsi="Times New Roman" w:cs="Times New Roman"/>
                <w:noProof/>
                <w:color w:val="006100"/>
                <w:sz w:val="20"/>
                <w:szCs w:val="20"/>
                <w:lang w:val="en-GB"/>
              </w:rPr>
            </w:pPr>
            <w:r w:rsidRPr="001961AA">
              <w:rPr>
                <w:rFonts w:ascii="Times New Roman" w:hAnsi="Times New Roman"/>
                <w:b/>
                <w:noProof/>
                <w:sz w:val="20"/>
                <w:lang w:val="en-GB"/>
              </w:rPr>
              <w:t>Quarter</w:t>
            </w:r>
          </w:p>
        </w:tc>
        <w:tc>
          <w:tcPr>
            <w:tcW w:w="709" w:type="dxa"/>
            <w:shd w:val="clear" w:color="auto" w:fill="BDD7EE"/>
            <w:vAlign w:val="center"/>
          </w:tcPr>
          <w:p w14:paraId="57BC653E" w14:textId="77777777" w:rsidR="006A41D9" w:rsidRPr="001961AA" w:rsidRDefault="006A41D9">
            <w:pPr>
              <w:spacing w:after="0" w:line="240" w:lineRule="auto"/>
              <w:jc w:val="center"/>
              <w:rPr>
                <w:rFonts w:ascii="Times New Roman" w:hAnsi="Times New Roman" w:cs="Times New Roman"/>
                <w:b/>
                <w:noProof/>
                <w:color w:val="006100"/>
                <w:sz w:val="20"/>
                <w:szCs w:val="20"/>
                <w:lang w:val="en-GB"/>
              </w:rPr>
            </w:pPr>
            <w:r w:rsidRPr="001961AA">
              <w:rPr>
                <w:rFonts w:ascii="Times New Roman" w:hAnsi="Times New Roman"/>
                <w:b/>
                <w:noProof/>
                <w:sz w:val="20"/>
                <w:lang w:val="en-GB"/>
              </w:rPr>
              <w:t>Year</w:t>
            </w:r>
          </w:p>
        </w:tc>
        <w:tc>
          <w:tcPr>
            <w:tcW w:w="4642" w:type="dxa"/>
            <w:vMerge/>
            <w:vAlign w:val="center"/>
          </w:tcPr>
          <w:p w14:paraId="7184E013" w14:textId="77777777" w:rsidR="006A41D9" w:rsidRPr="001961AA" w:rsidRDefault="006A41D9">
            <w:pPr>
              <w:rPr>
                <w:rFonts w:ascii="Times New Roman" w:eastAsia="Times New Roman" w:hAnsi="Times New Roman" w:cs="Times New Roman"/>
                <w:b/>
                <w:noProof/>
                <w:lang w:val="en-GB" w:eastAsia="en-GB"/>
              </w:rPr>
            </w:pPr>
          </w:p>
        </w:tc>
      </w:tr>
      <w:tr w:rsidR="006A41D9" w:rsidRPr="001961AA" w14:paraId="00038EE2" w14:textId="77777777" w:rsidTr="42D61C8E">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C6EFCE"/>
            <w:vAlign w:val="center"/>
          </w:tcPr>
          <w:p w14:paraId="235DE256" w14:textId="77777777" w:rsidR="006A41D9" w:rsidRPr="001961AA" w:rsidRDefault="006A41D9">
            <w:pPr>
              <w:spacing w:after="0" w:line="240" w:lineRule="auto"/>
              <w:jc w:val="center"/>
              <w:rPr>
                <w:rFonts w:ascii="Times New Roman" w:hAnsi="Times New Roman" w:cs="Times New Roman"/>
                <w:noProof/>
                <w:color w:val="006100"/>
                <w:lang w:val="en-GB"/>
              </w:rPr>
            </w:pPr>
            <w:r w:rsidRPr="001961AA">
              <w:rPr>
                <w:rFonts w:ascii="Times New Roman" w:hAnsi="Times New Roman"/>
                <w:noProof/>
                <w:color w:val="006100"/>
                <w:lang w:val="en-GB"/>
              </w:rPr>
              <w:t>226</w:t>
            </w:r>
          </w:p>
        </w:tc>
        <w:tc>
          <w:tcPr>
            <w:tcW w:w="1418" w:type="dxa"/>
            <w:tcBorders>
              <w:top w:val="single" w:sz="4" w:space="0" w:color="auto"/>
              <w:left w:val="single" w:sz="4" w:space="0" w:color="auto"/>
              <w:bottom w:val="single" w:sz="4" w:space="0" w:color="auto"/>
              <w:right w:val="single" w:sz="4" w:space="0" w:color="auto"/>
            </w:tcBorders>
            <w:shd w:val="clear" w:color="auto" w:fill="C6EFCE"/>
            <w:vAlign w:val="center"/>
          </w:tcPr>
          <w:p w14:paraId="63C0BB48" w14:textId="77777777" w:rsidR="006A41D9" w:rsidRPr="001961AA" w:rsidRDefault="006A41D9" w:rsidP="00BD6DD1">
            <w:pPr>
              <w:spacing w:after="0" w:line="240" w:lineRule="auto"/>
              <w:rPr>
                <w:rFonts w:ascii="Times New Roman" w:hAnsi="Times New Roman" w:cs="Times New Roman"/>
                <w:noProof/>
                <w:color w:val="006100"/>
                <w:lang w:val="en-GB"/>
              </w:rPr>
            </w:pPr>
            <w:r w:rsidRPr="001961AA">
              <w:rPr>
                <w:rFonts w:ascii="Times New Roman" w:hAnsi="Times New Roman"/>
                <w:noProof/>
                <w:color w:val="006100"/>
                <w:lang w:val="en-GB"/>
              </w:rPr>
              <w:t>Backbone for H2 (I-7.15)</w:t>
            </w:r>
          </w:p>
        </w:tc>
        <w:tc>
          <w:tcPr>
            <w:tcW w:w="709" w:type="dxa"/>
            <w:tcBorders>
              <w:top w:val="single" w:sz="4" w:space="0" w:color="auto"/>
              <w:left w:val="single" w:sz="4" w:space="0" w:color="auto"/>
              <w:bottom w:val="single" w:sz="4" w:space="0" w:color="auto"/>
              <w:right w:val="single" w:sz="4" w:space="0" w:color="auto"/>
            </w:tcBorders>
            <w:shd w:val="clear" w:color="auto" w:fill="C6EFCE"/>
            <w:vAlign w:val="center"/>
          </w:tcPr>
          <w:p w14:paraId="73DDA247" w14:textId="77777777" w:rsidR="006A41D9" w:rsidRPr="001961AA" w:rsidRDefault="006A41D9">
            <w:pPr>
              <w:spacing w:after="0" w:line="240" w:lineRule="auto"/>
              <w:rPr>
                <w:rFonts w:ascii="Times New Roman" w:hAnsi="Times New Roman" w:cs="Times New Roman"/>
                <w:noProof/>
                <w:color w:val="006100"/>
                <w:lang w:val="en-GB"/>
              </w:rPr>
            </w:pPr>
            <w:r w:rsidRPr="001961AA">
              <w:rPr>
                <w:rFonts w:ascii="Times New Roman" w:hAnsi="Times New Roman"/>
                <w:noProof/>
                <w:color w:val="006100"/>
                <w:lang w:val="en-GB"/>
              </w:rPr>
              <w:t>M</w:t>
            </w:r>
          </w:p>
        </w:tc>
        <w:tc>
          <w:tcPr>
            <w:tcW w:w="1417" w:type="dxa"/>
            <w:tcBorders>
              <w:top w:val="single" w:sz="4" w:space="0" w:color="auto"/>
              <w:left w:val="single" w:sz="4" w:space="0" w:color="auto"/>
              <w:bottom w:val="single" w:sz="4" w:space="0" w:color="auto"/>
              <w:right w:val="single" w:sz="4" w:space="0" w:color="auto"/>
            </w:tcBorders>
            <w:shd w:val="clear" w:color="auto" w:fill="C6EFCE"/>
            <w:vAlign w:val="center"/>
          </w:tcPr>
          <w:p w14:paraId="18A777EE" w14:textId="77777777" w:rsidR="006A41D9" w:rsidRPr="001961AA" w:rsidRDefault="006A41D9">
            <w:pPr>
              <w:spacing w:after="0" w:line="240" w:lineRule="auto"/>
              <w:rPr>
                <w:rFonts w:ascii="Times New Roman" w:hAnsi="Times New Roman" w:cs="Times New Roman"/>
                <w:noProof/>
                <w:color w:val="006100"/>
                <w:lang w:val="en-GB"/>
              </w:rPr>
            </w:pPr>
            <w:r w:rsidRPr="001961AA">
              <w:rPr>
                <w:rFonts w:ascii="Times New Roman" w:hAnsi="Times New Roman"/>
                <w:noProof/>
                <w:color w:val="006100"/>
                <w:lang w:val="en-GB"/>
              </w:rPr>
              <w:t>Adoption of the investment plan for H2 backbone infrastructure</w:t>
            </w:r>
          </w:p>
        </w:tc>
        <w:tc>
          <w:tcPr>
            <w:tcW w:w="1276" w:type="dxa"/>
            <w:tcBorders>
              <w:top w:val="single" w:sz="4" w:space="0" w:color="auto"/>
              <w:left w:val="single" w:sz="4" w:space="0" w:color="auto"/>
              <w:bottom w:val="single" w:sz="4" w:space="0" w:color="auto"/>
              <w:right w:val="single" w:sz="4" w:space="0" w:color="auto"/>
            </w:tcBorders>
            <w:shd w:val="clear" w:color="auto" w:fill="C6EFCE"/>
            <w:vAlign w:val="center"/>
          </w:tcPr>
          <w:p w14:paraId="6BB09BEE" w14:textId="73855E13" w:rsidR="006A41D9" w:rsidRPr="001961AA" w:rsidRDefault="006A41D9">
            <w:pPr>
              <w:spacing w:after="0" w:line="240" w:lineRule="auto"/>
              <w:rPr>
                <w:rFonts w:ascii="Times New Roman" w:hAnsi="Times New Roman" w:cs="Times New Roman"/>
                <w:noProof/>
                <w:color w:val="006100"/>
                <w:lang w:val="en-GB"/>
              </w:rPr>
            </w:pPr>
            <w:r w:rsidRPr="001961AA">
              <w:rPr>
                <w:rFonts w:ascii="Times New Roman" w:hAnsi="Times New Roman"/>
                <w:noProof/>
                <w:color w:val="006100"/>
                <w:lang w:val="en-GB"/>
              </w:rPr>
              <w:t>Adoption of the investment plan “Backbone for H2” by the Federal government</w:t>
            </w:r>
          </w:p>
        </w:tc>
        <w:tc>
          <w:tcPr>
            <w:tcW w:w="992" w:type="dxa"/>
            <w:tcBorders>
              <w:top w:val="single" w:sz="4" w:space="0" w:color="auto"/>
              <w:left w:val="single" w:sz="4" w:space="0" w:color="auto"/>
              <w:bottom w:val="single" w:sz="4" w:space="0" w:color="auto"/>
              <w:right w:val="single" w:sz="4" w:space="0" w:color="auto"/>
            </w:tcBorders>
            <w:shd w:val="clear" w:color="auto" w:fill="C6EFCE"/>
            <w:vAlign w:val="center"/>
          </w:tcPr>
          <w:p w14:paraId="715AFBAF" w14:textId="77777777" w:rsidR="006A41D9" w:rsidRPr="001961AA" w:rsidRDefault="006A41D9">
            <w:pPr>
              <w:spacing w:after="0" w:line="240" w:lineRule="auto"/>
              <w:rPr>
                <w:rFonts w:ascii="Times New Roman" w:eastAsia="Times New Roman" w:hAnsi="Times New Roman" w:cs="Times New Roman"/>
                <w:noProof/>
                <w:color w:val="006100"/>
                <w:lang w:val="en-GB" w:eastAsia="en-GB"/>
              </w:rPr>
            </w:pPr>
          </w:p>
        </w:tc>
        <w:tc>
          <w:tcPr>
            <w:tcW w:w="709" w:type="dxa"/>
            <w:tcBorders>
              <w:top w:val="single" w:sz="4" w:space="0" w:color="auto"/>
              <w:left w:val="single" w:sz="4" w:space="0" w:color="auto"/>
              <w:bottom w:val="single" w:sz="4" w:space="0" w:color="auto"/>
              <w:right w:val="single" w:sz="4" w:space="0" w:color="auto"/>
            </w:tcBorders>
            <w:shd w:val="clear" w:color="auto" w:fill="C6EFCE"/>
            <w:vAlign w:val="center"/>
          </w:tcPr>
          <w:p w14:paraId="4A765D16" w14:textId="77777777" w:rsidR="006A41D9" w:rsidRPr="001961AA" w:rsidRDefault="006A41D9">
            <w:pPr>
              <w:spacing w:after="0" w:line="240" w:lineRule="auto"/>
              <w:rPr>
                <w:rFonts w:ascii="Times New Roman" w:eastAsia="Times New Roman" w:hAnsi="Times New Roman" w:cs="Times New Roman"/>
                <w:noProof/>
                <w:color w:val="006100"/>
                <w:lang w:val="en-GB" w:eastAsia="en-GB"/>
              </w:rPr>
            </w:pPr>
          </w:p>
        </w:tc>
        <w:tc>
          <w:tcPr>
            <w:tcW w:w="850" w:type="dxa"/>
            <w:tcBorders>
              <w:top w:val="single" w:sz="4" w:space="0" w:color="auto"/>
              <w:left w:val="single" w:sz="4" w:space="0" w:color="auto"/>
              <w:bottom w:val="single" w:sz="4" w:space="0" w:color="auto"/>
              <w:right w:val="single" w:sz="4" w:space="0" w:color="auto"/>
            </w:tcBorders>
            <w:shd w:val="clear" w:color="auto" w:fill="C6EFCE"/>
            <w:vAlign w:val="center"/>
          </w:tcPr>
          <w:p w14:paraId="39DE0037" w14:textId="77777777" w:rsidR="006A41D9" w:rsidRPr="001961AA" w:rsidRDefault="006A41D9">
            <w:pPr>
              <w:spacing w:after="0" w:line="240" w:lineRule="auto"/>
              <w:rPr>
                <w:rFonts w:ascii="Times New Roman" w:eastAsia="Times New Roman" w:hAnsi="Times New Roman" w:cs="Times New Roman"/>
                <w:noProof/>
                <w:color w:val="006100"/>
                <w:lang w:val="en-GB" w:eastAsia="en-GB"/>
              </w:rPr>
            </w:pPr>
          </w:p>
        </w:tc>
        <w:tc>
          <w:tcPr>
            <w:tcW w:w="709" w:type="dxa"/>
            <w:tcBorders>
              <w:top w:val="single" w:sz="4" w:space="0" w:color="auto"/>
              <w:left w:val="single" w:sz="4" w:space="0" w:color="auto"/>
              <w:bottom w:val="single" w:sz="4" w:space="0" w:color="auto"/>
              <w:right w:val="single" w:sz="4" w:space="0" w:color="auto"/>
            </w:tcBorders>
            <w:shd w:val="clear" w:color="auto" w:fill="C6EFCE"/>
            <w:vAlign w:val="center"/>
          </w:tcPr>
          <w:p w14:paraId="14BB150D" w14:textId="77777777" w:rsidR="006A41D9" w:rsidRPr="001961AA" w:rsidRDefault="006A41D9">
            <w:pPr>
              <w:spacing w:after="0" w:line="240" w:lineRule="auto"/>
              <w:jc w:val="center"/>
              <w:rPr>
                <w:rFonts w:ascii="Times New Roman" w:hAnsi="Times New Roman" w:cs="Times New Roman"/>
                <w:noProof/>
                <w:color w:val="006100"/>
                <w:lang w:val="en-GB"/>
              </w:rPr>
            </w:pPr>
            <w:r w:rsidRPr="001961AA">
              <w:rPr>
                <w:rFonts w:ascii="Times New Roman" w:hAnsi="Times New Roman"/>
                <w:noProof/>
                <w:color w:val="006100"/>
                <w:lang w:val="en-GB"/>
              </w:rPr>
              <w:t>Q4</w:t>
            </w:r>
          </w:p>
        </w:tc>
        <w:tc>
          <w:tcPr>
            <w:tcW w:w="709" w:type="dxa"/>
            <w:tcBorders>
              <w:top w:val="single" w:sz="4" w:space="0" w:color="auto"/>
              <w:left w:val="single" w:sz="4" w:space="0" w:color="auto"/>
              <w:bottom w:val="single" w:sz="4" w:space="0" w:color="auto"/>
              <w:right w:val="single" w:sz="4" w:space="0" w:color="auto"/>
            </w:tcBorders>
            <w:shd w:val="clear" w:color="auto" w:fill="C6EFCE"/>
            <w:vAlign w:val="center"/>
          </w:tcPr>
          <w:p w14:paraId="682349BE" w14:textId="15EF6E45" w:rsidR="006A41D9" w:rsidRPr="001961AA" w:rsidRDefault="006A41D9">
            <w:pPr>
              <w:spacing w:after="0" w:line="240" w:lineRule="auto"/>
              <w:jc w:val="center"/>
              <w:rPr>
                <w:rFonts w:ascii="Times New Roman" w:hAnsi="Times New Roman" w:cs="Times New Roman"/>
                <w:noProof/>
                <w:color w:val="4472C4" w:themeColor="accent1"/>
                <w:lang w:val="en-GB"/>
              </w:rPr>
            </w:pPr>
            <w:r w:rsidRPr="001961AA">
              <w:rPr>
                <w:rFonts w:ascii="Times New Roman" w:hAnsi="Times New Roman"/>
                <w:noProof/>
                <w:color w:val="006100"/>
                <w:lang w:val="en-GB"/>
              </w:rPr>
              <w:t>2023</w:t>
            </w:r>
          </w:p>
        </w:tc>
        <w:tc>
          <w:tcPr>
            <w:tcW w:w="4642" w:type="dxa"/>
            <w:tcBorders>
              <w:top w:val="single" w:sz="4" w:space="0" w:color="auto"/>
              <w:left w:val="single" w:sz="4" w:space="0" w:color="auto"/>
              <w:bottom w:val="single" w:sz="4" w:space="0" w:color="auto"/>
              <w:right w:val="single" w:sz="4" w:space="0" w:color="auto"/>
            </w:tcBorders>
            <w:shd w:val="clear" w:color="auto" w:fill="C6EFCE"/>
            <w:vAlign w:val="center"/>
          </w:tcPr>
          <w:p w14:paraId="2CD0FCCE" w14:textId="77777777" w:rsidR="006A41D9" w:rsidRPr="001961AA" w:rsidRDefault="006A41D9">
            <w:pPr>
              <w:pStyle w:val="Default"/>
              <w:rPr>
                <w:rFonts w:eastAsia="Times New Roman"/>
                <w:noProof/>
                <w:color w:val="006100"/>
                <w:sz w:val="22"/>
                <w:szCs w:val="22"/>
                <w:lang w:val="en-GB"/>
              </w:rPr>
            </w:pPr>
            <w:r w:rsidRPr="001961AA">
              <w:rPr>
                <w:noProof/>
                <w:color w:val="006100"/>
                <w:sz w:val="22"/>
                <w:lang w:val="en-GB"/>
              </w:rPr>
              <w:t>Adoption by the Federal Government of the investment plan “Backbone for H2” to develop the first clusters for H2 backbone projects, after consultation with the competent regulatory body (CREG).</w:t>
            </w:r>
          </w:p>
          <w:p w14:paraId="687F2B32" w14:textId="77777777" w:rsidR="006A41D9" w:rsidRPr="001961AA" w:rsidRDefault="006A41D9">
            <w:pPr>
              <w:pStyle w:val="Default"/>
              <w:rPr>
                <w:rFonts w:eastAsia="Times New Roman"/>
                <w:noProof/>
                <w:color w:val="006100"/>
                <w:sz w:val="22"/>
                <w:szCs w:val="22"/>
                <w:lang w:val="en-GB"/>
              </w:rPr>
            </w:pPr>
            <w:r w:rsidRPr="001961AA">
              <w:rPr>
                <w:noProof/>
                <w:color w:val="006100"/>
                <w:sz w:val="22"/>
                <w:lang w:val="en-GB"/>
              </w:rPr>
              <w:t xml:space="preserve">The investment plan shall contain a proposed selection of projects, meeting the following conditions </w:t>
            </w:r>
            <w:r w:rsidRPr="001961AA">
              <w:rPr>
                <w:i/>
                <w:noProof/>
                <w:color w:val="006100"/>
                <w:sz w:val="22"/>
                <w:lang w:val="en-GB"/>
              </w:rPr>
              <w:t>(DNSH conditions)</w:t>
            </w:r>
            <w:r w:rsidRPr="001961AA">
              <w:rPr>
                <w:noProof/>
                <w:color w:val="006100"/>
                <w:sz w:val="22"/>
                <w:lang w:val="en-GB"/>
              </w:rPr>
              <w:t>:</w:t>
            </w:r>
          </w:p>
          <w:p w14:paraId="081E82AF" w14:textId="77777777" w:rsidR="00F630A5" w:rsidRPr="001961AA" w:rsidRDefault="006A41D9">
            <w:pPr>
              <w:pStyle w:val="Default"/>
              <w:rPr>
                <w:rFonts w:eastAsia="Times New Roman"/>
                <w:noProof/>
                <w:color w:val="006100"/>
                <w:sz w:val="22"/>
                <w:szCs w:val="22"/>
                <w:lang w:val="en-GB"/>
              </w:rPr>
            </w:pPr>
            <w:r w:rsidRPr="001961AA">
              <w:rPr>
                <w:noProof/>
                <w:color w:val="006100"/>
                <w:sz w:val="22"/>
                <w:lang w:val="en-GB"/>
              </w:rPr>
              <w:t>1. Construction or operation of new transport networks dedicated to hydrogen (within this point shall fall also the expansion of existing dedicated hydrogen pipelines and changes made to these pipelines to assure more connection points and an open access methodology);</w:t>
            </w:r>
          </w:p>
          <w:p w14:paraId="71A91E7D" w14:textId="1588179E" w:rsidR="006A41D9" w:rsidRPr="001961AA" w:rsidRDefault="006A41D9" w:rsidP="00BD6DD1">
            <w:pPr>
              <w:pStyle w:val="Default"/>
              <w:rPr>
                <w:rFonts w:eastAsia="Times New Roman"/>
                <w:noProof/>
                <w:color w:val="006100"/>
                <w:sz w:val="22"/>
                <w:szCs w:val="22"/>
                <w:lang w:val="en-GB"/>
              </w:rPr>
            </w:pPr>
            <w:r w:rsidRPr="001961AA">
              <w:rPr>
                <w:noProof/>
                <w:color w:val="006100"/>
                <w:sz w:val="22"/>
                <w:lang w:val="en-GB"/>
              </w:rPr>
              <w:t>2. Conversion/repurposing of existing natural gas networks to 100% hydrogen.</w:t>
            </w:r>
          </w:p>
        </w:tc>
      </w:tr>
      <w:tr w:rsidR="006A41D9" w:rsidRPr="001961AA" w14:paraId="00C1037A" w14:textId="77777777" w:rsidTr="42D61C8E">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C6EFCE"/>
            <w:vAlign w:val="center"/>
          </w:tcPr>
          <w:p w14:paraId="238D361E" w14:textId="77777777" w:rsidR="006A41D9" w:rsidRPr="001961AA" w:rsidRDefault="006A41D9">
            <w:pPr>
              <w:spacing w:after="0" w:line="240" w:lineRule="auto"/>
              <w:jc w:val="center"/>
              <w:rPr>
                <w:rFonts w:ascii="Times New Roman" w:hAnsi="Times New Roman" w:cs="Times New Roman"/>
                <w:noProof/>
                <w:color w:val="006100"/>
                <w:lang w:val="en-GB"/>
              </w:rPr>
            </w:pPr>
            <w:r w:rsidRPr="001961AA">
              <w:rPr>
                <w:rFonts w:ascii="Times New Roman" w:hAnsi="Times New Roman"/>
                <w:noProof/>
                <w:color w:val="006100"/>
                <w:lang w:val="en-GB"/>
              </w:rPr>
              <w:t>227</w:t>
            </w:r>
          </w:p>
        </w:tc>
        <w:tc>
          <w:tcPr>
            <w:tcW w:w="1418" w:type="dxa"/>
            <w:tcBorders>
              <w:top w:val="single" w:sz="4" w:space="0" w:color="auto"/>
              <w:left w:val="single" w:sz="4" w:space="0" w:color="auto"/>
              <w:bottom w:val="single" w:sz="4" w:space="0" w:color="auto"/>
              <w:right w:val="single" w:sz="4" w:space="0" w:color="auto"/>
            </w:tcBorders>
            <w:shd w:val="clear" w:color="auto" w:fill="C6EFCE"/>
            <w:vAlign w:val="center"/>
          </w:tcPr>
          <w:p w14:paraId="7B61D159" w14:textId="77777777" w:rsidR="006A41D9" w:rsidRPr="001961AA" w:rsidRDefault="006A41D9" w:rsidP="00BD6DD1">
            <w:pPr>
              <w:spacing w:after="0" w:line="240" w:lineRule="auto"/>
              <w:rPr>
                <w:rFonts w:ascii="Times New Roman" w:hAnsi="Times New Roman" w:cs="Times New Roman"/>
                <w:noProof/>
                <w:color w:val="006100"/>
                <w:lang w:val="en-GB"/>
              </w:rPr>
            </w:pPr>
            <w:r w:rsidRPr="001961AA">
              <w:rPr>
                <w:rFonts w:ascii="Times New Roman" w:hAnsi="Times New Roman"/>
                <w:noProof/>
                <w:color w:val="006100"/>
                <w:lang w:val="en-GB"/>
              </w:rPr>
              <w:t>Backbone for H2 (I-7.15)</w:t>
            </w:r>
          </w:p>
        </w:tc>
        <w:tc>
          <w:tcPr>
            <w:tcW w:w="709" w:type="dxa"/>
            <w:tcBorders>
              <w:top w:val="single" w:sz="4" w:space="0" w:color="auto"/>
              <w:left w:val="single" w:sz="4" w:space="0" w:color="auto"/>
              <w:bottom w:val="single" w:sz="4" w:space="0" w:color="auto"/>
              <w:right w:val="single" w:sz="4" w:space="0" w:color="auto"/>
            </w:tcBorders>
            <w:shd w:val="clear" w:color="auto" w:fill="C6EFCE"/>
            <w:vAlign w:val="center"/>
          </w:tcPr>
          <w:p w14:paraId="72A930B0" w14:textId="77777777" w:rsidR="006A41D9" w:rsidRPr="001961AA" w:rsidRDefault="006A41D9">
            <w:pPr>
              <w:spacing w:after="0" w:line="240" w:lineRule="auto"/>
              <w:rPr>
                <w:rFonts w:ascii="Times New Roman" w:hAnsi="Times New Roman" w:cs="Times New Roman"/>
                <w:noProof/>
                <w:color w:val="006100"/>
                <w:lang w:val="en-GB"/>
              </w:rPr>
            </w:pPr>
            <w:r w:rsidRPr="001961AA">
              <w:rPr>
                <w:rFonts w:ascii="Times New Roman" w:hAnsi="Times New Roman"/>
                <w:noProof/>
                <w:color w:val="006100"/>
                <w:lang w:val="en-GB"/>
              </w:rPr>
              <w:t>T</w:t>
            </w:r>
          </w:p>
        </w:tc>
        <w:tc>
          <w:tcPr>
            <w:tcW w:w="1417" w:type="dxa"/>
            <w:tcBorders>
              <w:top w:val="single" w:sz="4" w:space="0" w:color="auto"/>
              <w:left w:val="single" w:sz="4" w:space="0" w:color="auto"/>
              <w:bottom w:val="single" w:sz="4" w:space="0" w:color="auto"/>
              <w:right w:val="single" w:sz="4" w:space="0" w:color="auto"/>
            </w:tcBorders>
            <w:shd w:val="clear" w:color="auto" w:fill="C6EFCE"/>
            <w:vAlign w:val="center"/>
          </w:tcPr>
          <w:p w14:paraId="5FBDC101" w14:textId="77777777" w:rsidR="006A41D9" w:rsidRPr="001961AA" w:rsidRDefault="006A41D9">
            <w:pPr>
              <w:spacing w:after="0" w:line="240" w:lineRule="auto"/>
              <w:rPr>
                <w:rFonts w:ascii="Times New Roman" w:hAnsi="Times New Roman" w:cs="Times New Roman"/>
                <w:noProof/>
                <w:color w:val="006100"/>
                <w:lang w:val="en-GB"/>
              </w:rPr>
            </w:pPr>
            <w:r w:rsidRPr="001961AA">
              <w:rPr>
                <w:rFonts w:ascii="Times New Roman" w:hAnsi="Times New Roman"/>
                <w:noProof/>
                <w:color w:val="006100"/>
                <w:lang w:val="en-GB"/>
              </w:rPr>
              <w:t>Construction and operation of 150 km of pipeline for H2</w:t>
            </w:r>
          </w:p>
        </w:tc>
        <w:tc>
          <w:tcPr>
            <w:tcW w:w="1276" w:type="dxa"/>
            <w:tcBorders>
              <w:top w:val="single" w:sz="4" w:space="0" w:color="auto"/>
              <w:left w:val="single" w:sz="4" w:space="0" w:color="auto"/>
              <w:bottom w:val="single" w:sz="4" w:space="0" w:color="auto"/>
              <w:right w:val="single" w:sz="4" w:space="0" w:color="auto"/>
            </w:tcBorders>
            <w:shd w:val="clear" w:color="auto" w:fill="C6EFCE"/>
            <w:vAlign w:val="center"/>
          </w:tcPr>
          <w:p w14:paraId="0DA220F4" w14:textId="77777777" w:rsidR="006A41D9" w:rsidRPr="001961AA" w:rsidRDefault="006A41D9">
            <w:pPr>
              <w:spacing w:after="0" w:line="240" w:lineRule="auto"/>
              <w:rPr>
                <w:rFonts w:ascii="Times New Roman" w:hAnsi="Times New Roman" w:cs="Times New Roman"/>
                <w:noProof/>
                <w:color w:val="006100"/>
                <w:lang w:val="en-GB"/>
              </w:rPr>
            </w:pPr>
          </w:p>
        </w:tc>
        <w:tc>
          <w:tcPr>
            <w:tcW w:w="992" w:type="dxa"/>
            <w:tcBorders>
              <w:top w:val="single" w:sz="4" w:space="0" w:color="auto"/>
              <w:left w:val="single" w:sz="4" w:space="0" w:color="auto"/>
              <w:bottom w:val="single" w:sz="4" w:space="0" w:color="auto"/>
              <w:right w:val="single" w:sz="4" w:space="0" w:color="auto"/>
            </w:tcBorders>
            <w:shd w:val="clear" w:color="auto" w:fill="C6EFCE"/>
            <w:vAlign w:val="center"/>
          </w:tcPr>
          <w:p w14:paraId="1FD6DF19" w14:textId="77777777" w:rsidR="006A41D9" w:rsidRPr="001961AA" w:rsidRDefault="006A41D9">
            <w:pPr>
              <w:spacing w:after="0" w:line="240" w:lineRule="auto"/>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km</w:t>
            </w:r>
          </w:p>
        </w:tc>
        <w:tc>
          <w:tcPr>
            <w:tcW w:w="709" w:type="dxa"/>
            <w:tcBorders>
              <w:top w:val="single" w:sz="4" w:space="0" w:color="auto"/>
              <w:left w:val="single" w:sz="4" w:space="0" w:color="auto"/>
              <w:bottom w:val="single" w:sz="4" w:space="0" w:color="auto"/>
              <w:right w:val="single" w:sz="4" w:space="0" w:color="auto"/>
            </w:tcBorders>
            <w:shd w:val="clear" w:color="auto" w:fill="C6EFCE"/>
            <w:vAlign w:val="center"/>
          </w:tcPr>
          <w:p w14:paraId="11398D3D" w14:textId="77777777" w:rsidR="006A41D9" w:rsidRPr="001961AA" w:rsidRDefault="006A41D9">
            <w:pPr>
              <w:spacing w:after="0" w:line="240" w:lineRule="auto"/>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0</w:t>
            </w:r>
          </w:p>
        </w:tc>
        <w:tc>
          <w:tcPr>
            <w:tcW w:w="850" w:type="dxa"/>
            <w:tcBorders>
              <w:top w:val="single" w:sz="4" w:space="0" w:color="auto"/>
              <w:left w:val="single" w:sz="4" w:space="0" w:color="auto"/>
              <w:bottom w:val="single" w:sz="4" w:space="0" w:color="auto"/>
              <w:right w:val="single" w:sz="4" w:space="0" w:color="auto"/>
            </w:tcBorders>
            <w:shd w:val="clear" w:color="auto" w:fill="C6EFCE"/>
            <w:vAlign w:val="center"/>
          </w:tcPr>
          <w:p w14:paraId="67EC17C1" w14:textId="77777777" w:rsidR="006A41D9" w:rsidRPr="001961AA" w:rsidRDefault="006A41D9">
            <w:pPr>
              <w:spacing w:after="0" w:line="240" w:lineRule="auto"/>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150</w:t>
            </w:r>
          </w:p>
        </w:tc>
        <w:tc>
          <w:tcPr>
            <w:tcW w:w="709" w:type="dxa"/>
            <w:tcBorders>
              <w:top w:val="single" w:sz="4" w:space="0" w:color="auto"/>
              <w:left w:val="single" w:sz="4" w:space="0" w:color="auto"/>
              <w:bottom w:val="single" w:sz="4" w:space="0" w:color="auto"/>
              <w:right w:val="single" w:sz="4" w:space="0" w:color="auto"/>
            </w:tcBorders>
            <w:shd w:val="clear" w:color="auto" w:fill="C6EFCE"/>
            <w:vAlign w:val="center"/>
          </w:tcPr>
          <w:p w14:paraId="67582299" w14:textId="77777777" w:rsidR="006A41D9" w:rsidRPr="001961AA" w:rsidRDefault="006A41D9">
            <w:pPr>
              <w:spacing w:after="0" w:line="240" w:lineRule="auto"/>
              <w:jc w:val="center"/>
              <w:rPr>
                <w:rFonts w:ascii="Times New Roman" w:hAnsi="Times New Roman" w:cs="Times New Roman"/>
                <w:noProof/>
                <w:color w:val="006100"/>
                <w:lang w:val="en-GB"/>
              </w:rPr>
            </w:pPr>
            <w:r w:rsidRPr="001961AA">
              <w:rPr>
                <w:rFonts w:ascii="Times New Roman" w:hAnsi="Times New Roman"/>
                <w:noProof/>
                <w:color w:val="006100"/>
                <w:lang w:val="en-GB"/>
              </w:rPr>
              <w:t>Q2</w:t>
            </w:r>
          </w:p>
        </w:tc>
        <w:tc>
          <w:tcPr>
            <w:tcW w:w="709" w:type="dxa"/>
            <w:tcBorders>
              <w:top w:val="single" w:sz="4" w:space="0" w:color="auto"/>
              <w:left w:val="single" w:sz="4" w:space="0" w:color="auto"/>
              <w:bottom w:val="single" w:sz="4" w:space="0" w:color="auto"/>
              <w:right w:val="single" w:sz="4" w:space="0" w:color="auto"/>
            </w:tcBorders>
            <w:shd w:val="clear" w:color="auto" w:fill="C6EFCE"/>
            <w:vAlign w:val="center"/>
          </w:tcPr>
          <w:p w14:paraId="3B343F78" w14:textId="77777777" w:rsidR="006A41D9" w:rsidRPr="001961AA" w:rsidRDefault="006A41D9">
            <w:pPr>
              <w:spacing w:after="0" w:line="240" w:lineRule="auto"/>
              <w:jc w:val="center"/>
              <w:rPr>
                <w:rFonts w:ascii="Times New Roman" w:hAnsi="Times New Roman" w:cs="Times New Roman"/>
                <w:noProof/>
                <w:color w:val="4472C4" w:themeColor="accent1"/>
                <w:lang w:val="en-GB"/>
              </w:rPr>
            </w:pPr>
            <w:r w:rsidRPr="001961AA">
              <w:rPr>
                <w:rFonts w:ascii="Times New Roman" w:hAnsi="Times New Roman"/>
                <w:noProof/>
                <w:color w:val="006100"/>
                <w:lang w:val="en-GB"/>
              </w:rPr>
              <w:t>2026</w:t>
            </w:r>
          </w:p>
        </w:tc>
        <w:tc>
          <w:tcPr>
            <w:tcW w:w="4642" w:type="dxa"/>
            <w:tcBorders>
              <w:top w:val="single" w:sz="4" w:space="0" w:color="auto"/>
              <w:left w:val="single" w:sz="4" w:space="0" w:color="auto"/>
              <w:bottom w:val="single" w:sz="4" w:space="0" w:color="auto"/>
              <w:right w:val="single" w:sz="4" w:space="0" w:color="auto"/>
            </w:tcBorders>
            <w:shd w:val="clear" w:color="auto" w:fill="C6EFCE"/>
            <w:vAlign w:val="center"/>
          </w:tcPr>
          <w:p w14:paraId="5E73AA0C" w14:textId="77777777" w:rsidR="006A41D9" w:rsidRPr="001961AA" w:rsidRDefault="006A41D9">
            <w:pPr>
              <w:pStyle w:val="Default"/>
              <w:rPr>
                <w:rFonts w:eastAsia="Times New Roman"/>
                <w:noProof/>
                <w:color w:val="006100"/>
                <w:sz w:val="22"/>
                <w:szCs w:val="22"/>
                <w:lang w:val="en-GB"/>
              </w:rPr>
            </w:pPr>
            <w:r w:rsidRPr="001961AA">
              <w:rPr>
                <w:noProof/>
                <w:color w:val="006100"/>
                <w:sz w:val="22"/>
                <w:lang w:val="en-GB"/>
              </w:rPr>
              <w:t>Construction and operation of 150 km of pipeline for H2 (or realized via re-purposing of pipelines hitherto used for transporting other gases).</w:t>
            </w:r>
          </w:p>
          <w:p w14:paraId="164F64D4" w14:textId="77777777" w:rsidR="006A41D9" w:rsidRPr="001961AA" w:rsidRDefault="006A41D9">
            <w:pPr>
              <w:pStyle w:val="Default"/>
              <w:rPr>
                <w:rFonts w:eastAsia="Times New Roman"/>
                <w:noProof/>
                <w:color w:val="006100"/>
                <w:sz w:val="22"/>
                <w:szCs w:val="22"/>
                <w:lang w:val="en-GB"/>
              </w:rPr>
            </w:pPr>
            <w:r w:rsidRPr="001961AA">
              <w:rPr>
                <w:noProof/>
                <w:color w:val="006100"/>
                <w:sz w:val="22"/>
                <w:lang w:val="en-GB"/>
              </w:rPr>
              <w:t xml:space="preserve">The following conditions shall be met </w:t>
            </w:r>
            <w:r w:rsidRPr="001961AA">
              <w:rPr>
                <w:i/>
                <w:noProof/>
                <w:color w:val="006100"/>
                <w:sz w:val="22"/>
                <w:lang w:val="en-GB"/>
              </w:rPr>
              <w:t>(DNSH conditions)</w:t>
            </w:r>
            <w:r w:rsidRPr="001961AA">
              <w:rPr>
                <w:noProof/>
                <w:color w:val="006100"/>
                <w:sz w:val="22"/>
                <w:lang w:val="en-GB"/>
              </w:rPr>
              <w:t xml:space="preserve">: </w:t>
            </w:r>
          </w:p>
          <w:p w14:paraId="7EDBE404" w14:textId="7A06D263" w:rsidR="006A41D9" w:rsidRPr="001961AA" w:rsidRDefault="006A41D9">
            <w:pPr>
              <w:pStyle w:val="Default"/>
              <w:rPr>
                <w:rFonts w:eastAsia="Times New Roman"/>
                <w:noProof/>
                <w:color w:val="006100"/>
                <w:sz w:val="22"/>
                <w:szCs w:val="22"/>
                <w:lang w:val="en-GB"/>
              </w:rPr>
            </w:pPr>
            <w:r w:rsidRPr="001961AA">
              <w:rPr>
                <w:noProof/>
                <w:color w:val="006100"/>
                <w:sz w:val="22"/>
                <w:lang w:val="en-GB"/>
              </w:rPr>
              <w:t xml:space="preserve">1. Construction or operation of new transport networks dedicated to hydrogen (within this point shall fall also the expansion of existing dedicated hydrogen pipelines and changes made to these pipelines to assure more connection points and an open access methodology); </w:t>
            </w:r>
          </w:p>
          <w:p w14:paraId="54C766D6" w14:textId="429957D0" w:rsidR="006A41D9" w:rsidRPr="001961AA" w:rsidRDefault="006A41D9" w:rsidP="00BD6DD1">
            <w:pPr>
              <w:pStyle w:val="Default"/>
              <w:rPr>
                <w:rFonts w:eastAsia="Times New Roman"/>
                <w:noProof/>
                <w:color w:val="006100"/>
                <w:sz w:val="22"/>
                <w:szCs w:val="22"/>
                <w:lang w:val="en-GB"/>
              </w:rPr>
            </w:pPr>
            <w:r w:rsidRPr="001961AA">
              <w:rPr>
                <w:noProof/>
                <w:color w:val="006100"/>
                <w:sz w:val="22"/>
                <w:lang w:val="en-GB"/>
              </w:rPr>
              <w:t>2. Conversion/repurposing of existing natural gas networks to 100% hydrogen.</w:t>
            </w:r>
          </w:p>
        </w:tc>
      </w:tr>
    </w:tbl>
    <w:p w14:paraId="07AF09BC" w14:textId="77777777" w:rsidR="006A41D9" w:rsidRPr="001961AA" w:rsidRDefault="006A41D9" w:rsidP="00BD6DD1">
      <w:pPr>
        <w:pStyle w:val="TitreComposante"/>
        <w:jc w:val="both"/>
        <w:rPr>
          <w:noProof/>
          <w:lang w:val="en-GB"/>
        </w:rPr>
        <w:sectPr w:rsidR="006A41D9" w:rsidRPr="001961AA" w:rsidSect="007F56C3">
          <w:headerReference w:type="even" r:id="rId276"/>
          <w:headerReference w:type="default" r:id="rId277"/>
          <w:footerReference w:type="even" r:id="rId278"/>
          <w:footerReference w:type="default" r:id="rId279"/>
          <w:headerReference w:type="first" r:id="rId280"/>
          <w:footerReference w:type="first" r:id="rId281"/>
          <w:pgSz w:w="16838" w:h="11906" w:orient="landscape"/>
          <w:pgMar w:top="1417" w:right="1417" w:bottom="1417" w:left="1417" w:header="708" w:footer="708" w:gutter="0"/>
          <w:cols w:space="708"/>
          <w:docGrid w:linePitch="360"/>
        </w:sectPr>
      </w:pPr>
    </w:p>
    <w:p w14:paraId="61151D6E" w14:textId="1048C900" w:rsidR="006A41D9" w:rsidRPr="001961AA" w:rsidRDefault="00BC3721" w:rsidP="00BB70A9">
      <w:pPr>
        <w:pStyle w:val="ManualHeading1"/>
        <w:spacing w:before="120"/>
        <w:ind w:left="0" w:hanging="130"/>
        <w:rPr>
          <w:noProof/>
          <w:lang w:val="en-GB"/>
        </w:rPr>
      </w:pPr>
      <w:r w:rsidRPr="001961AA">
        <w:rPr>
          <w:noProof/>
          <w:lang w:val="en-GB"/>
        </w:rPr>
        <w:t xml:space="preserve">T. </w:t>
      </w:r>
      <w:r w:rsidRPr="001961AA">
        <w:rPr>
          <w:caps/>
          <w:smallCaps w:val="0"/>
          <w:noProof/>
          <w:lang w:val="en-GB"/>
        </w:rPr>
        <w:t>COMPONENT</w:t>
      </w:r>
      <w:r w:rsidRPr="001961AA">
        <w:rPr>
          <w:noProof/>
          <w:lang w:val="en-GB"/>
        </w:rPr>
        <w:t xml:space="preserve"> 7.3: Renewable energy</w:t>
      </w:r>
    </w:p>
    <w:p w14:paraId="0216E9C8" w14:textId="77777777" w:rsidR="006A41D9" w:rsidRPr="001961AA" w:rsidRDefault="006A41D9" w:rsidP="00BD6DD1">
      <w:pPr>
        <w:spacing w:before="120" w:after="120" w:line="240" w:lineRule="auto"/>
        <w:jc w:val="both"/>
        <w:rPr>
          <w:rFonts w:ascii="Times New Roman" w:eastAsia="Times New Roman" w:hAnsi="Times New Roman" w:cs="Times New Roman"/>
          <w:noProof/>
          <w:sz w:val="24"/>
          <w:szCs w:val="24"/>
          <w:lang w:val="en-GB"/>
        </w:rPr>
      </w:pPr>
      <w:r w:rsidRPr="001961AA">
        <w:rPr>
          <w:rFonts w:ascii="Times New Roman" w:hAnsi="Times New Roman"/>
          <w:noProof/>
          <w:sz w:val="24"/>
          <w:lang w:val="en-GB"/>
        </w:rPr>
        <w:t>The objective of this component is to reduce reliance on fossil fuels by supporting the production of electricity from renewable sources, ensuring greater interconnection, and flexibility of the electricity system, as well as accelerating the integration of renewable energy sources. In particular, the measures under this component shall support renewable energy generation capacity through investments in offshore wind and solar in particular, and by reforming the regulatory framework to stimulate the installation of wind turbines and photovoltaic panels and shorten the time taken by legal proceedings related to energy transition projects.</w:t>
      </w:r>
    </w:p>
    <w:p w14:paraId="44134D29" w14:textId="77777777" w:rsidR="006A41D9" w:rsidRPr="001961AA" w:rsidRDefault="006A41D9" w:rsidP="00BD6DD1">
      <w:pPr>
        <w:spacing w:before="120" w:after="120" w:line="240" w:lineRule="auto"/>
        <w:jc w:val="both"/>
        <w:rPr>
          <w:rFonts w:ascii="Times New Roman" w:hAnsi="Times New Roman" w:cs="Times New Roman"/>
          <w:noProof/>
          <w:sz w:val="24"/>
          <w:szCs w:val="24"/>
          <w:lang w:val="en-GB"/>
        </w:rPr>
      </w:pPr>
      <w:r w:rsidRPr="001961AA">
        <w:rPr>
          <w:rFonts w:ascii="Times New Roman" w:hAnsi="Times New Roman"/>
          <w:noProof/>
          <w:sz w:val="24"/>
          <w:lang w:val="en-GB"/>
        </w:rPr>
        <w:t xml:space="preserve">The component contributes to addressing Country Specific Recommendation 2022.4 and 2023.4, calling on Belgium to reduce overall reliance on fossil fuels by </w:t>
      </w:r>
      <w:r w:rsidRPr="001961AA">
        <w:rPr>
          <w:rFonts w:ascii="Times New Roman" w:hAnsi="Times New Roman"/>
          <w:i/>
          <w:noProof/>
          <w:sz w:val="24"/>
          <w:lang w:val="en-GB"/>
        </w:rPr>
        <w:t>‘accelerating the deployment of renewable energies and related grid infrastructure by further streamlining the permitting procedures, including by reducing the length of appeal procedures, and by adopting legal frameworks to further boost investments in renewable energy installations and facilitate energy sharing.’</w:t>
      </w:r>
    </w:p>
    <w:p w14:paraId="3383FDE2" w14:textId="77777777" w:rsidR="006A41D9" w:rsidRPr="001961AA" w:rsidRDefault="006A41D9" w:rsidP="00BD6DD1">
      <w:pPr>
        <w:spacing w:before="120" w:after="120" w:line="240" w:lineRule="auto"/>
        <w:jc w:val="both"/>
        <w:rPr>
          <w:rFonts w:ascii="Times New Roman" w:hAnsi="Times New Roman" w:cs="Times New Roman"/>
          <w:noProof/>
          <w:sz w:val="24"/>
          <w:szCs w:val="24"/>
          <w:lang w:val="en-GB"/>
        </w:rPr>
      </w:pPr>
      <w:r w:rsidRPr="001961AA">
        <w:rPr>
          <w:rFonts w:ascii="Times New Roman" w:hAnsi="Times New Roman"/>
          <w:noProof/>
          <w:sz w:val="24"/>
          <w:lang w:val="en-GB"/>
        </w:rPr>
        <w:t>It is expected that no measure in this component does significant harm to environmental objectives within the meaning of Article 17 of Regulation (EU) 2020/852, taking into account the description of the measures and the mitigating steps set out in the recovery and resilience plan in accordance with the DNSH Technical Guidance (2021/C58/01).</w:t>
      </w:r>
    </w:p>
    <w:p w14:paraId="69AF855D" w14:textId="2806A056" w:rsidR="006A41D9" w:rsidRPr="001961AA" w:rsidRDefault="00BC3721" w:rsidP="00BD6DD1">
      <w:pPr>
        <w:pStyle w:val="Text1"/>
        <w:ind w:left="0"/>
        <w:rPr>
          <w:rFonts w:eastAsia="Times New Roman"/>
          <w:b/>
          <w:noProof/>
          <w:u w:val="single"/>
          <w:lang w:val="en-GB"/>
        </w:rPr>
      </w:pPr>
      <w:r w:rsidRPr="001961AA">
        <w:rPr>
          <w:b/>
          <w:noProof/>
          <w:u w:val="single"/>
          <w:lang w:val="en-GB"/>
        </w:rPr>
        <w:t>T.1. Description of the reforms and investments for non-repayable financial support</w:t>
      </w:r>
    </w:p>
    <w:p w14:paraId="0D9C3ED1" w14:textId="77777777" w:rsidR="006A41D9" w:rsidRPr="001961AA" w:rsidRDefault="006A41D9" w:rsidP="00BD6DD1">
      <w:pPr>
        <w:pStyle w:val="Text1"/>
        <w:ind w:left="0"/>
        <w:rPr>
          <w:rFonts w:eastAsia="Times New Roman"/>
          <w:noProof/>
          <w:color w:val="000000" w:themeColor="text1"/>
          <w:u w:val="single"/>
          <w:lang w:val="en-GB"/>
        </w:rPr>
      </w:pPr>
      <w:r w:rsidRPr="001961AA">
        <w:rPr>
          <w:noProof/>
          <w:color w:val="000000" w:themeColor="text1"/>
          <w:u w:val="single"/>
          <w:lang w:val="en-GB"/>
        </w:rPr>
        <w:t>Reform R-7.02: 'Reform of the appeal procedures of the Council of State’ of the Federal State</w:t>
      </w:r>
    </w:p>
    <w:p w14:paraId="3E229F55" w14:textId="77777777" w:rsidR="006A41D9" w:rsidRPr="001961AA" w:rsidRDefault="006A41D9">
      <w:pPr>
        <w:pStyle w:val="Text1"/>
        <w:ind w:left="0"/>
        <w:rPr>
          <w:rFonts w:eastAsia="Times New Roman"/>
          <w:noProof/>
          <w:shd w:val="clear" w:color="auto" w:fill="E6E6E6"/>
          <w:lang w:val="en-GB"/>
        </w:rPr>
      </w:pPr>
      <w:r w:rsidRPr="001961AA">
        <w:rPr>
          <w:noProof/>
          <w:color w:val="000000" w:themeColor="text1"/>
          <w:lang w:val="en-GB"/>
        </w:rPr>
        <w:t xml:space="preserve">This reform of the Council of State consists in (1) reducing the time taken to deal with appeal </w:t>
      </w:r>
      <w:r w:rsidRPr="001961AA">
        <w:rPr>
          <w:noProof/>
          <w:lang w:val="en-GB"/>
        </w:rPr>
        <w:t>procedures relating to decisions on energy investments and renewable energy projects (insofar the Council of State is the competent body</w:t>
      </w:r>
      <w:r w:rsidRPr="001961AA">
        <w:rPr>
          <w:rFonts w:ascii="Calibri" w:hAnsi="Calibri"/>
          <w:noProof/>
          <w:sz w:val="22"/>
          <w:lang w:val="en-GB"/>
        </w:rPr>
        <w:t>)</w:t>
      </w:r>
      <w:r w:rsidRPr="001961AA">
        <w:rPr>
          <w:noProof/>
          <w:lang w:val="en-GB"/>
        </w:rPr>
        <w:t xml:space="preserve">, (2) granting priority to the treatment of energy transition files. This measure aims at increasing the share and accelerating the deployment of renewable energy in Belgium by removing the administrative bottlenecks linked to appeal procedures in the process of executing the investments in renewable energy. The implementation of the measure shall be completed by 30 </w:t>
      </w:r>
      <w:r w:rsidRPr="001961AA">
        <w:rPr>
          <w:noProof/>
          <w:color w:val="000000" w:themeColor="text1"/>
          <w:lang w:val="en-GB"/>
        </w:rPr>
        <w:t>June 2024.</w:t>
      </w:r>
    </w:p>
    <w:p w14:paraId="51475DB0" w14:textId="77777777" w:rsidR="006A41D9" w:rsidRPr="001961AA" w:rsidRDefault="006A41D9" w:rsidP="00BD6DD1">
      <w:pPr>
        <w:pStyle w:val="Text1"/>
        <w:ind w:left="0"/>
        <w:rPr>
          <w:rFonts w:eastAsia="Times New Roman"/>
          <w:noProof/>
          <w:u w:val="single"/>
          <w:lang w:val="en-GB"/>
        </w:rPr>
      </w:pPr>
      <w:r w:rsidRPr="001961AA">
        <w:rPr>
          <w:noProof/>
          <w:u w:val="single"/>
          <w:lang w:val="en-GB"/>
        </w:rPr>
        <w:t>Reform R-7.03: ‘PV-obligation for large consumers’ of the Flemish Region</w:t>
      </w:r>
    </w:p>
    <w:p w14:paraId="39E212A9" w14:textId="77777777" w:rsidR="006A41D9" w:rsidRPr="001961AA" w:rsidRDefault="006A41D9" w:rsidP="00BD6DD1">
      <w:pPr>
        <w:pStyle w:val="Text1"/>
        <w:ind w:left="0"/>
        <w:rPr>
          <w:rFonts w:eastAsia="Times New Roman"/>
          <w:noProof/>
          <w:color w:val="000000" w:themeColor="text1"/>
          <w:lang w:val="en-GB"/>
        </w:rPr>
      </w:pPr>
      <w:r w:rsidRPr="001961AA">
        <w:rPr>
          <w:noProof/>
          <w:lang w:val="en-GB"/>
        </w:rPr>
        <w:t xml:space="preserve">This reform introduces an obligation to install solar photovoltaic panels for private buildings located in Flanders that are connected to electricity offtake points where, from calendar year 2021, there is an offtake of more than 1 GWh per year and the buildings of public organizations located in Flanders that are connected to electricity offtake points where, from calendar year 2021, there is an offtake of more than 250 MWh per year. The implementation of the measure shall be completed by 30 June </w:t>
      </w:r>
      <w:r w:rsidRPr="001961AA">
        <w:rPr>
          <w:noProof/>
          <w:color w:val="000000" w:themeColor="text1"/>
          <w:lang w:val="en-GB"/>
        </w:rPr>
        <w:t>2023.</w:t>
      </w:r>
    </w:p>
    <w:p w14:paraId="30F2C28D" w14:textId="77777777" w:rsidR="006A41D9" w:rsidRPr="001961AA" w:rsidRDefault="006A41D9" w:rsidP="00BD6DD1">
      <w:pPr>
        <w:pStyle w:val="Text1"/>
        <w:ind w:left="0"/>
        <w:rPr>
          <w:rFonts w:eastAsia="Times New Roman"/>
          <w:noProof/>
          <w:lang w:val="en-GB"/>
        </w:rPr>
      </w:pPr>
      <w:r w:rsidRPr="001961AA">
        <w:rPr>
          <w:noProof/>
          <w:u w:val="single"/>
          <w:lang w:val="en-GB"/>
        </w:rPr>
        <w:t>Reform R-7.04: ‘Accelerating the energy transition’ of the Walloon Region</w:t>
      </w:r>
    </w:p>
    <w:p w14:paraId="6C1E56F0" w14:textId="0D02C65A" w:rsidR="006A41D9" w:rsidRPr="001961AA" w:rsidRDefault="1FA13A7C" w:rsidP="102CE970">
      <w:pPr>
        <w:spacing w:before="120" w:after="120" w:line="240" w:lineRule="auto"/>
        <w:jc w:val="both"/>
        <w:rPr>
          <w:rFonts w:ascii="Times New Roman" w:eastAsia="Times New Roman" w:hAnsi="Times New Roman" w:cs="Times New Roman"/>
          <w:noProof/>
          <w:sz w:val="24"/>
          <w:szCs w:val="24"/>
          <w:lang w:val="en-GB"/>
        </w:rPr>
      </w:pPr>
      <w:r w:rsidRPr="001961AA">
        <w:rPr>
          <w:rFonts w:ascii="Times New Roman" w:hAnsi="Times New Roman"/>
          <w:noProof/>
          <w:color w:val="000000" w:themeColor="text1"/>
          <w:sz w:val="24"/>
          <w:lang w:val="en-GB"/>
        </w:rPr>
        <w:t xml:space="preserve">This reform consists in shortening permitting procedures for renewable energy projects and more generally, in facilitating the development of such projects by: </w:t>
      </w:r>
      <w:r w:rsidRPr="001961AA">
        <w:rPr>
          <w:rFonts w:ascii="Times New Roman" w:hAnsi="Times New Roman"/>
          <w:noProof/>
          <w:sz w:val="24"/>
          <w:lang w:val="en-GB"/>
        </w:rPr>
        <w:t>(1) reforming the Nature Conservation Act, (2) revising the 2013 Wind Reference Framework, (3) revising the development and permitting framework for renewable energy, (4) banning coal and heating oil for heating and domestic hot water in buildings. The implementation of the measure shall be completed by 30 June 2025.</w:t>
      </w:r>
    </w:p>
    <w:p w14:paraId="62FA2C79" w14:textId="77777777" w:rsidR="006A41D9" w:rsidRPr="001961AA" w:rsidRDefault="006A41D9" w:rsidP="00BD6DD1">
      <w:pPr>
        <w:pStyle w:val="Text1"/>
        <w:ind w:left="0"/>
        <w:rPr>
          <w:noProof/>
          <w:u w:val="single"/>
          <w:lang w:val="en-GB"/>
        </w:rPr>
      </w:pPr>
      <w:r w:rsidRPr="001961AA">
        <w:rPr>
          <w:noProof/>
          <w:u w:val="single"/>
          <w:lang w:val="en-GB"/>
        </w:rPr>
        <w:t>Investment I-7.16: ‘Floating solar’ of the Federal State</w:t>
      </w:r>
    </w:p>
    <w:p w14:paraId="3288FE64" w14:textId="147653F5" w:rsidR="006A41D9" w:rsidRPr="001961AA" w:rsidRDefault="006A41D9" w:rsidP="004C025A">
      <w:pPr>
        <w:spacing w:before="120" w:after="120" w:line="240" w:lineRule="auto"/>
        <w:jc w:val="both"/>
        <w:rPr>
          <w:rFonts w:ascii="Times New Roman" w:eastAsia="Times New Roman" w:hAnsi="Times New Roman" w:cs="Times New Roman"/>
          <w:noProof/>
          <w:sz w:val="24"/>
          <w:szCs w:val="24"/>
          <w:lang w:val="en-GB"/>
        </w:rPr>
      </w:pPr>
      <w:r w:rsidRPr="001961AA">
        <w:rPr>
          <w:rFonts w:ascii="Times New Roman" w:hAnsi="Times New Roman"/>
          <w:noProof/>
          <w:sz w:val="24"/>
          <w:lang w:val="en-GB"/>
        </w:rPr>
        <w:t>This investment consists in R&amp;D advancing the technical, economic, and financial feasibility of floating solar panels in the North Sea and increasing the technology readiness level of that technology from four to seven (on a nine-level scale), and as a result shall lead to installing and making operational a full scale floating solar panel demonstrator installed and operational with a capacity between 1 and 5 MW. The implementation of the measure shall be completed by 31 December 2025.</w:t>
      </w:r>
    </w:p>
    <w:p w14:paraId="4C941366" w14:textId="77777777" w:rsidR="006A41D9" w:rsidRPr="001961AA" w:rsidRDefault="006A41D9" w:rsidP="00BD6DD1">
      <w:pPr>
        <w:pStyle w:val="Text1"/>
        <w:ind w:left="0"/>
        <w:rPr>
          <w:noProof/>
          <w:u w:val="single"/>
          <w:lang w:val="en-GB"/>
        </w:rPr>
      </w:pPr>
      <w:r w:rsidRPr="001961AA">
        <w:rPr>
          <w:noProof/>
          <w:u w:val="single"/>
          <w:lang w:val="en-GB"/>
        </w:rPr>
        <w:t>Investment I- 7.17: 'Optimisation of energy distribution’ of the Walloon Region</w:t>
      </w:r>
    </w:p>
    <w:p w14:paraId="67B91E6C" w14:textId="77777777" w:rsidR="006A41D9" w:rsidRPr="001961AA" w:rsidRDefault="006A41D9" w:rsidP="00BD6DD1">
      <w:pPr>
        <w:pStyle w:val="Text1"/>
        <w:ind w:left="0"/>
        <w:rPr>
          <w:noProof/>
          <w:lang w:val="en-GB"/>
        </w:rPr>
      </w:pPr>
      <w:r w:rsidRPr="001961AA">
        <w:rPr>
          <w:noProof/>
          <w:lang w:val="en-GB"/>
        </w:rPr>
        <w:t>This investment consists in awarding subsidies to the two main electricity network operators in the Walloon region (ORES and RESA) to make grids smarter and implement the reinforcement of the network. The subsidies awarded to each of the operators shall be proportional to their share in the overall number of network users. The implementation of the measure shall be completed by 30 June 2026.</w:t>
      </w:r>
    </w:p>
    <w:p w14:paraId="43D1046E" w14:textId="77777777" w:rsidR="006A41D9" w:rsidRPr="001961AA" w:rsidRDefault="006A41D9" w:rsidP="00BD6DD1">
      <w:pPr>
        <w:pStyle w:val="Text1"/>
        <w:ind w:left="0"/>
        <w:rPr>
          <w:noProof/>
          <w:u w:val="single"/>
          <w:lang w:val="en-GB"/>
        </w:rPr>
      </w:pPr>
      <w:r w:rsidRPr="001961AA">
        <w:rPr>
          <w:noProof/>
          <w:u w:val="single"/>
          <w:lang w:val="en-GB"/>
        </w:rPr>
        <w:t>Investment I-7.18: ‘Innovative renewable energy production initiatives’ of the Flemish Region</w:t>
      </w:r>
    </w:p>
    <w:p w14:paraId="44A3B8B7" w14:textId="4B2A343E" w:rsidR="006A41D9" w:rsidRPr="001961AA" w:rsidRDefault="006A41D9" w:rsidP="00BD6DD1">
      <w:pPr>
        <w:pStyle w:val="Text1"/>
        <w:ind w:left="0"/>
        <w:rPr>
          <w:noProof/>
          <w:lang w:val="en-GB"/>
        </w:rPr>
      </w:pPr>
      <w:r w:rsidRPr="001961AA">
        <w:rPr>
          <w:noProof/>
          <w:lang w:val="en-GB"/>
        </w:rPr>
        <w:t xml:space="preserve">This measure consists in awarding subsidies to companies investing in research and development activities related to the production of innovative technologies in the field of solar energy (photovoltaic cells, solar thermal systems, energy storage and incorporation into energy grids (electric or thermal)), as well as to companies investing in the electrification of port infrastructure in Flanders (shore-side electricity). To this end, a call for projects shall be launched, targeting projects in these two areas. </w:t>
      </w:r>
      <w:r w:rsidRPr="001961AA">
        <w:rPr>
          <w:noProof/>
          <w:color w:val="000000" w:themeColor="text1"/>
          <w:lang w:val="en-GB"/>
        </w:rPr>
        <w:t xml:space="preserve">The implementation of the </w:t>
      </w:r>
      <w:r w:rsidRPr="001961AA">
        <w:rPr>
          <w:noProof/>
          <w:lang w:val="en-GB"/>
        </w:rPr>
        <w:t xml:space="preserve">measure </w:t>
      </w:r>
      <w:r w:rsidRPr="001961AA">
        <w:rPr>
          <w:noProof/>
          <w:color w:val="000000" w:themeColor="text1"/>
          <w:lang w:val="en-GB"/>
        </w:rPr>
        <w:t>shall be completed by 30 June 2026.</w:t>
      </w:r>
    </w:p>
    <w:p w14:paraId="57F22CA1" w14:textId="77777777" w:rsidR="006A41D9" w:rsidRPr="001961AA" w:rsidRDefault="006A41D9" w:rsidP="00BD6DD1">
      <w:pPr>
        <w:pStyle w:val="Text1"/>
        <w:ind w:left="0"/>
        <w:rPr>
          <w:noProof/>
          <w:u w:val="single"/>
          <w:lang w:val="en-GB"/>
        </w:rPr>
      </w:pPr>
      <w:r w:rsidRPr="001961AA">
        <w:rPr>
          <w:noProof/>
          <w:u w:val="single"/>
          <w:lang w:val="en-GB"/>
        </w:rPr>
        <w:t>Investment I-7.19: ‘Removing barriers to renewable energy’ of the Federal State</w:t>
      </w:r>
    </w:p>
    <w:p w14:paraId="14D67994" w14:textId="77777777" w:rsidR="00F14B5D" w:rsidRPr="001961AA" w:rsidRDefault="006A41D9" w:rsidP="004C025A">
      <w:pPr>
        <w:spacing w:before="120" w:after="120" w:line="240" w:lineRule="auto"/>
        <w:jc w:val="both"/>
        <w:rPr>
          <w:rFonts w:ascii="Times New Roman" w:hAnsi="Times New Roman" w:cs="Times New Roman"/>
          <w:noProof/>
          <w:sz w:val="24"/>
          <w:szCs w:val="24"/>
          <w:lang w:val="en-GB"/>
        </w:rPr>
        <w:sectPr w:rsidR="00F14B5D" w:rsidRPr="001961AA" w:rsidSect="00F14B5D">
          <w:headerReference w:type="even" r:id="rId282"/>
          <w:headerReference w:type="default" r:id="rId283"/>
          <w:footerReference w:type="even" r:id="rId284"/>
          <w:footerReference w:type="default" r:id="rId285"/>
          <w:headerReference w:type="first" r:id="rId286"/>
          <w:footerReference w:type="first" r:id="rId287"/>
          <w:pgSz w:w="11907" w:h="16839"/>
          <w:pgMar w:top="1134" w:right="1134" w:bottom="1134" w:left="1134" w:header="567" w:footer="567" w:gutter="0"/>
          <w:cols w:space="720"/>
          <w:docGrid w:linePitch="360"/>
        </w:sectPr>
      </w:pPr>
      <w:r w:rsidRPr="001961AA">
        <w:rPr>
          <w:rStyle w:val="normaltextrun"/>
          <w:rFonts w:ascii="Times New Roman" w:hAnsi="Times New Roman"/>
          <w:noProof/>
          <w:sz w:val="24"/>
          <w:lang w:val="en-GB"/>
        </w:rPr>
        <w:t>This measure targets the reduction of restrictions in the neighbourhood of airports (e.g. distance from radars, height restrictions, area and location of exclusion zones) imposed by air traffic control services on building wind turbines, in view of increasing the share and accelerating the deployment of renewable energy.</w:t>
      </w:r>
      <w:r w:rsidRPr="001961AA">
        <w:rPr>
          <w:rStyle w:val="eop"/>
          <w:rFonts w:ascii="Times New Roman" w:hAnsi="Times New Roman"/>
          <w:noProof/>
          <w:sz w:val="24"/>
          <w:lang w:val="en-GB"/>
        </w:rPr>
        <w:t xml:space="preserve"> This measure consists of rationalising the s</w:t>
      </w:r>
      <w:r w:rsidRPr="001961AA">
        <w:rPr>
          <w:rFonts w:ascii="Times New Roman" w:hAnsi="Times New Roman"/>
          <w:noProof/>
          <w:sz w:val="24"/>
          <w:lang w:val="en-GB"/>
        </w:rPr>
        <w:t>ystems of air navigation, introducing new technologies and optimising operational procedures, which shall contribute to reducing the protection areas around airports, thus freeing up additional space for the construction of new wind farms, thus increasing the share and accelerating the deployment of renewable energy. The implementation of the measure shall be completed by 30 June 2026.</w:t>
      </w:r>
    </w:p>
    <w:p w14:paraId="0A876634" w14:textId="16C15092" w:rsidR="006A41D9" w:rsidRPr="001961AA" w:rsidRDefault="00F14B5D" w:rsidP="00F14B5D">
      <w:pPr>
        <w:pStyle w:val="Jalonsetcibles"/>
        <w:spacing w:before="120" w:after="120" w:line="240" w:lineRule="auto"/>
        <w:rPr>
          <w:rFonts w:eastAsia="Times New Roman"/>
          <w:noProof/>
          <w:color w:val="000000" w:themeColor="text1"/>
          <w:sz w:val="24"/>
          <w:szCs w:val="24"/>
          <w:u w:val="single"/>
          <w:lang w:val="en-GB"/>
        </w:rPr>
      </w:pPr>
      <w:r w:rsidRPr="001961AA">
        <w:rPr>
          <w:noProof/>
          <w:color w:val="000000" w:themeColor="text1"/>
          <w:sz w:val="24"/>
          <w:u w:val="single"/>
          <w:lang w:val="en-GB"/>
        </w:rPr>
        <w:t>T.2 Milestones, targets, indicators, and timetable for monitoring and implementation for non-repayable financial support</w:t>
      </w:r>
    </w:p>
    <w:tbl>
      <w:tblPr>
        <w:tblStyle w:val="TableGrid"/>
        <w:tblW w:w="14175" w:type="dxa"/>
        <w:tblLayout w:type="fixed"/>
        <w:tblLook w:val="06A0" w:firstRow="1" w:lastRow="0" w:firstColumn="1" w:lastColumn="0" w:noHBand="1" w:noVBand="1"/>
      </w:tblPr>
      <w:tblGrid>
        <w:gridCol w:w="704"/>
        <w:gridCol w:w="1571"/>
        <w:gridCol w:w="555"/>
        <w:gridCol w:w="1560"/>
        <w:gridCol w:w="1842"/>
        <w:gridCol w:w="993"/>
        <w:gridCol w:w="992"/>
        <w:gridCol w:w="709"/>
        <w:gridCol w:w="992"/>
        <w:gridCol w:w="709"/>
        <w:gridCol w:w="3548"/>
      </w:tblGrid>
      <w:tr w:rsidR="006A41D9" w:rsidRPr="001961AA" w14:paraId="673E67A3" w14:textId="77777777" w:rsidTr="004440D4">
        <w:trPr>
          <w:trHeight w:val="720"/>
          <w:tblHeader/>
        </w:trPr>
        <w:tc>
          <w:tcPr>
            <w:tcW w:w="704" w:type="dxa"/>
            <w:vMerge w:val="restart"/>
            <w:shd w:val="clear" w:color="auto" w:fill="BDD7EE"/>
            <w:vAlign w:val="center"/>
          </w:tcPr>
          <w:p w14:paraId="4FD54FB8" w14:textId="25B2BCA3" w:rsidR="006A41D9" w:rsidRPr="001961AA" w:rsidRDefault="006A41D9" w:rsidP="00BD6DD1">
            <w:pPr>
              <w:jc w:val="both"/>
              <w:rPr>
                <w:rFonts w:ascii="Times New Roman" w:eastAsia="Times New Roman" w:hAnsi="Times New Roman"/>
                <w:b/>
                <w:noProof/>
                <w:sz w:val="20"/>
                <w:szCs w:val="20"/>
                <w:lang w:val="en-GB"/>
              </w:rPr>
            </w:pPr>
            <w:r w:rsidRPr="001961AA">
              <w:rPr>
                <w:rFonts w:ascii="Times New Roman" w:hAnsi="Times New Roman"/>
                <w:b/>
                <w:noProof/>
                <w:sz w:val="20"/>
                <w:lang w:val="en-GB"/>
              </w:rPr>
              <w:t>Seq. Nb.</w:t>
            </w:r>
          </w:p>
        </w:tc>
        <w:tc>
          <w:tcPr>
            <w:tcW w:w="1571" w:type="dxa"/>
            <w:vMerge w:val="restart"/>
            <w:shd w:val="clear" w:color="auto" w:fill="BDD7EE"/>
            <w:vAlign w:val="center"/>
          </w:tcPr>
          <w:p w14:paraId="45601ABD" w14:textId="77777777" w:rsidR="006A41D9" w:rsidRPr="001961AA" w:rsidRDefault="006A41D9" w:rsidP="00BD6DD1">
            <w:pPr>
              <w:jc w:val="both"/>
              <w:rPr>
                <w:rFonts w:ascii="Times New Roman" w:eastAsia="Times New Roman" w:hAnsi="Times New Roman"/>
                <w:b/>
                <w:noProof/>
                <w:sz w:val="20"/>
                <w:szCs w:val="20"/>
                <w:lang w:val="en-GB"/>
              </w:rPr>
            </w:pPr>
            <w:r w:rsidRPr="001961AA">
              <w:rPr>
                <w:rFonts w:ascii="Times New Roman" w:hAnsi="Times New Roman"/>
                <w:b/>
                <w:noProof/>
                <w:sz w:val="20"/>
                <w:lang w:val="en-GB"/>
              </w:rPr>
              <w:t>Related Measure (Reform or Investment)</w:t>
            </w:r>
          </w:p>
        </w:tc>
        <w:tc>
          <w:tcPr>
            <w:tcW w:w="555" w:type="dxa"/>
            <w:vMerge w:val="restart"/>
            <w:shd w:val="clear" w:color="auto" w:fill="BDD7EE"/>
            <w:vAlign w:val="center"/>
          </w:tcPr>
          <w:p w14:paraId="12EE96C9" w14:textId="77777777" w:rsidR="006A41D9" w:rsidRPr="001961AA" w:rsidRDefault="006A41D9" w:rsidP="00BD6DD1">
            <w:pPr>
              <w:jc w:val="both"/>
              <w:rPr>
                <w:rFonts w:ascii="Times New Roman" w:eastAsia="Times New Roman" w:hAnsi="Times New Roman"/>
                <w:b/>
                <w:noProof/>
                <w:sz w:val="20"/>
                <w:szCs w:val="20"/>
                <w:lang w:val="en-GB"/>
              </w:rPr>
            </w:pPr>
            <w:r w:rsidRPr="001961AA">
              <w:rPr>
                <w:rFonts w:ascii="Times New Roman" w:hAnsi="Times New Roman"/>
                <w:b/>
                <w:noProof/>
                <w:sz w:val="20"/>
                <w:lang w:val="en-GB"/>
              </w:rPr>
              <w:t>M/T</w:t>
            </w:r>
          </w:p>
        </w:tc>
        <w:tc>
          <w:tcPr>
            <w:tcW w:w="1560" w:type="dxa"/>
            <w:vMerge w:val="restart"/>
            <w:shd w:val="clear" w:color="auto" w:fill="BDD7EE"/>
            <w:vAlign w:val="center"/>
          </w:tcPr>
          <w:p w14:paraId="661B537E" w14:textId="77777777" w:rsidR="006A41D9" w:rsidRPr="001961AA" w:rsidRDefault="006A41D9" w:rsidP="00BD6DD1">
            <w:pPr>
              <w:jc w:val="center"/>
              <w:rPr>
                <w:rFonts w:ascii="Times New Roman" w:eastAsia="Times New Roman" w:hAnsi="Times New Roman"/>
                <w:b/>
                <w:noProof/>
                <w:sz w:val="20"/>
                <w:szCs w:val="20"/>
                <w:lang w:val="en-GB"/>
              </w:rPr>
            </w:pPr>
            <w:r w:rsidRPr="001961AA">
              <w:rPr>
                <w:rFonts w:ascii="Times New Roman" w:hAnsi="Times New Roman"/>
                <w:b/>
                <w:noProof/>
                <w:sz w:val="20"/>
                <w:lang w:val="en-GB"/>
              </w:rPr>
              <w:t>Name</w:t>
            </w:r>
          </w:p>
        </w:tc>
        <w:tc>
          <w:tcPr>
            <w:tcW w:w="1842" w:type="dxa"/>
            <w:vMerge w:val="restart"/>
            <w:shd w:val="clear" w:color="auto" w:fill="BDD7EE"/>
            <w:vAlign w:val="center"/>
          </w:tcPr>
          <w:p w14:paraId="415EE4A3" w14:textId="77777777" w:rsidR="006A41D9" w:rsidRPr="001961AA" w:rsidRDefault="006A41D9" w:rsidP="00BD6DD1">
            <w:pPr>
              <w:jc w:val="center"/>
              <w:rPr>
                <w:rFonts w:ascii="Times New Roman" w:eastAsia="Times New Roman" w:hAnsi="Times New Roman"/>
                <w:b/>
                <w:noProof/>
                <w:sz w:val="20"/>
                <w:szCs w:val="20"/>
                <w:lang w:val="en-GB"/>
              </w:rPr>
            </w:pPr>
            <w:r w:rsidRPr="001961AA">
              <w:rPr>
                <w:rFonts w:ascii="Times New Roman" w:hAnsi="Times New Roman"/>
                <w:b/>
                <w:noProof/>
                <w:sz w:val="20"/>
                <w:lang w:val="en-GB"/>
              </w:rPr>
              <w:t>Qualitative indicators</w:t>
            </w:r>
          </w:p>
          <w:p w14:paraId="70760F36" w14:textId="77777777" w:rsidR="006A41D9" w:rsidRPr="001961AA" w:rsidRDefault="006A41D9" w:rsidP="00BD6DD1">
            <w:pPr>
              <w:jc w:val="center"/>
              <w:rPr>
                <w:rFonts w:ascii="Times New Roman" w:eastAsia="Times New Roman" w:hAnsi="Times New Roman"/>
                <w:b/>
                <w:noProof/>
                <w:sz w:val="20"/>
                <w:szCs w:val="20"/>
                <w:lang w:val="en-GB"/>
              </w:rPr>
            </w:pPr>
            <w:r w:rsidRPr="001961AA">
              <w:rPr>
                <w:rFonts w:ascii="Times New Roman" w:hAnsi="Times New Roman"/>
                <w:b/>
                <w:noProof/>
                <w:sz w:val="20"/>
                <w:lang w:val="en-GB"/>
              </w:rPr>
              <w:t>(for milestones)</w:t>
            </w:r>
          </w:p>
        </w:tc>
        <w:tc>
          <w:tcPr>
            <w:tcW w:w="2694" w:type="dxa"/>
            <w:gridSpan w:val="3"/>
            <w:shd w:val="clear" w:color="auto" w:fill="BDD7EE"/>
            <w:vAlign w:val="center"/>
          </w:tcPr>
          <w:p w14:paraId="7C328E30" w14:textId="77777777" w:rsidR="006A41D9" w:rsidRPr="001961AA" w:rsidRDefault="006A41D9" w:rsidP="00BD6DD1">
            <w:pPr>
              <w:jc w:val="center"/>
              <w:rPr>
                <w:rFonts w:ascii="Times New Roman" w:eastAsia="Times New Roman" w:hAnsi="Times New Roman"/>
                <w:b/>
                <w:noProof/>
                <w:sz w:val="20"/>
                <w:szCs w:val="20"/>
                <w:lang w:val="en-GB"/>
              </w:rPr>
            </w:pPr>
            <w:r w:rsidRPr="001961AA">
              <w:rPr>
                <w:rFonts w:ascii="Times New Roman" w:hAnsi="Times New Roman"/>
                <w:b/>
                <w:noProof/>
                <w:sz w:val="20"/>
                <w:lang w:val="en-GB"/>
              </w:rPr>
              <w:t>Quantitative indicators</w:t>
            </w:r>
          </w:p>
          <w:p w14:paraId="3A85C624" w14:textId="77777777" w:rsidR="006A41D9" w:rsidRPr="001961AA" w:rsidRDefault="006A41D9" w:rsidP="00BD6DD1">
            <w:pPr>
              <w:jc w:val="center"/>
              <w:rPr>
                <w:rFonts w:ascii="Times New Roman" w:eastAsia="Times New Roman" w:hAnsi="Times New Roman"/>
                <w:b/>
                <w:noProof/>
                <w:sz w:val="20"/>
                <w:szCs w:val="20"/>
                <w:lang w:val="en-GB"/>
              </w:rPr>
            </w:pPr>
            <w:r w:rsidRPr="001961AA">
              <w:rPr>
                <w:rFonts w:ascii="Times New Roman" w:hAnsi="Times New Roman"/>
                <w:b/>
                <w:noProof/>
                <w:sz w:val="20"/>
                <w:lang w:val="en-GB"/>
              </w:rPr>
              <w:t>(for targets)</w:t>
            </w:r>
          </w:p>
        </w:tc>
        <w:tc>
          <w:tcPr>
            <w:tcW w:w="1701" w:type="dxa"/>
            <w:gridSpan w:val="2"/>
            <w:shd w:val="clear" w:color="auto" w:fill="BDD7EE"/>
            <w:vAlign w:val="center"/>
          </w:tcPr>
          <w:p w14:paraId="390F32EA" w14:textId="77777777" w:rsidR="006A41D9" w:rsidRPr="001961AA" w:rsidRDefault="006A41D9" w:rsidP="00BD6DD1">
            <w:pPr>
              <w:jc w:val="center"/>
              <w:rPr>
                <w:rFonts w:ascii="Times New Roman" w:eastAsia="Times New Roman" w:hAnsi="Times New Roman"/>
                <w:b/>
                <w:noProof/>
                <w:sz w:val="20"/>
                <w:szCs w:val="20"/>
                <w:lang w:val="en-GB"/>
              </w:rPr>
            </w:pPr>
            <w:r w:rsidRPr="001961AA">
              <w:rPr>
                <w:rFonts w:ascii="Times New Roman" w:hAnsi="Times New Roman"/>
                <w:b/>
                <w:noProof/>
                <w:sz w:val="20"/>
                <w:lang w:val="en-GB"/>
              </w:rPr>
              <w:t>Indicative timeline for completion</w:t>
            </w:r>
          </w:p>
        </w:tc>
        <w:tc>
          <w:tcPr>
            <w:tcW w:w="3548" w:type="dxa"/>
            <w:vMerge w:val="restart"/>
            <w:shd w:val="clear" w:color="auto" w:fill="BDD7EE"/>
            <w:vAlign w:val="center"/>
          </w:tcPr>
          <w:p w14:paraId="1720FAB3" w14:textId="77777777" w:rsidR="006A41D9" w:rsidRPr="001961AA" w:rsidRDefault="006A41D9" w:rsidP="00BD6DD1">
            <w:pPr>
              <w:jc w:val="center"/>
              <w:rPr>
                <w:rFonts w:ascii="Times New Roman" w:eastAsia="Times New Roman" w:hAnsi="Times New Roman"/>
                <w:b/>
                <w:noProof/>
                <w:sz w:val="20"/>
                <w:szCs w:val="20"/>
                <w:lang w:val="en-GB"/>
              </w:rPr>
            </w:pPr>
            <w:r w:rsidRPr="001961AA">
              <w:rPr>
                <w:rFonts w:ascii="Times New Roman" w:hAnsi="Times New Roman"/>
                <w:b/>
                <w:noProof/>
                <w:sz w:val="20"/>
                <w:lang w:val="en-GB"/>
              </w:rPr>
              <w:t>Description of each milestone and target</w:t>
            </w:r>
          </w:p>
        </w:tc>
      </w:tr>
      <w:tr w:rsidR="004440D4" w:rsidRPr="001961AA" w14:paraId="25EE97B4" w14:textId="77777777" w:rsidTr="004440D4">
        <w:trPr>
          <w:trHeight w:val="378"/>
        </w:trPr>
        <w:tc>
          <w:tcPr>
            <w:tcW w:w="704" w:type="dxa"/>
            <w:vMerge/>
            <w:vAlign w:val="center"/>
          </w:tcPr>
          <w:p w14:paraId="601AC469" w14:textId="77777777" w:rsidR="006A41D9" w:rsidRPr="001961AA" w:rsidRDefault="006A41D9" w:rsidP="00BD6DD1">
            <w:pPr>
              <w:rPr>
                <w:rFonts w:ascii="Times New Roman" w:eastAsia="Times New Roman" w:hAnsi="Times New Roman"/>
                <w:b/>
                <w:noProof/>
                <w:lang w:val="en-GB"/>
              </w:rPr>
            </w:pPr>
          </w:p>
        </w:tc>
        <w:tc>
          <w:tcPr>
            <w:tcW w:w="1571" w:type="dxa"/>
            <w:vMerge/>
            <w:vAlign w:val="center"/>
          </w:tcPr>
          <w:p w14:paraId="7DEDD512" w14:textId="77777777" w:rsidR="006A41D9" w:rsidRPr="001961AA" w:rsidRDefault="006A41D9" w:rsidP="00BD6DD1">
            <w:pPr>
              <w:rPr>
                <w:rFonts w:ascii="Times New Roman" w:eastAsia="Times New Roman" w:hAnsi="Times New Roman"/>
                <w:b/>
                <w:noProof/>
                <w:lang w:val="en-GB"/>
              </w:rPr>
            </w:pPr>
          </w:p>
        </w:tc>
        <w:tc>
          <w:tcPr>
            <w:tcW w:w="555" w:type="dxa"/>
            <w:vMerge/>
            <w:vAlign w:val="center"/>
          </w:tcPr>
          <w:p w14:paraId="28140715" w14:textId="77777777" w:rsidR="006A41D9" w:rsidRPr="001961AA" w:rsidRDefault="006A41D9" w:rsidP="00BD6DD1">
            <w:pPr>
              <w:rPr>
                <w:rFonts w:ascii="Times New Roman" w:eastAsia="Times New Roman" w:hAnsi="Times New Roman"/>
                <w:b/>
                <w:noProof/>
                <w:lang w:val="en-GB"/>
              </w:rPr>
            </w:pPr>
          </w:p>
        </w:tc>
        <w:tc>
          <w:tcPr>
            <w:tcW w:w="1560" w:type="dxa"/>
            <w:vMerge/>
            <w:vAlign w:val="center"/>
          </w:tcPr>
          <w:p w14:paraId="236067B4" w14:textId="77777777" w:rsidR="006A41D9" w:rsidRPr="001961AA" w:rsidRDefault="006A41D9" w:rsidP="00BD6DD1">
            <w:pPr>
              <w:rPr>
                <w:rFonts w:ascii="Times New Roman" w:eastAsia="Times New Roman" w:hAnsi="Times New Roman"/>
                <w:b/>
                <w:noProof/>
                <w:lang w:val="en-GB"/>
              </w:rPr>
            </w:pPr>
          </w:p>
        </w:tc>
        <w:tc>
          <w:tcPr>
            <w:tcW w:w="1842" w:type="dxa"/>
            <w:vMerge/>
            <w:vAlign w:val="center"/>
          </w:tcPr>
          <w:p w14:paraId="44772B46" w14:textId="77777777" w:rsidR="006A41D9" w:rsidRPr="001961AA" w:rsidRDefault="006A41D9" w:rsidP="00BD6DD1">
            <w:pPr>
              <w:rPr>
                <w:rFonts w:ascii="Times New Roman" w:eastAsia="Times New Roman" w:hAnsi="Times New Roman"/>
                <w:b/>
                <w:noProof/>
                <w:lang w:val="en-GB"/>
              </w:rPr>
            </w:pPr>
          </w:p>
        </w:tc>
        <w:tc>
          <w:tcPr>
            <w:tcW w:w="993" w:type="dxa"/>
            <w:shd w:val="clear" w:color="auto" w:fill="BDD7EE"/>
            <w:vAlign w:val="center"/>
          </w:tcPr>
          <w:p w14:paraId="2AC3EFD4" w14:textId="77777777" w:rsidR="006A41D9" w:rsidRPr="001961AA" w:rsidRDefault="006A41D9" w:rsidP="00AE3685">
            <w:pPr>
              <w:jc w:val="center"/>
              <w:rPr>
                <w:rFonts w:ascii="Times New Roman" w:eastAsia="Times New Roman" w:hAnsi="Times New Roman"/>
                <w:b/>
                <w:noProof/>
                <w:sz w:val="20"/>
                <w:szCs w:val="20"/>
                <w:lang w:val="en-GB"/>
              </w:rPr>
            </w:pPr>
            <w:r w:rsidRPr="001961AA">
              <w:rPr>
                <w:rFonts w:ascii="Times New Roman" w:hAnsi="Times New Roman"/>
                <w:b/>
                <w:noProof/>
                <w:sz w:val="20"/>
                <w:lang w:val="en-GB"/>
              </w:rPr>
              <w:t>Unit of measure</w:t>
            </w:r>
          </w:p>
        </w:tc>
        <w:tc>
          <w:tcPr>
            <w:tcW w:w="992" w:type="dxa"/>
            <w:shd w:val="clear" w:color="auto" w:fill="BDD7EE"/>
            <w:vAlign w:val="center"/>
          </w:tcPr>
          <w:p w14:paraId="39D451DC" w14:textId="77777777" w:rsidR="006A41D9" w:rsidRPr="001961AA" w:rsidRDefault="006A41D9" w:rsidP="00BD6DD1">
            <w:pPr>
              <w:jc w:val="both"/>
              <w:rPr>
                <w:rFonts w:ascii="Times New Roman" w:eastAsia="Times New Roman" w:hAnsi="Times New Roman"/>
                <w:b/>
                <w:noProof/>
                <w:sz w:val="20"/>
                <w:szCs w:val="20"/>
                <w:lang w:val="en-GB"/>
              </w:rPr>
            </w:pPr>
            <w:r w:rsidRPr="001961AA">
              <w:rPr>
                <w:rFonts w:ascii="Times New Roman" w:hAnsi="Times New Roman"/>
                <w:b/>
                <w:noProof/>
                <w:sz w:val="20"/>
                <w:lang w:val="en-GB"/>
              </w:rPr>
              <w:t>Baseline</w:t>
            </w:r>
          </w:p>
        </w:tc>
        <w:tc>
          <w:tcPr>
            <w:tcW w:w="709" w:type="dxa"/>
            <w:shd w:val="clear" w:color="auto" w:fill="BDD7EE"/>
            <w:vAlign w:val="center"/>
          </w:tcPr>
          <w:p w14:paraId="21554774" w14:textId="77777777" w:rsidR="006A41D9" w:rsidRPr="001961AA" w:rsidRDefault="006A41D9" w:rsidP="00BD6DD1">
            <w:pPr>
              <w:jc w:val="both"/>
              <w:rPr>
                <w:rFonts w:ascii="Times New Roman" w:eastAsia="Times New Roman" w:hAnsi="Times New Roman"/>
                <w:b/>
                <w:noProof/>
                <w:sz w:val="20"/>
                <w:szCs w:val="20"/>
                <w:lang w:val="en-GB"/>
              </w:rPr>
            </w:pPr>
            <w:r w:rsidRPr="001961AA">
              <w:rPr>
                <w:rFonts w:ascii="Times New Roman" w:hAnsi="Times New Roman"/>
                <w:b/>
                <w:noProof/>
                <w:sz w:val="20"/>
                <w:lang w:val="en-GB"/>
              </w:rPr>
              <w:t>Goal</w:t>
            </w:r>
          </w:p>
        </w:tc>
        <w:tc>
          <w:tcPr>
            <w:tcW w:w="992" w:type="dxa"/>
            <w:shd w:val="clear" w:color="auto" w:fill="BDD7EE"/>
            <w:vAlign w:val="center"/>
          </w:tcPr>
          <w:p w14:paraId="5FA30182" w14:textId="77777777" w:rsidR="006A41D9" w:rsidRPr="001961AA" w:rsidRDefault="006A41D9" w:rsidP="00BD6DD1">
            <w:pPr>
              <w:jc w:val="both"/>
              <w:rPr>
                <w:rFonts w:ascii="Times New Roman" w:eastAsia="Times New Roman" w:hAnsi="Times New Roman"/>
                <w:b/>
                <w:noProof/>
                <w:sz w:val="20"/>
                <w:szCs w:val="20"/>
                <w:lang w:val="en-GB"/>
              </w:rPr>
            </w:pPr>
            <w:r w:rsidRPr="001961AA">
              <w:rPr>
                <w:rFonts w:ascii="Times New Roman" w:hAnsi="Times New Roman"/>
                <w:b/>
                <w:noProof/>
                <w:sz w:val="20"/>
                <w:lang w:val="en-GB"/>
              </w:rPr>
              <w:t>Quarter</w:t>
            </w:r>
          </w:p>
        </w:tc>
        <w:tc>
          <w:tcPr>
            <w:tcW w:w="709" w:type="dxa"/>
            <w:shd w:val="clear" w:color="auto" w:fill="BDD7EE"/>
            <w:vAlign w:val="center"/>
          </w:tcPr>
          <w:p w14:paraId="0B7DC64D" w14:textId="77777777" w:rsidR="006A41D9" w:rsidRPr="001961AA" w:rsidRDefault="006A41D9" w:rsidP="00BD6DD1">
            <w:pPr>
              <w:jc w:val="both"/>
              <w:rPr>
                <w:rFonts w:ascii="Times New Roman" w:eastAsia="Times New Roman" w:hAnsi="Times New Roman"/>
                <w:b/>
                <w:noProof/>
                <w:sz w:val="20"/>
                <w:szCs w:val="20"/>
                <w:lang w:val="en-GB"/>
              </w:rPr>
            </w:pPr>
            <w:r w:rsidRPr="001961AA">
              <w:rPr>
                <w:rFonts w:ascii="Times New Roman" w:hAnsi="Times New Roman"/>
                <w:b/>
                <w:noProof/>
                <w:sz w:val="20"/>
                <w:lang w:val="en-GB"/>
              </w:rPr>
              <w:t>Year</w:t>
            </w:r>
          </w:p>
        </w:tc>
        <w:tc>
          <w:tcPr>
            <w:tcW w:w="3548" w:type="dxa"/>
            <w:vMerge/>
            <w:vAlign w:val="center"/>
          </w:tcPr>
          <w:p w14:paraId="732D24ED" w14:textId="77777777" w:rsidR="006A41D9" w:rsidRPr="001961AA" w:rsidRDefault="006A41D9" w:rsidP="00BD6DD1">
            <w:pPr>
              <w:rPr>
                <w:rFonts w:ascii="Times New Roman" w:eastAsia="Times New Roman" w:hAnsi="Times New Roman"/>
                <w:b/>
                <w:noProof/>
                <w:lang w:val="en-GB"/>
              </w:rPr>
            </w:pPr>
          </w:p>
        </w:tc>
      </w:tr>
      <w:tr w:rsidR="004440D4" w:rsidRPr="001961AA" w14:paraId="615E3649" w14:textId="77777777" w:rsidTr="004440D4">
        <w:trPr>
          <w:trHeight w:val="300"/>
        </w:trPr>
        <w:tc>
          <w:tcPr>
            <w:tcW w:w="704" w:type="dxa"/>
            <w:shd w:val="clear" w:color="auto" w:fill="C6EFCE"/>
            <w:vAlign w:val="center"/>
          </w:tcPr>
          <w:p w14:paraId="4D3E94C1" w14:textId="77777777" w:rsidR="006A41D9" w:rsidRPr="001961AA" w:rsidRDefault="006A41D9" w:rsidP="00BD6DD1">
            <w:pPr>
              <w:jc w:val="center"/>
              <w:rPr>
                <w:rFonts w:ascii="Times New Roman" w:eastAsia="Times New Roman" w:hAnsi="Times New Roman"/>
                <w:noProof/>
                <w:color w:val="006100"/>
                <w:lang w:val="en-GB"/>
              </w:rPr>
            </w:pPr>
            <w:r w:rsidRPr="001961AA">
              <w:rPr>
                <w:rFonts w:ascii="Times New Roman" w:hAnsi="Times New Roman"/>
                <w:noProof/>
                <w:color w:val="006100"/>
                <w:lang w:val="en-GB"/>
              </w:rPr>
              <w:t>228</w:t>
            </w:r>
          </w:p>
        </w:tc>
        <w:tc>
          <w:tcPr>
            <w:tcW w:w="1571" w:type="dxa"/>
            <w:shd w:val="clear" w:color="auto" w:fill="C6EFCE"/>
            <w:vAlign w:val="center"/>
          </w:tcPr>
          <w:p w14:paraId="74DD8B13" w14:textId="77777777" w:rsidR="006A41D9" w:rsidRPr="001961AA" w:rsidRDefault="006A41D9" w:rsidP="00BD6DD1">
            <w:pPr>
              <w:rPr>
                <w:rFonts w:ascii="Times New Roman" w:eastAsia="Times New Roman" w:hAnsi="Times New Roman"/>
                <w:noProof/>
                <w:color w:val="006100"/>
                <w:lang w:val="en-GB"/>
              </w:rPr>
            </w:pPr>
            <w:r w:rsidRPr="001961AA">
              <w:rPr>
                <w:rFonts w:ascii="Times New Roman" w:hAnsi="Times New Roman"/>
                <w:noProof/>
                <w:color w:val="006100"/>
                <w:lang w:val="en-GB"/>
              </w:rPr>
              <w:t>Appeal procedure to the Council of State (R-7.02)</w:t>
            </w:r>
          </w:p>
        </w:tc>
        <w:tc>
          <w:tcPr>
            <w:tcW w:w="555" w:type="dxa"/>
            <w:shd w:val="clear" w:color="auto" w:fill="C6EFCE"/>
            <w:vAlign w:val="center"/>
          </w:tcPr>
          <w:p w14:paraId="722D455F" w14:textId="77777777" w:rsidR="006A41D9" w:rsidRPr="001961AA" w:rsidRDefault="006A41D9" w:rsidP="00BD6DD1">
            <w:pPr>
              <w:rPr>
                <w:rFonts w:ascii="Times New Roman" w:eastAsia="Times New Roman" w:hAnsi="Times New Roman"/>
                <w:noProof/>
                <w:color w:val="006100"/>
                <w:lang w:val="en-GB"/>
              </w:rPr>
            </w:pPr>
            <w:r w:rsidRPr="001961AA">
              <w:rPr>
                <w:rFonts w:ascii="Times New Roman" w:hAnsi="Times New Roman"/>
                <w:noProof/>
                <w:color w:val="006100"/>
                <w:lang w:val="en-GB"/>
              </w:rPr>
              <w:t>M</w:t>
            </w:r>
          </w:p>
        </w:tc>
        <w:tc>
          <w:tcPr>
            <w:tcW w:w="1560" w:type="dxa"/>
            <w:shd w:val="clear" w:color="auto" w:fill="C6EFCE"/>
            <w:vAlign w:val="center"/>
          </w:tcPr>
          <w:p w14:paraId="4DCB35E3" w14:textId="77777777" w:rsidR="006A41D9" w:rsidRPr="001961AA" w:rsidRDefault="006A41D9" w:rsidP="00BD6DD1">
            <w:pPr>
              <w:spacing w:line="259" w:lineRule="auto"/>
              <w:rPr>
                <w:rFonts w:ascii="Times New Roman" w:eastAsia="Times New Roman" w:hAnsi="Times New Roman"/>
                <w:noProof/>
                <w:color w:val="006100"/>
                <w:lang w:val="en-GB"/>
              </w:rPr>
            </w:pPr>
            <w:r w:rsidRPr="001961AA">
              <w:rPr>
                <w:rFonts w:ascii="Times New Roman" w:hAnsi="Times New Roman"/>
                <w:noProof/>
                <w:color w:val="006100"/>
                <w:lang w:val="en-GB"/>
              </w:rPr>
              <w:t xml:space="preserve">Entry into force of legislation </w:t>
            </w:r>
          </w:p>
        </w:tc>
        <w:tc>
          <w:tcPr>
            <w:tcW w:w="1842" w:type="dxa"/>
            <w:shd w:val="clear" w:color="auto" w:fill="C6EFCE"/>
            <w:vAlign w:val="center"/>
          </w:tcPr>
          <w:p w14:paraId="07DF205B" w14:textId="607937B0" w:rsidR="006A41D9" w:rsidRPr="001961AA" w:rsidRDefault="006A41D9" w:rsidP="00BD6DD1">
            <w:pPr>
              <w:spacing w:line="259" w:lineRule="auto"/>
              <w:rPr>
                <w:rFonts w:ascii="Times New Roman" w:eastAsia="Times New Roman" w:hAnsi="Times New Roman"/>
                <w:noProof/>
                <w:color w:val="006100"/>
                <w:lang w:val="en-GB"/>
              </w:rPr>
            </w:pPr>
            <w:r w:rsidRPr="001961AA">
              <w:rPr>
                <w:rFonts w:ascii="Times New Roman" w:hAnsi="Times New Roman"/>
                <w:noProof/>
                <w:color w:val="006100"/>
                <w:lang w:val="en-GB"/>
              </w:rPr>
              <w:t>Provision in the law indicating the entry into force of the law shortening procedures for obtaining renewable energy permits</w:t>
            </w:r>
          </w:p>
        </w:tc>
        <w:tc>
          <w:tcPr>
            <w:tcW w:w="993" w:type="dxa"/>
            <w:shd w:val="clear" w:color="auto" w:fill="C6EFCE"/>
            <w:vAlign w:val="center"/>
          </w:tcPr>
          <w:p w14:paraId="15E90333" w14:textId="77777777" w:rsidR="006A41D9" w:rsidRPr="001961AA" w:rsidRDefault="006A41D9" w:rsidP="00BD6DD1">
            <w:pPr>
              <w:rPr>
                <w:rFonts w:ascii="Times New Roman" w:eastAsia="Times New Roman" w:hAnsi="Times New Roman"/>
                <w:noProof/>
                <w:color w:val="006100"/>
                <w:lang w:val="en-GB"/>
              </w:rPr>
            </w:pPr>
          </w:p>
        </w:tc>
        <w:tc>
          <w:tcPr>
            <w:tcW w:w="992" w:type="dxa"/>
            <w:shd w:val="clear" w:color="auto" w:fill="C6EFCE"/>
            <w:vAlign w:val="center"/>
          </w:tcPr>
          <w:p w14:paraId="272C8196" w14:textId="77777777" w:rsidR="006A41D9" w:rsidRPr="001961AA" w:rsidRDefault="006A41D9" w:rsidP="00BD6DD1">
            <w:pPr>
              <w:rPr>
                <w:rFonts w:ascii="Times New Roman" w:eastAsia="Times New Roman" w:hAnsi="Times New Roman"/>
                <w:noProof/>
                <w:color w:val="006100"/>
                <w:lang w:val="en-GB"/>
              </w:rPr>
            </w:pPr>
          </w:p>
        </w:tc>
        <w:tc>
          <w:tcPr>
            <w:tcW w:w="709" w:type="dxa"/>
            <w:shd w:val="clear" w:color="auto" w:fill="C6EFCE"/>
            <w:vAlign w:val="center"/>
          </w:tcPr>
          <w:p w14:paraId="71742AF6" w14:textId="77777777" w:rsidR="006A41D9" w:rsidRPr="001961AA" w:rsidRDefault="006A41D9" w:rsidP="00BD6DD1">
            <w:pPr>
              <w:rPr>
                <w:rFonts w:ascii="Times New Roman" w:eastAsia="Times New Roman" w:hAnsi="Times New Roman"/>
                <w:noProof/>
                <w:color w:val="006100"/>
                <w:lang w:val="en-GB"/>
              </w:rPr>
            </w:pPr>
          </w:p>
        </w:tc>
        <w:tc>
          <w:tcPr>
            <w:tcW w:w="992" w:type="dxa"/>
            <w:shd w:val="clear" w:color="auto" w:fill="C6EFCE"/>
            <w:vAlign w:val="center"/>
          </w:tcPr>
          <w:p w14:paraId="10A1068C" w14:textId="77777777" w:rsidR="006A41D9" w:rsidRPr="001961AA" w:rsidRDefault="006A41D9" w:rsidP="00BD6DD1">
            <w:pPr>
              <w:jc w:val="center"/>
              <w:rPr>
                <w:rFonts w:ascii="Times New Roman" w:eastAsia="Times New Roman" w:hAnsi="Times New Roman"/>
                <w:noProof/>
                <w:color w:val="006100"/>
                <w:lang w:val="en-GB"/>
              </w:rPr>
            </w:pPr>
            <w:r w:rsidRPr="001961AA">
              <w:rPr>
                <w:rFonts w:ascii="Times New Roman" w:hAnsi="Times New Roman"/>
                <w:noProof/>
                <w:color w:val="006100"/>
                <w:lang w:val="en-GB"/>
              </w:rPr>
              <w:t>Q2</w:t>
            </w:r>
          </w:p>
        </w:tc>
        <w:tc>
          <w:tcPr>
            <w:tcW w:w="709" w:type="dxa"/>
            <w:shd w:val="clear" w:color="auto" w:fill="C6EFCE"/>
            <w:vAlign w:val="center"/>
          </w:tcPr>
          <w:p w14:paraId="0C84E0FC" w14:textId="77777777" w:rsidR="006A41D9" w:rsidRPr="001961AA" w:rsidRDefault="006A41D9" w:rsidP="00BD6DD1">
            <w:pPr>
              <w:jc w:val="center"/>
              <w:rPr>
                <w:rFonts w:ascii="Times New Roman" w:eastAsia="Times New Roman" w:hAnsi="Times New Roman"/>
                <w:noProof/>
                <w:color w:val="006100"/>
                <w:lang w:val="en-GB"/>
              </w:rPr>
            </w:pPr>
            <w:r w:rsidRPr="001961AA">
              <w:rPr>
                <w:rFonts w:ascii="Times New Roman" w:hAnsi="Times New Roman"/>
                <w:noProof/>
                <w:color w:val="006100"/>
                <w:lang w:val="en-GB"/>
              </w:rPr>
              <w:t>2024</w:t>
            </w:r>
          </w:p>
        </w:tc>
        <w:tc>
          <w:tcPr>
            <w:tcW w:w="3548" w:type="dxa"/>
            <w:shd w:val="clear" w:color="auto" w:fill="C6EFCE"/>
            <w:vAlign w:val="center"/>
          </w:tcPr>
          <w:p w14:paraId="60B7D8E5" w14:textId="08CE34BB" w:rsidR="006A41D9" w:rsidRPr="001961AA" w:rsidRDefault="006A41D9" w:rsidP="00D91A43">
            <w:pPr>
              <w:widowControl w:val="0"/>
              <w:spacing w:after="120"/>
              <w:rPr>
                <w:rFonts w:ascii="Times New Roman" w:eastAsia="Times New Roman" w:hAnsi="Times New Roman"/>
                <w:noProof/>
                <w:color w:val="006100"/>
                <w:lang w:val="en-GB"/>
              </w:rPr>
            </w:pPr>
            <w:r w:rsidRPr="001961AA">
              <w:rPr>
                <w:rFonts w:ascii="Times New Roman" w:hAnsi="Times New Roman"/>
                <w:noProof/>
                <w:color w:val="006100"/>
                <w:lang w:val="en-GB"/>
              </w:rPr>
              <w:t>(1) Entry into force of the law reforming the appeal procedures against decisions relating to renewable energy installations and energy investments before the Administrative Litigation Division of the Council of State.</w:t>
            </w:r>
          </w:p>
          <w:p w14:paraId="504625DA" w14:textId="77777777" w:rsidR="006A41D9" w:rsidRPr="001961AA" w:rsidRDefault="006A41D9" w:rsidP="00BD6DD1">
            <w:pPr>
              <w:widowControl w:val="0"/>
              <w:rPr>
                <w:rFonts w:ascii="Times New Roman" w:eastAsia="Times New Roman" w:hAnsi="Times New Roman"/>
                <w:noProof/>
                <w:color w:val="006100"/>
                <w:lang w:val="en-GB"/>
              </w:rPr>
            </w:pPr>
            <w:r w:rsidRPr="001961AA">
              <w:rPr>
                <w:rFonts w:ascii="Times New Roman" w:hAnsi="Times New Roman"/>
                <w:noProof/>
                <w:color w:val="006100"/>
                <w:lang w:val="en-GB"/>
              </w:rPr>
              <w:t xml:space="preserve">This law aims at shortening procedures for obtaining renewable energy permits, by </w:t>
            </w:r>
          </w:p>
          <w:p w14:paraId="2E26F3CA" w14:textId="77777777" w:rsidR="006A41D9" w:rsidRPr="001961AA" w:rsidRDefault="006A41D9" w:rsidP="009E6286">
            <w:pPr>
              <w:pStyle w:val="ListParagraph"/>
              <w:widowControl w:val="0"/>
              <w:numPr>
                <w:ilvl w:val="0"/>
                <w:numId w:val="39"/>
              </w:numPr>
              <w:rPr>
                <w:rFonts w:ascii="Times New Roman" w:eastAsia="Times New Roman" w:hAnsi="Times New Roman"/>
                <w:noProof/>
                <w:color w:val="006100"/>
                <w:lang w:val="en-GB"/>
              </w:rPr>
            </w:pPr>
            <w:r w:rsidRPr="001961AA">
              <w:rPr>
                <w:rFonts w:ascii="Times New Roman" w:hAnsi="Times New Roman"/>
                <w:noProof/>
                <w:color w:val="006100"/>
                <w:lang w:val="en-GB"/>
              </w:rPr>
              <w:t xml:space="preserve">abolishing the provisional intervention order, </w:t>
            </w:r>
          </w:p>
          <w:p w14:paraId="27634CD3" w14:textId="77777777" w:rsidR="006A41D9" w:rsidRPr="001961AA" w:rsidRDefault="006A41D9" w:rsidP="009E6286">
            <w:pPr>
              <w:pStyle w:val="ListParagraph"/>
              <w:widowControl w:val="0"/>
              <w:numPr>
                <w:ilvl w:val="0"/>
                <w:numId w:val="39"/>
              </w:numPr>
              <w:rPr>
                <w:rFonts w:ascii="Times New Roman" w:eastAsia="Times New Roman" w:hAnsi="Times New Roman"/>
                <w:noProof/>
                <w:color w:val="006100"/>
                <w:lang w:val="en-GB"/>
              </w:rPr>
            </w:pPr>
            <w:r w:rsidRPr="001961AA">
              <w:rPr>
                <w:rFonts w:ascii="Times New Roman" w:hAnsi="Times New Roman"/>
                <w:noProof/>
                <w:color w:val="006100"/>
                <w:lang w:val="en-GB"/>
              </w:rPr>
              <w:t>limiting the time in which the auditorate submits its report on the case to 6 months,</w:t>
            </w:r>
          </w:p>
          <w:p w14:paraId="2786F639" w14:textId="77777777" w:rsidR="006A41D9" w:rsidRPr="001961AA" w:rsidRDefault="006A41D9" w:rsidP="009E6286">
            <w:pPr>
              <w:pStyle w:val="ListParagraph"/>
              <w:widowControl w:val="0"/>
              <w:numPr>
                <w:ilvl w:val="0"/>
                <w:numId w:val="39"/>
              </w:numPr>
              <w:rPr>
                <w:rFonts w:ascii="Times New Roman" w:eastAsia="Times New Roman" w:hAnsi="Times New Roman"/>
                <w:noProof/>
                <w:color w:val="006100"/>
                <w:lang w:val="en-GB"/>
              </w:rPr>
            </w:pPr>
            <w:r w:rsidRPr="001961AA">
              <w:rPr>
                <w:rFonts w:ascii="Times New Roman" w:hAnsi="Times New Roman"/>
                <w:noProof/>
                <w:color w:val="006100"/>
                <w:lang w:val="en-GB"/>
              </w:rPr>
              <w:t xml:space="preserve">amending the suspension procedures, </w:t>
            </w:r>
          </w:p>
          <w:p w14:paraId="7FA0ABB0" w14:textId="77777777" w:rsidR="006A41D9" w:rsidRPr="001961AA" w:rsidRDefault="006A41D9" w:rsidP="009E6286">
            <w:pPr>
              <w:pStyle w:val="ListParagraph"/>
              <w:widowControl w:val="0"/>
              <w:numPr>
                <w:ilvl w:val="0"/>
                <w:numId w:val="39"/>
              </w:numPr>
              <w:rPr>
                <w:rFonts w:ascii="Times New Roman" w:eastAsia="Times New Roman" w:hAnsi="Times New Roman"/>
                <w:noProof/>
                <w:color w:val="006100"/>
                <w:lang w:val="en-GB"/>
              </w:rPr>
            </w:pPr>
            <w:r w:rsidRPr="001961AA">
              <w:rPr>
                <w:rFonts w:ascii="Times New Roman" w:hAnsi="Times New Roman"/>
                <w:noProof/>
                <w:color w:val="006100"/>
                <w:lang w:val="en-GB"/>
              </w:rPr>
              <w:t xml:space="preserve">giving priority to energy transition cases, </w:t>
            </w:r>
          </w:p>
          <w:p w14:paraId="51E78DFA" w14:textId="77777777" w:rsidR="006A41D9" w:rsidRPr="001961AA" w:rsidRDefault="006A41D9" w:rsidP="009E6286">
            <w:pPr>
              <w:pStyle w:val="ListParagraph"/>
              <w:widowControl w:val="0"/>
              <w:numPr>
                <w:ilvl w:val="0"/>
                <w:numId w:val="39"/>
              </w:numPr>
              <w:rPr>
                <w:rFonts w:ascii="Times New Roman" w:eastAsia="Times New Roman" w:hAnsi="Times New Roman"/>
                <w:noProof/>
                <w:color w:val="006100"/>
                <w:lang w:val="en-GB"/>
              </w:rPr>
            </w:pPr>
            <w:r w:rsidRPr="001961AA">
              <w:rPr>
                <w:rFonts w:ascii="Times New Roman" w:hAnsi="Times New Roman"/>
                <w:noProof/>
                <w:color w:val="006100"/>
                <w:lang w:val="en-GB"/>
              </w:rPr>
              <w:t xml:space="preserve">reducing the time taken to deal with proceedings before the Administrative Litigation Section and </w:t>
            </w:r>
          </w:p>
          <w:p w14:paraId="3B3E8038" w14:textId="77777777" w:rsidR="006A41D9" w:rsidRPr="001961AA" w:rsidRDefault="006A41D9" w:rsidP="009E6286">
            <w:pPr>
              <w:pStyle w:val="ListParagraph"/>
              <w:widowControl w:val="0"/>
              <w:numPr>
                <w:ilvl w:val="0"/>
                <w:numId w:val="39"/>
              </w:numPr>
              <w:spacing w:after="120"/>
              <w:ind w:left="714" w:hanging="357"/>
              <w:contextualSpacing w:val="0"/>
              <w:rPr>
                <w:rFonts w:ascii="Times New Roman" w:eastAsia="Times New Roman" w:hAnsi="Times New Roman"/>
                <w:noProof/>
                <w:color w:val="006100"/>
                <w:lang w:val="en-GB"/>
              </w:rPr>
            </w:pPr>
            <w:r w:rsidRPr="001961AA">
              <w:rPr>
                <w:rFonts w:ascii="Times New Roman" w:hAnsi="Times New Roman"/>
                <w:noProof/>
                <w:color w:val="006100"/>
                <w:lang w:val="en-GB"/>
              </w:rPr>
              <w:t>reducing the time taken to deal with an ordinary action for annulment, except if a procedural incident occurs, to a maximum of 18 months.</w:t>
            </w:r>
          </w:p>
          <w:p w14:paraId="40FF4958" w14:textId="77777777" w:rsidR="006A41D9" w:rsidRPr="001961AA" w:rsidRDefault="006A41D9" w:rsidP="00BB3A4B">
            <w:pPr>
              <w:widowControl w:val="0"/>
              <w:rPr>
                <w:rFonts w:ascii="Times New Roman" w:eastAsia="Times New Roman" w:hAnsi="Times New Roman"/>
                <w:noProof/>
                <w:color w:val="006100"/>
                <w:lang w:val="en-GB"/>
              </w:rPr>
            </w:pPr>
            <w:r w:rsidRPr="001961AA">
              <w:rPr>
                <w:rFonts w:ascii="Times New Roman" w:hAnsi="Times New Roman"/>
                <w:noProof/>
                <w:color w:val="006100"/>
                <w:lang w:val="en-GB"/>
              </w:rPr>
              <w:t>(2) Entry into force of the Royal Decree which</w:t>
            </w:r>
          </w:p>
          <w:p w14:paraId="1CAD7A5B" w14:textId="77777777" w:rsidR="006A41D9" w:rsidRPr="001961AA" w:rsidRDefault="006A41D9" w:rsidP="009E6286">
            <w:pPr>
              <w:pStyle w:val="ListParagraph"/>
              <w:widowControl w:val="0"/>
              <w:numPr>
                <w:ilvl w:val="0"/>
                <w:numId w:val="38"/>
              </w:numPr>
              <w:rPr>
                <w:rFonts w:ascii="Times New Roman" w:eastAsia="Times New Roman" w:hAnsi="Times New Roman"/>
                <w:noProof/>
                <w:color w:val="006100"/>
                <w:lang w:val="en-GB"/>
              </w:rPr>
            </w:pPr>
            <w:r w:rsidRPr="001961AA">
              <w:rPr>
                <w:rFonts w:ascii="Times New Roman" w:hAnsi="Times New Roman"/>
                <w:noProof/>
                <w:color w:val="006100"/>
                <w:lang w:val="en-GB"/>
              </w:rPr>
              <w:t xml:space="preserve">gives priority treatment to appeals concerning renewable energy deployment and energy transition files, </w:t>
            </w:r>
          </w:p>
          <w:p w14:paraId="463BB02D" w14:textId="77777777" w:rsidR="006A41D9" w:rsidRPr="001961AA" w:rsidRDefault="006A41D9" w:rsidP="009E6286">
            <w:pPr>
              <w:pStyle w:val="ListParagraph"/>
              <w:widowControl w:val="0"/>
              <w:numPr>
                <w:ilvl w:val="0"/>
                <w:numId w:val="38"/>
              </w:numPr>
              <w:ind w:left="714" w:hanging="357"/>
              <w:rPr>
                <w:rFonts w:ascii="Times New Roman" w:eastAsia="Times New Roman" w:hAnsi="Times New Roman"/>
                <w:noProof/>
                <w:color w:val="006100"/>
                <w:lang w:val="en-GB"/>
              </w:rPr>
            </w:pPr>
            <w:r w:rsidRPr="001961AA">
              <w:rPr>
                <w:rFonts w:ascii="Times New Roman" w:hAnsi="Times New Roman"/>
                <w:noProof/>
                <w:color w:val="006100"/>
                <w:lang w:val="en-GB"/>
              </w:rPr>
              <w:t xml:space="preserve">establishes clearly the priority choices for case handling, internal organization and reinforcement of chambers or sections to ensure faster treatment of procedures for dealing with energy transition cases, </w:t>
            </w:r>
          </w:p>
          <w:p w14:paraId="7AE2943F" w14:textId="77777777" w:rsidR="006A41D9" w:rsidRPr="001961AA" w:rsidRDefault="006A41D9" w:rsidP="009E6286">
            <w:pPr>
              <w:pStyle w:val="ListParagraph"/>
              <w:widowControl w:val="0"/>
              <w:numPr>
                <w:ilvl w:val="0"/>
                <w:numId w:val="38"/>
              </w:numPr>
              <w:ind w:left="714" w:hanging="357"/>
              <w:rPr>
                <w:rFonts w:ascii="Times New Roman" w:eastAsia="Times New Roman" w:hAnsi="Times New Roman"/>
                <w:noProof/>
                <w:color w:val="006100"/>
                <w:lang w:val="en-GB"/>
              </w:rPr>
            </w:pPr>
            <w:r w:rsidRPr="001961AA">
              <w:rPr>
                <w:rFonts w:ascii="Times New Roman" w:hAnsi="Times New Roman"/>
                <w:noProof/>
                <w:color w:val="006100"/>
                <w:lang w:val="en-GB"/>
              </w:rPr>
              <w:t>reduces the time taken to deal with appeals in these cases to 15 months (except in the case of procedural incidents).</w:t>
            </w:r>
          </w:p>
        </w:tc>
      </w:tr>
      <w:tr w:rsidR="004440D4" w:rsidRPr="001961AA" w14:paraId="3DD9AA8C" w14:textId="77777777" w:rsidTr="004440D4">
        <w:trPr>
          <w:trHeight w:val="660"/>
        </w:trPr>
        <w:tc>
          <w:tcPr>
            <w:tcW w:w="704" w:type="dxa"/>
            <w:shd w:val="clear" w:color="auto" w:fill="C6EFCE"/>
            <w:vAlign w:val="center"/>
          </w:tcPr>
          <w:p w14:paraId="76558308" w14:textId="77777777" w:rsidR="006A41D9" w:rsidRPr="001961AA" w:rsidRDefault="006A41D9" w:rsidP="00BD6DD1">
            <w:pPr>
              <w:jc w:val="center"/>
              <w:rPr>
                <w:rFonts w:ascii="Times New Roman" w:eastAsia="Times New Roman" w:hAnsi="Times New Roman"/>
                <w:noProof/>
                <w:color w:val="006100"/>
                <w:lang w:val="en-GB"/>
              </w:rPr>
            </w:pPr>
            <w:r w:rsidRPr="001961AA">
              <w:rPr>
                <w:rFonts w:ascii="Times New Roman" w:hAnsi="Times New Roman"/>
                <w:noProof/>
                <w:color w:val="006100"/>
                <w:lang w:val="en-GB"/>
              </w:rPr>
              <w:t>229</w:t>
            </w:r>
          </w:p>
        </w:tc>
        <w:tc>
          <w:tcPr>
            <w:tcW w:w="1571" w:type="dxa"/>
            <w:shd w:val="clear" w:color="auto" w:fill="C6EFCE"/>
            <w:vAlign w:val="center"/>
          </w:tcPr>
          <w:p w14:paraId="4990B50E" w14:textId="77777777" w:rsidR="006A41D9" w:rsidRPr="001961AA" w:rsidRDefault="006A41D9" w:rsidP="00BD6DD1">
            <w:pPr>
              <w:rPr>
                <w:rFonts w:ascii="Times New Roman" w:eastAsia="Times New Roman" w:hAnsi="Times New Roman"/>
                <w:noProof/>
                <w:color w:val="006100"/>
                <w:lang w:val="en-GB"/>
              </w:rPr>
            </w:pPr>
            <w:r w:rsidRPr="001961AA">
              <w:rPr>
                <w:rFonts w:ascii="Times New Roman" w:hAnsi="Times New Roman"/>
                <w:noProof/>
                <w:color w:val="006100"/>
                <w:lang w:val="en-GB"/>
              </w:rPr>
              <w:t>PV-obligation for large consumers (R-7.03)</w:t>
            </w:r>
          </w:p>
        </w:tc>
        <w:tc>
          <w:tcPr>
            <w:tcW w:w="555" w:type="dxa"/>
            <w:shd w:val="clear" w:color="auto" w:fill="C6EFCE"/>
            <w:vAlign w:val="center"/>
          </w:tcPr>
          <w:p w14:paraId="4F7EAA55" w14:textId="77777777" w:rsidR="006A41D9" w:rsidRPr="001961AA" w:rsidRDefault="006A41D9" w:rsidP="00BD6DD1">
            <w:pPr>
              <w:rPr>
                <w:rFonts w:ascii="Times New Roman" w:eastAsia="Times New Roman" w:hAnsi="Times New Roman"/>
                <w:noProof/>
                <w:color w:val="006100"/>
                <w:lang w:val="en-GB"/>
              </w:rPr>
            </w:pPr>
            <w:r w:rsidRPr="001961AA">
              <w:rPr>
                <w:rFonts w:ascii="Times New Roman" w:hAnsi="Times New Roman"/>
                <w:noProof/>
                <w:color w:val="006100"/>
                <w:lang w:val="en-GB"/>
              </w:rPr>
              <w:t>M</w:t>
            </w:r>
          </w:p>
        </w:tc>
        <w:tc>
          <w:tcPr>
            <w:tcW w:w="1560" w:type="dxa"/>
            <w:shd w:val="clear" w:color="auto" w:fill="C6EFCE"/>
            <w:vAlign w:val="center"/>
          </w:tcPr>
          <w:p w14:paraId="49596D53" w14:textId="77777777" w:rsidR="006A41D9" w:rsidRPr="001961AA" w:rsidRDefault="006A41D9" w:rsidP="00BD6DD1">
            <w:pPr>
              <w:rPr>
                <w:rFonts w:ascii="Times New Roman" w:eastAsia="Times New Roman" w:hAnsi="Times New Roman"/>
                <w:noProof/>
                <w:color w:val="006100"/>
                <w:lang w:val="en-GB"/>
              </w:rPr>
            </w:pPr>
            <w:r w:rsidRPr="001961AA">
              <w:rPr>
                <w:rFonts w:ascii="Times New Roman" w:hAnsi="Times New Roman"/>
                <w:noProof/>
                <w:color w:val="006100"/>
                <w:lang w:val="en-GB"/>
              </w:rPr>
              <w:t>Entry into force of legislation</w:t>
            </w:r>
          </w:p>
        </w:tc>
        <w:tc>
          <w:tcPr>
            <w:tcW w:w="1842" w:type="dxa"/>
            <w:shd w:val="clear" w:color="auto" w:fill="C6EFCE"/>
            <w:vAlign w:val="center"/>
          </w:tcPr>
          <w:p w14:paraId="06C3D8F4" w14:textId="77777777" w:rsidR="006A41D9" w:rsidRPr="001961AA" w:rsidRDefault="006A41D9" w:rsidP="00BD6DD1">
            <w:pPr>
              <w:spacing w:line="259" w:lineRule="auto"/>
              <w:rPr>
                <w:rFonts w:ascii="Times New Roman" w:eastAsia="Times New Roman" w:hAnsi="Times New Roman"/>
                <w:noProof/>
                <w:color w:val="006100"/>
                <w:lang w:val="en-GB"/>
              </w:rPr>
            </w:pPr>
            <w:r w:rsidRPr="001961AA">
              <w:rPr>
                <w:rFonts w:ascii="Times New Roman" w:hAnsi="Times New Roman"/>
                <w:noProof/>
                <w:color w:val="006100"/>
                <w:lang w:val="en-GB"/>
              </w:rPr>
              <w:t>Provision in the legal act indicating the entry into force of provisions introducing the obligation to install solar panels for certain buildings</w:t>
            </w:r>
          </w:p>
        </w:tc>
        <w:tc>
          <w:tcPr>
            <w:tcW w:w="993" w:type="dxa"/>
            <w:shd w:val="clear" w:color="auto" w:fill="C6EFCE"/>
            <w:vAlign w:val="center"/>
          </w:tcPr>
          <w:p w14:paraId="2266CD47" w14:textId="77777777" w:rsidR="006A41D9" w:rsidRPr="001961AA" w:rsidRDefault="006A41D9" w:rsidP="00BD6DD1">
            <w:pPr>
              <w:rPr>
                <w:rFonts w:ascii="Times New Roman" w:eastAsia="Times New Roman" w:hAnsi="Times New Roman"/>
                <w:noProof/>
                <w:color w:val="006100"/>
                <w:lang w:val="en-GB"/>
              </w:rPr>
            </w:pPr>
          </w:p>
        </w:tc>
        <w:tc>
          <w:tcPr>
            <w:tcW w:w="992" w:type="dxa"/>
            <w:shd w:val="clear" w:color="auto" w:fill="C6EFCE"/>
            <w:vAlign w:val="center"/>
          </w:tcPr>
          <w:p w14:paraId="5CDDDEF4" w14:textId="77777777" w:rsidR="006A41D9" w:rsidRPr="001961AA" w:rsidRDefault="006A41D9" w:rsidP="00BD6DD1">
            <w:pPr>
              <w:rPr>
                <w:rFonts w:ascii="Times New Roman" w:eastAsia="Times New Roman" w:hAnsi="Times New Roman"/>
                <w:noProof/>
                <w:color w:val="006100"/>
                <w:lang w:val="en-GB"/>
              </w:rPr>
            </w:pPr>
          </w:p>
        </w:tc>
        <w:tc>
          <w:tcPr>
            <w:tcW w:w="709" w:type="dxa"/>
            <w:shd w:val="clear" w:color="auto" w:fill="C6EFCE"/>
            <w:vAlign w:val="center"/>
          </w:tcPr>
          <w:p w14:paraId="46BF1F64" w14:textId="77777777" w:rsidR="006A41D9" w:rsidRPr="001961AA" w:rsidRDefault="006A41D9" w:rsidP="00BD6DD1">
            <w:pPr>
              <w:rPr>
                <w:rFonts w:ascii="Times New Roman" w:eastAsia="Times New Roman" w:hAnsi="Times New Roman"/>
                <w:noProof/>
                <w:color w:val="006100"/>
                <w:lang w:val="en-GB"/>
              </w:rPr>
            </w:pPr>
          </w:p>
        </w:tc>
        <w:tc>
          <w:tcPr>
            <w:tcW w:w="992" w:type="dxa"/>
            <w:shd w:val="clear" w:color="auto" w:fill="C6EFCE"/>
            <w:vAlign w:val="center"/>
          </w:tcPr>
          <w:p w14:paraId="2D24169F" w14:textId="77777777" w:rsidR="006A41D9" w:rsidRPr="001961AA" w:rsidRDefault="006A41D9" w:rsidP="00BD6DD1">
            <w:pPr>
              <w:jc w:val="center"/>
              <w:rPr>
                <w:rFonts w:ascii="Times New Roman" w:eastAsia="Times New Roman" w:hAnsi="Times New Roman"/>
                <w:noProof/>
                <w:color w:val="006100"/>
                <w:lang w:val="en-GB"/>
              </w:rPr>
            </w:pPr>
            <w:r w:rsidRPr="001961AA">
              <w:rPr>
                <w:rFonts w:ascii="Times New Roman" w:hAnsi="Times New Roman"/>
                <w:noProof/>
                <w:color w:val="006100"/>
                <w:lang w:val="en-GB"/>
              </w:rPr>
              <w:t>Q2</w:t>
            </w:r>
          </w:p>
        </w:tc>
        <w:tc>
          <w:tcPr>
            <w:tcW w:w="709" w:type="dxa"/>
            <w:shd w:val="clear" w:color="auto" w:fill="C6EFCE"/>
            <w:vAlign w:val="center"/>
          </w:tcPr>
          <w:p w14:paraId="5C849CB0" w14:textId="7963B61B" w:rsidR="006A41D9" w:rsidRPr="001961AA" w:rsidRDefault="006A41D9" w:rsidP="00BD6DD1">
            <w:pPr>
              <w:jc w:val="center"/>
              <w:rPr>
                <w:rFonts w:ascii="Times New Roman" w:eastAsia="Times New Roman" w:hAnsi="Times New Roman"/>
                <w:noProof/>
                <w:color w:val="006100"/>
                <w:lang w:val="en-GB"/>
              </w:rPr>
            </w:pPr>
            <w:r w:rsidRPr="001961AA">
              <w:rPr>
                <w:rFonts w:ascii="Times New Roman" w:hAnsi="Times New Roman"/>
                <w:noProof/>
                <w:color w:val="006100"/>
                <w:lang w:val="en-GB"/>
              </w:rPr>
              <w:t>2023</w:t>
            </w:r>
          </w:p>
        </w:tc>
        <w:tc>
          <w:tcPr>
            <w:tcW w:w="3548" w:type="dxa"/>
            <w:shd w:val="clear" w:color="auto" w:fill="C6EFCE"/>
            <w:vAlign w:val="center"/>
          </w:tcPr>
          <w:p w14:paraId="667BFE5A" w14:textId="77777777" w:rsidR="006A41D9" w:rsidRPr="001961AA" w:rsidRDefault="006A41D9" w:rsidP="00BD6DD1">
            <w:pPr>
              <w:rPr>
                <w:rFonts w:ascii="Times New Roman" w:eastAsia="Times New Roman" w:hAnsi="Times New Roman"/>
                <w:noProof/>
                <w:color w:val="006100"/>
                <w:lang w:val="en-GB"/>
              </w:rPr>
            </w:pPr>
            <w:r w:rsidRPr="001961AA">
              <w:rPr>
                <w:rFonts w:ascii="Times New Roman" w:hAnsi="Times New Roman"/>
                <w:noProof/>
                <w:color w:val="006100"/>
                <w:lang w:val="en-GB"/>
              </w:rPr>
              <w:t>Entry into force of the decree introducing an obligation to install photovoltaic solar panels for: (1) buildings located in Flanders that are connected to electricity offtake points where, from calendar year 2021, there is an offtake of more than 1 GWh per year and (2) the buildings of public organizations located in Flanders that are connected to electricity offtake points</w:t>
            </w:r>
            <w:r w:rsidRPr="001961AA">
              <w:rPr>
                <w:rFonts w:ascii="Times New Roman" w:hAnsi="Times New Roman"/>
                <w:noProof/>
                <w:lang w:val="en-GB"/>
              </w:rPr>
              <w:t xml:space="preserve"> </w:t>
            </w:r>
            <w:r w:rsidRPr="001961AA">
              <w:rPr>
                <w:rFonts w:ascii="Times New Roman" w:hAnsi="Times New Roman"/>
                <w:noProof/>
                <w:color w:val="006100"/>
                <w:lang w:val="en-GB"/>
              </w:rPr>
              <w:t>where, from calendar year 2021, there is an offtake of more than 250 MWh per year.</w:t>
            </w:r>
          </w:p>
        </w:tc>
      </w:tr>
      <w:tr w:rsidR="004440D4" w:rsidRPr="001961AA" w14:paraId="1E7A4249" w14:textId="77777777" w:rsidTr="004440D4">
        <w:trPr>
          <w:trHeight w:val="660"/>
        </w:trPr>
        <w:tc>
          <w:tcPr>
            <w:tcW w:w="704" w:type="dxa"/>
            <w:shd w:val="clear" w:color="auto" w:fill="C6EFCE"/>
            <w:vAlign w:val="center"/>
          </w:tcPr>
          <w:p w14:paraId="62708D41" w14:textId="77777777" w:rsidR="006A41D9" w:rsidRPr="001961AA" w:rsidRDefault="006A41D9" w:rsidP="00BD6DD1">
            <w:pPr>
              <w:jc w:val="center"/>
              <w:rPr>
                <w:rFonts w:ascii="Times New Roman" w:eastAsia="Times New Roman" w:hAnsi="Times New Roman"/>
                <w:noProof/>
                <w:color w:val="006100"/>
                <w:lang w:val="en-GB"/>
              </w:rPr>
            </w:pPr>
            <w:r w:rsidRPr="001961AA">
              <w:rPr>
                <w:rFonts w:ascii="Times New Roman" w:hAnsi="Times New Roman"/>
                <w:noProof/>
                <w:color w:val="006100"/>
                <w:lang w:val="en-GB"/>
              </w:rPr>
              <w:t>230</w:t>
            </w:r>
          </w:p>
        </w:tc>
        <w:tc>
          <w:tcPr>
            <w:tcW w:w="1571" w:type="dxa"/>
            <w:shd w:val="clear" w:color="auto" w:fill="C6EFCE"/>
            <w:vAlign w:val="center"/>
          </w:tcPr>
          <w:p w14:paraId="12E7F2FF" w14:textId="77777777" w:rsidR="006A41D9" w:rsidRPr="001961AA" w:rsidRDefault="006A41D9" w:rsidP="00BD6DD1">
            <w:pPr>
              <w:rPr>
                <w:rFonts w:ascii="Times New Roman" w:eastAsia="Times New Roman" w:hAnsi="Times New Roman"/>
                <w:noProof/>
                <w:color w:val="006100"/>
                <w:lang w:val="en-GB"/>
              </w:rPr>
            </w:pPr>
            <w:r w:rsidRPr="001961AA">
              <w:rPr>
                <w:rFonts w:ascii="Times New Roman" w:hAnsi="Times New Roman"/>
                <w:noProof/>
                <w:color w:val="006100"/>
                <w:lang w:val="en-GB"/>
              </w:rPr>
              <w:t>Acceleration of the energy transition (R-7.04)</w:t>
            </w:r>
          </w:p>
        </w:tc>
        <w:tc>
          <w:tcPr>
            <w:tcW w:w="555" w:type="dxa"/>
            <w:shd w:val="clear" w:color="auto" w:fill="C6EFCE"/>
            <w:vAlign w:val="center"/>
          </w:tcPr>
          <w:p w14:paraId="6761E831" w14:textId="77777777" w:rsidR="006A41D9" w:rsidRPr="001961AA" w:rsidRDefault="006A41D9" w:rsidP="00BD6DD1">
            <w:pPr>
              <w:rPr>
                <w:rFonts w:ascii="Times New Roman" w:eastAsia="Times New Roman" w:hAnsi="Times New Roman"/>
                <w:noProof/>
                <w:color w:val="006100"/>
                <w:lang w:val="en-GB"/>
              </w:rPr>
            </w:pPr>
            <w:r w:rsidRPr="001961AA">
              <w:rPr>
                <w:rFonts w:ascii="Times New Roman" w:hAnsi="Times New Roman"/>
                <w:noProof/>
                <w:color w:val="006100"/>
                <w:lang w:val="en-GB"/>
              </w:rPr>
              <w:t>M</w:t>
            </w:r>
          </w:p>
        </w:tc>
        <w:tc>
          <w:tcPr>
            <w:tcW w:w="1560" w:type="dxa"/>
            <w:shd w:val="clear" w:color="auto" w:fill="C6EFCE"/>
            <w:vAlign w:val="center"/>
          </w:tcPr>
          <w:p w14:paraId="32158B8D" w14:textId="77777777" w:rsidR="006A41D9" w:rsidRPr="001961AA" w:rsidRDefault="006A41D9" w:rsidP="00BD6DD1">
            <w:pPr>
              <w:rPr>
                <w:rFonts w:ascii="Times New Roman" w:eastAsia="Times New Roman" w:hAnsi="Times New Roman"/>
                <w:noProof/>
                <w:color w:val="006100"/>
                <w:lang w:val="en-GB"/>
              </w:rPr>
            </w:pPr>
            <w:r w:rsidRPr="001961AA">
              <w:rPr>
                <w:rFonts w:ascii="Times New Roman" w:hAnsi="Times New Roman"/>
                <w:noProof/>
                <w:color w:val="006100"/>
                <w:lang w:val="en-GB"/>
              </w:rPr>
              <w:t>Entry into force of legislation</w:t>
            </w:r>
          </w:p>
        </w:tc>
        <w:tc>
          <w:tcPr>
            <w:tcW w:w="1842" w:type="dxa"/>
            <w:shd w:val="clear" w:color="auto" w:fill="C6EFCE"/>
            <w:vAlign w:val="center"/>
          </w:tcPr>
          <w:p w14:paraId="7F975B56" w14:textId="2BB904D5" w:rsidR="006A41D9" w:rsidRPr="001961AA" w:rsidRDefault="006A41D9" w:rsidP="00BD6DD1">
            <w:pPr>
              <w:rPr>
                <w:rFonts w:ascii="Times New Roman" w:eastAsia="Times New Roman" w:hAnsi="Times New Roman"/>
                <w:noProof/>
                <w:color w:val="006100"/>
                <w:lang w:val="en-GB"/>
              </w:rPr>
            </w:pPr>
            <w:r w:rsidRPr="001961AA">
              <w:rPr>
                <w:rFonts w:ascii="Times New Roman" w:hAnsi="Times New Roman"/>
                <w:noProof/>
                <w:color w:val="006100"/>
                <w:lang w:val="en-GB"/>
              </w:rPr>
              <w:t>Provision in the law indicating the entry into force of provisions revising the Nature Conservation Act and the revised Wind Energy Reference Framework</w:t>
            </w:r>
          </w:p>
        </w:tc>
        <w:tc>
          <w:tcPr>
            <w:tcW w:w="993" w:type="dxa"/>
            <w:shd w:val="clear" w:color="auto" w:fill="C6EFCE"/>
            <w:vAlign w:val="center"/>
          </w:tcPr>
          <w:p w14:paraId="6C97FE81" w14:textId="77777777" w:rsidR="006A41D9" w:rsidRPr="001961AA" w:rsidRDefault="006A41D9" w:rsidP="00BD6DD1">
            <w:pPr>
              <w:rPr>
                <w:rFonts w:ascii="Times New Roman" w:eastAsia="Times New Roman" w:hAnsi="Times New Roman"/>
                <w:noProof/>
                <w:color w:val="006100"/>
                <w:lang w:val="en-GB"/>
              </w:rPr>
            </w:pPr>
          </w:p>
        </w:tc>
        <w:tc>
          <w:tcPr>
            <w:tcW w:w="992" w:type="dxa"/>
            <w:shd w:val="clear" w:color="auto" w:fill="C6EFCE"/>
            <w:vAlign w:val="center"/>
          </w:tcPr>
          <w:p w14:paraId="1E0B9C44" w14:textId="77777777" w:rsidR="006A41D9" w:rsidRPr="001961AA" w:rsidRDefault="006A41D9" w:rsidP="00BD6DD1">
            <w:pPr>
              <w:rPr>
                <w:rFonts w:ascii="Times New Roman" w:eastAsia="Times New Roman" w:hAnsi="Times New Roman"/>
                <w:noProof/>
                <w:color w:val="006100"/>
                <w:lang w:val="en-GB"/>
              </w:rPr>
            </w:pPr>
          </w:p>
        </w:tc>
        <w:tc>
          <w:tcPr>
            <w:tcW w:w="709" w:type="dxa"/>
            <w:shd w:val="clear" w:color="auto" w:fill="C6EFCE"/>
            <w:vAlign w:val="center"/>
          </w:tcPr>
          <w:p w14:paraId="3E76AADB" w14:textId="77777777" w:rsidR="006A41D9" w:rsidRPr="001961AA" w:rsidRDefault="006A41D9" w:rsidP="00BD6DD1">
            <w:pPr>
              <w:rPr>
                <w:rFonts w:ascii="Times New Roman" w:eastAsia="Times New Roman" w:hAnsi="Times New Roman"/>
                <w:noProof/>
                <w:color w:val="006100"/>
                <w:lang w:val="en-GB"/>
              </w:rPr>
            </w:pPr>
          </w:p>
        </w:tc>
        <w:tc>
          <w:tcPr>
            <w:tcW w:w="992" w:type="dxa"/>
            <w:shd w:val="clear" w:color="auto" w:fill="C6EFCE"/>
            <w:vAlign w:val="center"/>
          </w:tcPr>
          <w:p w14:paraId="69855857" w14:textId="77777777" w:rsidR="006A41D9" w:rsidRPr="001961AA" w:rsidRDefault="006A41D9" w:rsidP="00BD6DD1">
            <w:pPr>
              <w:jc w:val="center"/>
              <w:rPr>
                <w:rFonts w:ascii="Times New Roman" w:eastAsia="Times New Roman" w:hAnsi="Times New Roman"/>
                <w:noProof/>
                <w:color w:val="006100"/>
                <w:lang w:val="en-GB"/>
              </w:rPr>
            </w:pPr>
            <w:r w:rsidRPr="001961AA">
              <w:rPr>
                <w:rFonts w:ascii="Times New Roman" w:hAnsi="Times New Roman"/>
                <w:noProof/>
                <w:color w:val="006100"/>
                <w:lang w:val="en-GB"/>
              </w:rPr>
              <w:t>Q4</w:t>
            </w:r>
          </w:p>
        </w:tc>
        <w:tc>
          <w:tcPr>
            <w:tcW w:w="709" w:type="dxa"/>
            <w:shd w:val="clear" w:color="auto" w:fill="C6EFCE"/>
            <w:vAlign w:val="center"/>
          </w:tcPr>
          <w:p w14:paraId="3B9AF811" w14:textId="77777777" w:rsidR="006A41D9" w:rsidRPr="001961AA" w:rsidRDefault="006A41D9" w:rsidP="00BD6DD1">
            <w:pPr>
              <w:jc w:val="center"/>
              <w:rPr>
                <w:rFonts w:ascii="Times New Roman" w:eastAsia="Times New Roman" w:hAnsi="Times New Roman"/>
                <w:noProof/>
                <w:color w:val="006100"/>
                <w:lang w:val="en-GB"/>
              </w:rPr>
            </w:pPr>
            <w:r w:rsidRPr="001961AA">
              <w:rPr>
                <w:rFonts w:ascii="Times New Roman" w:hAnsi="Times New Roman"/>
                <w:noProof/>
                <w:color w:val="006100"/>
                <w:lang w:val="en-GB"/>
              </w:rPr>
              <w:t>2024</w:t>
            </w:r>
          </w:p>
        </w:tc>
        <w:tc>
          <w:tcPr>
            <w:tcW w:w="3548" w:type="dxa"/>
            <w:shd w:val="clear" w:color="auto" w:fill="C6EFCE"/>
            <w:vAlign w:val="center"/>
          </w:tcPr>
          <w:p w14:paraId="432B84AF" w14:textId="77777777" w:rsidR="006A41D9" w:rsidRPr="001961AA" w:rsidRDefault="006A41D9" w:rsidP="00BD6DD1">
            <w:pPr>
              <w:spacing w:after="120"/>
              <w:rPr>
                <w:rFonts w:ascii="Times New Roman" w:eastAsia="Times New Roman" w:hAnsi="Times New Roman"/>
                <w:noProof/>
                <w:color w:val="006100"/>
                <w:lang w:val="en-GB"/>
              </w:rPr>
            </w:pPr>
            <w:r w:rsidRPr="001961AA">
              <w:rPr>
                <w:rFonts w:ascii="Times New Roman" w:hAnsi="Times New Roman"/>
                <w:noProof/>
                <w:color w:val="006100"/>
                <w:lang w:val="en-GB"/>
              </w:rPr>
              <w:t>(1) Entry into force of the reform of the Nature Conservation Act, simplifying the procedures for assessing the impact of projects of power generation facilities from renewable sources on biodiversity in areas which shall be defined as ‘renewables acceleration areas’.</w:t>
            </w:r>
          </w:p>
          <w:p w14:paraId="778E059D" w14:textId="3BAB6A5A" w:rsidR="006A41D9" w:rsidRPr="001961AA" w:rsidRDefault="006A41D9" w:rsidP="00BD6DD1">
            <w:pPr>
              <w:pStyle w:val="paragraph"/>
              <w:spacing w:before="0" w:beforeAutospacing="0" w:after="120" w:afterAutospacing="0"/>
              <w:jc w:val="both"/>
              <w:textAlignment w:val="baseline"/>
              <w:rPr>
                <w:noProof/>
                <w:color w:val="006100"/>
                <w:lang w:val="en-GB"/>
              </w:rPr>
            </w:pPr>
            <w:r w:rsidRPr="001961AA">
              <w:rPr>
                <w:noProof/>
                <w:color w:val="006100"/>
                <w:lang w:val="en-GB"/>
              </w:rPr>
              <w:t>(</w:t>
            </w:r>
            <w:r w:rsidRPr="001961AA">
              <w:rPr>
                <w:noProof/>
                <w:color w:val="006100"/>
                <w:sz w:val="22"/>
                <w:lang w:val="en-GB"/>
              </w:rPr>
              <w:t>2) Entry into force of the revised Wind Energy Reference Framework, with a view to enshrining the overriding public interest in renewable energy; adapting the distance from the masts to the habitats, modulating the obligation to install a minimum number of masts; adapting the ambitions of renewable energy installations to the best available technologies.</w:t>
            </w:r>
          </w:p>
        </w:tc>
      </w:tr>
      <w:tr w:rsidR="004440D4" w:rsidRPr="001961AA" w14:paraId="549466D9" w14:textId="77777777" w:rsidTr="004440D4">
        <w:trPr>
          <w:trHeight w:val="3420"/>
        </w:trPr>
        <w:tc>
          <w:tcPr>
            <w:tcW w:w="704" w:type="dxa"/>
            <w:shd w:val="clear" w:color="auto" w:fill="C6EFCE"/>
            <w:vAlign w:val="center"/>
          </w:tcPr>
          <w:p w14:paraId="534DB3E0" w14:textId="77777777" w:rsidR="006A41D9" w:rsidRPr="001961AA" w:rsidRDefault="006A41D9" w:rsidP="00BD6DD1">
            <w:pPr>
              <w:jc w:val="center"/>
              <w:rPr>
                <w:rFonts w:ascii="Times New Roman" w:eastAsia="Times New Roman" w:hAnsi="Times New Roman"/>
                <w:noProof/>
                <w:color w:val="006100"/>
                <w:lang w:val="en-GB"/>
              </w:rPr>
            </w:pPr>
            <w:r w:rsidRPr="001961AA">
              <w:rPr>
                <w:rFonts w:ascii="Times New Roman" w:hAnsi="Times New Roman"/>
                <w:noProof/>
                <w:color w:val="006100"/>
                <w:lang w:val="en-GB"/>
              </w:rPr>
              <w:t>231</w:t>
            </w:r>
          </w:p>
        </w:tc>
        <w:tc>
          <w:tcPr>
            <w:tcW w:w="1571" w:type="dxa"/>
            <w:shd w:val="clear" w:color="auto" w:fill="C6EFCE"/>
            <w:vAlign w:val="center"/>
          </w:tcPr>
          <w:p w14:paraId="66FA6B8B" w14:textId="77777777" w:rsidR="006A41D9" w:rsidRPr="001961AA" w:rsidRDefault="006A41D9" w:rsidP="00BD6DD1">
            <w:pPr>
              <w:rPr>
                <w:rFonts w:ascii="Times New Roman" w:eastAsia="Times New Roman" w:hAnsi="Times New Roman"/>
                <w:noProof/>
                <w:color w:val="006100"/>
                <w:lang w:val="en-GB"/>
              </w:rPr>
            </w:pPr>
            <w:r w:rsidRPr="001961AA">
              <w:rPr>
                <w:rFonts w:ascii="Times New Roman" w:hAnsi="Times New Roman"/>
                <w:noProof/>
                <w:color w:val="006100"/>
                <w:lang w:val="en-GB"/>
              </w:rPr>
              <w:t>Acceleration of the energy transition (R-7.04)</w:t>
            </w:r>
          </w:p>
        </w:tc>
        <w:tc>
          <w:tcPr>
            <w:tcW w:w="555" w:type="dxa"/>
            <w:shd w:val="clear" w:color="auto" w:fill="C6EFCE"/>
            <w:vAlign w:val="center"/>
          </w:tcPr>
          <w:p w14:paraId="2FFCA52A" w14:textId="77777777" w:rsidR="006A41D9" w:rsidRPr="001961AA" w:rsidRDefault="006A41D9" w:rsidP="00BD6DD1">
            <w:pPr>
              <w:rPr>
                <w:rFonts w:ascii="Times New Roman" w:eastAsia="Times New Roman" w:hAnsi="Times New Roman"/>
                <w:noProof/>
                <w:color w:val="006100"/>
                <w:lang w:val="en-GB"/>
              </w:rPr>
            </w:pPr>
            <w:r w:rsidRPr="001961AA">
              <w:rPr>
                <w:rFonts w:ascii="Times New Roman" w:hAnsi="Times New Roman"/>
                <w:noProof/>
                <w:color w:val="006100"/>
                <w:lang w:val="en-GB"/>
              </w:rPr>
              <w:t>M</w:t>
            </w:r>
          </w:p>
        </w:tc>
        <w:tc>
          <w:tcPr>
            <w:tcW w:w="1560" w:type="dxa"/>
            <w:shd w:val="clear" w:color="auto" w:fill="C6EFCE"/>
            <w:vAlign w:val="center"/>
          </w:tcPr>
          <w:p w14:paraId="0A5904CB" w14:textId="77777777" w:rsidR="006A41D9" w:rsidRPr="001961AA" w:rsidRDefault="006A41D9" w:rsidP="00BD6DD1">
            <w:pPr>
              <w:rPr>
                <w:rFonts w:ascii="Times New Roman" w:eastAsia="Times New Roman" w:hAnsi="Times New Roman"/>
                <w:noProof/>
                <w:color w:val="006100"/>
                <w:lang w:val="en-GB"/>
              </w:rPr>
            </w:pPr>
            <w:r w:rsidRPr="001961AA">
              <w:rPr>
                <w:rFonts w:ascii="Times New Roman" w:hAnsi="Times New Roman"/>
                <w:noProof/>
                <w:color w:val="006100"/>
                <w:lang w:val="en-GB"/>
              </w:rPr>
              <w:t>Entry into force of legislation</w:t>
            </w:r>
          </w:p>
        </w:tc>
        <w:tc>
          <w:tcPr>
            <w:tcW w:w="1842" w:type="dxa"/>
            <w:shd w:val="clear" w:color="auto" w:fill="C6EFCE"/>
            <w:vAlign w:val="center"/>
          </w:tcPr>
          <w:p w14:paraId="14198CA2" w14:textId="084084FA" w:rsidR="006A41D9" w:rsidRPr="001961AA" w:rsidRDefault="6F56AE32" w:rsidP="00BD6DD1">
            <w:pPr>
              <w:rPr>
                <w:rFonts w:ascii="Times New Roman" w:eastAsia="Times New Roman" w:hAnsi="Times New Roman"/>
                <w:noProof/>
                <w:color w:val="006100"/>
                <w:lang w:val="en-GB"/>
              </w:rPr>
            </w:pPr>
            <w:r w:rsidRPr="001961AA">
              <w:rPr>
                <w:rFonts w:ascii="Times New Roman" w:hAnsi="Times New Roman"/>
                <w:noProof/>
                <w:color w:val="006100"/>
                <w:lang w:val="en-GB"/>
              </w:rPr>
              <w:t>Provision in the law indicating the entry into force of provisions banning coal and fuel oil for heating</w:t>
            </w:r>
          </w:p>
        </w:tc>
        <w:tc>
          <w:tcPr>
            <w:tcW w:w="993" w:type="dxa"/>
            <w:shd w:val="clear" w:color="auto" w:fill="C6EFCE"/>
            <w:vAlign w:val="center"/>
          </w:tcPr>
          <w:p w14:paraId="3334CEC3" w14:textId="77777777" w:rsidR="006A41D9" w:rsidRPr="001961AA" w:rsidRDefault="006A41D9" w:rsidP="00BD6DD1">
            <w:pPr>
              <w:rPr>
                <w:rFonts w:ascii="Times New Roman" w:eastAsia="Times New Roman" w:hAnsi="Times New Roman"/>
                <w:noProof/>
                <w:color w:val="006100"/>
                <w:lang w:val="en-GB"/>
              </w:rPr>
            </w:pPr>
          </w:p>
        </w:tc>
        <w:tc>
          <w:tcPr>
            <w:tcW w:w="992" w:type="dxa"/>
            <w:shd w:val="clear" w:color="auto" w:fill="C6EFCE"/>
            <w:vAlign w:val="center"/>
          </w:tcPr>
          <w:p w14:paraId="0BECD341" w14:textId="77777777" w:rsidR="006A41D9" w:rsidRPr="001961AA" w:rsidRDefault="006A41D9" w:rsidP="00BD6DD1">
            <w:pPr>
              <w:rPr>
                <w:rFonts w:ascii="Times New Roman" w:eastAsia="Times New Roman" w:hAnsi="Times New Roman"/>
                <w:noProof/>
                <w:color w:val="006100"/>
                <w:lang w:val="en-GB"/>
              </w:rPr>
            </w:pPr>
          </w:p>
        </w:tc>
        <w:tc>
          <w:tcPr>
            <w:tcW w:w="709" w:type="dxa"/>
            <w:shd w:val="clear" w:color="auto" w:fill="C6EFCE"/>
            <w:vAlign w:val="center"/>
          </w:tcPr>
          <w:p w14:paraId="177111DF" w14:textId="77777777" w:rsidR="006A41D9" w:rsidRPr="001961AA" w:rsidRDefault="006A41D9" w:rsidP="00BD6DD1">
            <w:pPr>
              <w:rPr>
                <w:rFonts w:ascii="Times New Roman" w:eastAsia="Times New Roman" w:hAnsi="Times New Roman"/>
                <w:noProof/>
                <w:color w:val="006100"/>
                <w:lang w:val="en-GB"/>
              </w:rPr>
            </w:pPr>
          </w:p>
        </w:tc>
        <w:tc>
          <w:tcPr>
            <w:tcW w:w="992" w:type="dxa"/>
            <w:shd w:val="clear" w:color="auto" w:fill="C6EFCE"/>
            <w:vAlign w:val="center"/>
          </w:tcPr>
          <w:p w14:paraId="67C766C2" w14:textId="77777777" w:rsidR="006A41D9" w:rsidRPr="001961AA" w:rsidRDefault="006A41D9" w:rsidP="00BD6DD1">
            <w:pPr>
              <w:jc w:val="center"/>
              <w:rPr>
                <w:rFonts w:ascii="Times New Roman" w:eastAsia="Times New Roman" w:hAnsi="Times New Roman"/>
                <w:noProof/>
                <w:color w:val="006100"/>
                <w:lang w:val="en-GB"/>
              </w:rPr>
            </w:pPr>
            <w:r w:rsidRPr="001961AA">
              <w:rPr>
                <w:rFonts w:ascii="Times New Roman" w:hAnsi="Times New Roman"/>
                <w:noProof/>
                <w:color w:val="006100"/>
                <w:lang w:val="en-GB"/>
              </w:rPr>
              <w:t>Q2</w:t>
            </w:r>
          </w:p>
        </w:tc>
        <w:tc>
          <w:tcPr>
            <w:tcW w:w="709" w:type="dxa"/>
            <w:shd w:val="clear" w:color="auto" w:fill="C6EFCE"/>
            <w:vAlign w:val="center"/>
          </w:tcPr>
          <w:p w14:paraId="67BE1D01" w14:textId="77777777" w:rsidR="006A41D9" w:rsidRPr="001961AA" w:rsidRDefault="006A41D9" w:rsidP="00BD6DD1">
            <w:pPr>
              <w:jc w:val="center"/>
              <w:rPr>
                <w:rFonts w:ascii="Times New Roman" w:eastAsia="Times New Roman" w:hAnsi="Times New Roman"/>
                <w:noProof/>
                <w:color w:val="006100"/>
                <w:lang w:val="en-GB"/>
              </w:rPr>
            </w:pPr>
            <w:r w:rsidRPr="001961AA">
              <w:rPr>
                <w:rFonts w:ascii="Times New Roman" w:hAnsi="Times New Roman"/>
                <w:noProof/>
                <w:color w:val="006100"/>
                <w:lang w:val="en-GB"/>
              </w:rPr>
              <w:t>2025</w:t>
            </w:r>
          </w:p>
        </w:tc>
        <w:tc>
          <w:tcPr>
            <w:tcW w:w="3548" w:type="dxa"/>
            <w:shd w:val="clear" w:color="auto" w:fill="C6EFCE"/>
            <w:vAlign w:val="center"/>
          </w:tcPr>
          <w:p w14:paraId="036BAB39" w14:textId="7FF4E522" w:rsidR="006A41D9" w:rsidRPr="001961AA" w:rsidRDefault="6F56AE32" w:rsidP="00BD6DD1">
            <w:pPr>
              <w:rPr>
                <w:rFonts w:ascii="Times New Roman" w:eastAsia="Times New Roman" w:hAnsi="Times New Roman"/>
                <w:noProof/>
                <w:color w:val="006100"/>
                <w:lang w:val="en-GB"/>
              </w:rPr>
            </w:pPr>
            <w:r w:rsidRPr="001961AA">
              <w:rPr>
                <w:rFonts w:ascii="Times New Roman" w:hAnsi="Times New Roman"/>
                <w:noProof/>
                <w:color w:val="006100"/>
                <w:lang w:val="en-GB"/>
              </w:rPr>
              <w:t>Entry into force of the revision of the Walloon government decree on the energy performance of buildings, banning coal and fuel oil for heating and domestic hot water in new buildings from 1 March 2025 and in existing buildings from 1 January 2026.</w:t>
            </w:r>
          </w:p>
        </w:tc>
      </w:tr>
      <w:tr w:rsidR="004440D4" w:rsidRPr="001961AA" w14:paraId="3BBFDF7C" w14:textId="77777777" w:rsidTr="004440D4">
        <w:trPr>
          <w:trHeight w:val="660"/>
        </w:trPr>
        <w:tc>
          <w:tcPr>
            <w:tcW w:w="704" w:type="dxa"/>
            <w:shd w:val="clear" w:color="auto" w:fill="C6EFCE"/>
            <w:vAlign w:val="center"/>
          </w:tcPr>
          <w:p w14:paraId="5C3A7510" w14:textId="77777777" w:rsidR="006A41D9" w:rsidRPr="001961AA" w:rsidRDefault="006A41D9" w:rsidP="00BD6DD1">
            <w:pPr>
              <w:jc w:val="center"/>
              <w:rPr>
                <w:rFonts w:ascii="Times New Roman" w:eastAsia="Times New Roman" w:hAnsi="Times New Roman"/>
                <w:noProof/>
                <w:color w:val="006100"/>
                <w:lang w:val="en-GB"/>
              </w:rPr>
            </w:pPr>
            <w:r w:rsidRPr="001961AA">
              <w:rPr>
                <w:rFonts w:ascii="Times New Roman" w:hAnsi="Times New Roman"/>
                <w:noProof/>
                <w:color w:val="006100"/>
                <w:lang w:val="en-GB"/>
              </w:rPr>
              <w:t>232</w:t>
            </w:r>
          </w:p>
        </w:tc>
        <w:tc>
          <w:tcPr>
            <w:tcW w:w="1571" w:type="dxa"/>
            <w:shd w:val="clear" w:color="auto" w:fill="C6EFCE"/>
            <w:vAlign w:val="center"/>
          </w:tcPr>
          <w:p w14:paraId="49A9C5AC" w14:textId="77777777" w:rsidR="006A41D9" w:rsidRPr="001961AA" w:rsidRDefault="006A41D9" w:rsidP="00BD6DD1">
            <w:pPr>
              <w:rPr>
                <w:rFonts w:ascii="Times New Roman" w:eastAsia="Times New Roman" w:hAnsi="Times New Roman"/>
                <w:noProof/>
                <w:color w:val="006100"/>
                <w:lang w:val="en-GB"/>
              </w:rPr>
            </w:pPr>
            <w:r w:rsidRPr="001961AA">
              <w:rPr>
                <w:rFonts w:ascii="Times New Roman" w:hAnsi="Times New Roman"/>
                <w:noProof/>
                <w:color w:val="006100"/>
                <w:lang w:val="en-GB"/>
              </w:rPr>
              <w:t>Floating Solar (I-7.16)</w:t>
            </w:r>
          </w:p>
        </w:tc>
        <w:tc>
          <w:tcPr>
            <w:tcW w:w="555" w:type="dxa"/>
            <w:shd w:val="clear" w:color="auto" w:fill="C6EFCE"/>
            <w:vAlign w:val="center"/>
          </w:tcPr>
          <w:p w14:paraId="11112FAE" w14:textId="77777777" w:rsidR="006A41D9" w:rsidRPr="001961AA" w:rsidRDefault="006A41D9" w:rsidP="00BD6DD1">
            <w:pPr>
              <w:rPr>
                <w:rFonts w:ascii="Times New Roman" w:eastAsia="Times New Roman" w:hAnsi="Times New Roman"/>
                <w:noProof/>
                <w:color w:val="006100"/>
                <w:lang w:val="en-GB"/>
              </w:rPr>
            </w:pPr>
            <w:r w:rsidRPr="001961AA">
              <w:rPr>
                <w:rFonts w:ascii="Times New Roman" w:hAnsi="Times New Roman"/>
                <w:noProof/>
                <w:color w:val="006100"/>
                <w:lang w:val="en-GB"/>
              </w:rPr>
              <w:t>M</w:t>
            </w:r>
          </w:p>
        </w:tc>
        <w:tc>
          <w:tcPr>
            <w:tcW w:w="1560" w:type="dxa"/>
            <w:shd w:val="clear" w:color="auto" w:fill="C6EFCE"/>
            <w:vAlign w:val="center"/>
          </w:tcPr>
          <w:p w14:paraId="5B5ED1AB" w14:textId="77777777" w:rsidR="006A41D9" w:rsidRPr="001961AA" w:rsidRDefault="006A41D9" w:rsidP="00BD6DD1">
            <w:pPr>
              <w:rPr>
                <w:rFonts w:ascii="Times New Roman" w:eastAsia="Times New Roman" w:hAnsi="Times New Roman"/>
                <w:noProof/>
                <w:color w:val="006100"/>
                <w:lang w:val="en-GB"/>
              </w:rPr>
            </w:pPr>
            <w:r w:rsidRPr="001961AA">
              <w:rPr>
                <w:rFonts w:ascii="Times New Roman" w:hAnsi="Times New Roman"/>
                <w:noProof/>
                <w:color w:val="006100"/>
                <w:lang w:val="en-GB"/>
              </w:rPr>
              <w:t>Full scale demonstrator operational</w:t>
            </w:r>
          </w:p>
        </w:tc>
        <w:tc>
          <w:tcPr>
            <w:tcW w:w="1842" w:type="dxa"/>
            <w:shd w:val="clear" w:color="auto" w:fill="C6EFCE"/>
            <w:vAlign w:val="center"/>
          </w:tcPr>
          <w:p w14:paraId="5F9E7472" w14:textId="77777777" w:rsidR="006A41D9" w:rsidRPr="001961AA" w:rsidRDefault="006A41D9" w:rsidP="00BD6DD1">
            <w:pPr>
              <w:rPr>
                <w:rFonts w:ascii="Times New Roman" w:eastAsia="Times New Roman" w:hAnsi="Times New Roman"/>
                <w:noProof/>
                <w:color w:val="006100"/>
                <w:lang w:val="en-GB"/>
              </w:rPr>
            </w:pPr>
            <w:r w:rsidRPr="001961AA">
              <w:rPr>
                <w:rFonts w:ascii="Times New Roman" w:hAnsi="Times New Roman"/>
                <w:noProof/>
                <w:color w:val="006100"/>
                <w:lang w:val="en-GB"/>
              </w:rPr>
              <w:t>Installation and operationalisation</w:t>
            </w:r>
          </w:p>
        </w:tc>
        <w:tc>
          <w:tcPr>
            <w:tcW w:w="993" w:type="dxa"/>
            <w:shd w:val="clear" w:color="auto" w:fill="C6EFCE"/>
            <w:vAlign w:val="center"/>
          </w:tcPr>
          <w:p w14:paraId="5CE625C2" w14:textId="77777777" w:rsidR="006A41D9" w:rsidRPr="001961AA" w:rsidRDefault="006A41D9" w:rsidP="00BD6DD1">
            <w:pPr>
              <w:rPr>
                <w:rFonts w:ascii="Times New Roman" w:eastAsia="Times New Roman" w:hAnsi="Times New Roman"/>
                <w:noProof/>
                <w:color w:val="006100"/>
                <w:lang w:val="en-GB"/>
              </w:rPr>
            </w:pPr>
          </w:p>
        </w:tc>
        <w:tc>
          <w:tcPr>
            <w:tcW w:w="992" w:type="dxa"/>
            <w:shd w:val="clear" w:color="auto" w:fill="C6EFCE"/>
            <w:vAlign w:val="center"/>
          </w:tcPr>
          <w:p w14:paraId="04437658" w14:textId="77777777" w:rsidR="006A41D9" w:rsidRPr="001961AA" w:rsidRDefault="006A41D9" w:rsidP="00BD6DD1">
            <w:pPr>
              <w:rPr>
                <w:rFonts w:ascii="Times New Roman" w:eastAsia="Times New Roman" w:hAnsi="Times New Roman"/>
                <w:noProof/>
                <w:color w:val="006100"/>
                <w:lang w:val="en-GB"/>
              </w:rPr>
            </w:pPr>
          </w:p>
        </w:tc>
        <w:tc>
          <w:tcPr>
            <w:tcW w:w="709" w:type="dxa"/>
            <w:shd w:val="clear" w:color="auto" w:fill="C6EFCE"/>
            <w:vAlign w:val="center"/>
          </w:tcPr>
          <w:p w14:paraId="2B1FD2E8" w14:textId="77777777" w:rsidR="006A41D9" w:rsidRPr="001961AA" w:rsidRDefault="006A41D9" w:rsidP="00BD6DD1">
            <w:pPr>
              <w:rPr>
                <w:rFonts w:ascii="Times New Roman" w:eastAsia="Times New Roman" w:hAnsi="Times New Roman"/>
                <w:noProof/>
                <w:color w:val="006100"/>
                <w:lang w:val="en-GB"/>
              </w:rPr>
            </w:pPr>
          </w:p>
        </w:tc>
        <w:tc>
          <w:tcPr>
            <w:tcW w:w="992" w:type="dxa"/>
            <w:shd w:val="clear" w:color="auto" w:fill="C6EFCE"/>
            <w:vAlign w:val="center"/>
          </w:tcPr>
          <w:p w14:paraId="7EEAC5F3" w14:textId="77777777" w:rsidR="006A41D9" w:rsidRPr="001961AA" w:rsidRDefault="006A41D9" w:rsidP="00BD6DD1">
            <w:pPr>
              <w:jc w:val="center"/>
              <w:rPr>
                <w:rFonts w:ascii="Times New Roman" w:eastAsia="Times New Roman" w:hAnsi="Times New Roman"/>
                <w:noProof/>
                <w:color w:val="006100"/>
                <w:lang w:val="en-GB"/>
              </w:rPr>
            </w:pPr>
            <w:r w:rsidRPr="001961AA">
              <w:rPr>
                <w:rFonts w:ascii="Times New Roman" w:hAnsi="Times New Roman"/>
                <w:noProof/>
                <w:color w:val="006100"/>
                <w:lang w:val="en-GB"/>
              </w:rPr>
              <w:t>Q4</w:t>
            </w:r>
          </w:p>
        </w:tc>
        <w:tc>
          <w:tcPr>
            <w:tcW w:w="709" w:type="dxa"/>
            <w:shd w:val="clear" w:color="auto" w:fill="C6EFCE"/>
            <w:vAlign w:val="center"/>
          </w:tcPr>
          <w:p w14:paraId="0FB8F9E9" w14:textId="77777777" w:rsidR="006A41D9" w:rsidRPr="001961AA" w:rsidRDefault="006A41D9" w:rsidP="00BD6DD1">
            <w:pPr>
              <w:jc w:val="center"/>
              <w:rPr>
                <w:rFonts w:ascii="Times New Roman" w:eastAsia="Times New Roman" w:hAnsi="Times New Roman"/>
                <w:noProof/>
                <w:color w:val="006100"/>
                <w:lang w:val="en-GB"/>
              </w:rPr>
            </w:pPr>
            <w:r w:rsidRPr="001961AA">
              <w:rPr>
                <w:rFonts w:ascii="Times New Roman" w:hAnsi="Times New Roman"/>
                <w:noProof/>
                <w:color w:val="006100"/>
                <w:lang w:val="en-GB"/>
              </w:rPr>
              <w:t>2025</w:t>
            </w:r>
          </w:p>
        </w:tc>
        <w:tc>
          <w:tcPr>
            <w:tcW w:w="3548" w:type="dxa"/>
            <w:shd w:val="clear" w:color="auto" w:fill="C6EFCE"/>
            <w:vAlign w:val="center"/>
          </w:tcPr>
          <w:p w14:paraId="46581239" w14:textId="77777777" w:rsidR="006A41D9" w:rsidRPr="001961AA" w:rsidRDefault="006A41D9" w:rsidP="00BD6DD1">
            <w:pPr>
              <w:rPr>
                <w:rFonts w:ascii="Times New Roman" w:eastAsia="Times New Roman" w:hAnsi="Times New Roman"/>
                <w:noProof/>
                <w:color w:val="006100"/>
                <w:lang w:val="en-GB"/>
              </w:rPr>
            </w:pPr>
            <w:r w:rsidRPr="001961AA">
              <w:rPr>
                <w:rFonts w:ascii="Times New Roman" w:hAnsi="Times New Roman"/>
                <w:noProof/>
                <w:color w:val="006100"/>
                <w:lang w:val="en-GB"/>
              </w:rPr>
              <w:t>Full scale floating solar panel demonstrator installed and operational with a capacity between 1 and 5 MW.</w:t>
            </w:r>
          </w:p>
        </w:tc>
      </w:tr>
      <w:tr w:rsidR="004440D4" w:rsidRPr="001961AA" w14:paraId="40DE8D49" w14:textId="77777777" w:rsidTr="004440D4">
        <w:trPr>
          <w:trHeight w:val="660"/>
        </w:trPr>
        <w:tc>
          <w:tcPr>
            <w:tcW w:w="704" w:type="dxa"/>
            <w:shd w:val="clear" w:color="auto" w:fill="C6EFCE"/>
            <w:vAlign w:val="center"/>
          </w:tcPr>
          <w:p w14:paraId="4AED7C86" w14:textId="77777777" w:rsidR="006A41D9" w:rsidRPr="001961AA" w:rsidRDefault="006A41D9" w:rsidP="00BD6DD1">
            <w:pPr>
              <w:jc w:val="center"/>
              <w:rPr>
                <w:rFonts w:ascii="Times New Roman" w:eastAsia="Times New Roman" w:hAnsi="Times New Roman"/>
                <w:noProof/>
                <w:color w:val="006100"/>
                <w:lang w:val="en-GB"/>
              </w:rPr>
            </w:pPr>
            <w:r w:rsidRPr="001961AA">
              <w:rPr>
                <w:rFonts w:ascii="Times New Roman" w:hAnsi="Times New Roman"/>
                <w:noProof/>
                <w:color w:val="006100"/>
                <w:lang w:val="en-GB"/>
              </w:rPr>
              <w:t>233</w:t>
            </w:r>
          </w:p>
        </w:tc>
        <w:tc>
          <w:tcPr>
            <w:tcW w:w="1571" w:type="dxa"/>
            <w:shd w:val="clear" w:color="auto" w:fill="C6EFCE"/>
            <w:vAlign w:val="center"/>
          </w:tcPr>
          <w:p w14:paraId="13CF10C7" w14:textId="77777777" w:rsidR="006A41D9" w:rsidRPr="001961AA" w:rsidRDefault="006A41D9" w:rsidP="00BD6DD1">
            <w:pPr>
              <w:rPr>
                <w:rFonts w:ascii="Times New Roman" w:eastAsia="Times New Roman" w:hAnsi="Times New Roman"/>
                <w:noProof/>
                <w:color w:val="006100"/>
                <w:lang w:val="en-GB"/>
              </w:rPr>
            </w:pPr>
            <w:r w:rsidRPr="001961AA">
              <w:rPr>
                <w:rFonts w:ascii="Times New Roman" w:hAnsi="Times New Roman"/>
                <w:noProof/>
                <w:color w:val="006100"/>
                <w:lang w:val="en-GB"/>
              </w:rPr>
              <w:t>Optimization of energy distribution (I-7.17)</w:t>
            </w:r>
          </w:p>
        </w:tc>
        <w:tc>
          <w:tcPr>
            <w:tcW w:w="555" w:type="dxa"/>
            <w:shd w:val="clear" w:color="auto" w:fill="C6EFCE"/>
            <w:vAlign w:val="center"/>
          </w:tcPr>
          <w:p w14:paraId="09C34B95" w14:textId="77777777" w:rsidR="006A41D9" w:rsidRPr="001961AA" w:rsidRDefault="006A41D9" w:rsidP="00BD6DD1">
            <w:pPr>
              <w:rPr>
                <w:rFonts w:ascii="Times New Roman" w:eastAsia="Times New Roman" w:hAnsi="Times New Roman"/>
                <w:noProof/>
                <w:color w:val="006100"/>
                <w:lang w:val="en-GB"/>
              </w:rPr>
            </w:pPr>
            <w:r w:rsidRPr="001961AA">
              <w:rPr>
                <w:rFonts w:ascii="Times New Roman" w:hAnsi="Times New Roman"/>
                <w:noProof/>
                <w:color w:val="006100"/>
                <w:lang w:val="en-GB"/>
              </w:rPr>
              <w:t>M</w:t>
            </w:r>
          </w:p>
        </w:tc>
        <w:tc>
          <w:tcPr>
            <w:tcW w:w="1560" w:type="dxa"/>
            <w:shd w:val="clear" w:color="auto" w:fill="C6EFCE"/>
            <w:vAlign w:val="center"/>
          </w:tcPr>
          <w:p w14:paraId="243749D4" w14:textId="77777777" w:rsidR="006A41D9" w:rsidRPr="001961AA" w:rsidRDefault="006A41D9" w:rsidP="00BD6DD1">
            <w:pPr>
              <w:spacing w:line="259" w:lineRule="auto"/>
              <w:rPr>
                <w:rFonts w:ascii="Times New Roman" w:eastAsia="Times New Roman" w:hAnsi="Times New Roman"/>
                <w:noProof/>
                <w:color w:val="006100"/>
                <w:lang w:val="en-GB"/>
              </w:rPr>
            </w:pPr>
            <w:r w:rsidRPr="001961AA">
              <w:rPr>
                <w:rFonts w:ascii="Times New Roman" w:hAnsi="Times New Roman"/>
                <w:noProof/>
                <w:color w:val="006100"/>
                <w:lang w:val="en-GB"/>
              </w:rPr>
              <w:t>Award of subsidies to the two main electricity network operators in the Walloon Region</w:t>
            </w:r>
          </w:p>
        </w:tc>
        <w:tc>
          <w:tcPr>
            <w:tcW w:w="1842" w:type="dxa"/>
            <w:shd w:val="clear" w:color="auto" w:fill="C6EFCE"/>
            <w:vAlign w:val="center"/>
          </w:tcPr>
          <w:p w14:paraId="7818146B" w14:textId="77777777" w:rsidR="006A41D9" w:rsidRPr="001961AA" w:rsidRDefault="006A41D9" w:rsidP="00BD6DD1">
            <w:pPr>
              <w:spacing w:line="259" w:lineRule="auto"/>
              <w:rPr>
                <w:rFonts w:ascii="Times New Roman" w:eastAsia="Times New Roman" w:hAnsi="Times New Roman"/>
                <w:noProof/>
                <w:color w:val="006100"/>
                <w:lang w:val="en-GB"/>
              </w:rPr>
            </w:pPr>
            <w:r w:rsidRPr="001961AA">
              <w:rPr>
                <w:rFonts w:ascii="Times New Roman" w:hAnsi="Times New Roman"/>
                <w:noProof/>
                <w:color w:val="006100"/>
                <w:lang w:val="en-GB"/>
              </w:rPr>
              <w:t>Written notification of subsidy awards by the Walloon government</w:t>
            </w:r>
          </w:p>
        </w:tc>
        <w:tc>
          <w:tcPr>
            <w:tcW w:w="993" w:type="dxa"/>
            <w:shd w:val="clear" w:color="auto" w:fill="C6EFCE"/>
            <w:vAlign w:val="center"/>
          </w:tcPr>
          <w:p w14:paraId="4ED434DF" w14:textId="77777777" w:rsidR="006A41D9" w:rsidRPr="001961AA" w:rsidRDefault="006A41D9" w:rsidP="00BD6DD1">
            <w:pPr>
              <w:rPr>
                <w:rFonts w:ascii="Times New Roman" w:eastAsia="Times New Roman" w:hAnsi="Times New Roman"/>
                <w:noProof/>
                <w:color w:val="006100"/>
                <w:lang w:val="en-GB"/>
              </w:rPr>
            </w:pPr>
          </w:p>
        </w:tc>
        <w:tc>
          <w:tcPr>
            <w:tcW w:w="992" w:type="dxa"/>
            <w:shd w:val="clear" w:color="auto" w:fill="C6EFCE"/>
            <w:vAlign w:val="center"/>
          </w:tcPr>
          <w:p w14:paraId="3DFD2D59" w14:textId="77777777" w:rsidR="006A41D9" w:rsidRPr="001961AA" w:rsidRDefault="006A41D9" w:rsidP="00BD6DD1">
            <w:pPr>
              <w:rPr>
                <w:rFonts w:ascii="Times New Roman" w:eastAsia="Times New Roman" w:hAnsi="Times New Roman"/>
                <w:noProof/>
                <w:color w:val="006100"/>
                <w:lang w:val="en-GB"/>
              </w:rPr>
            </w:pPr>
          </w:p>
        </w:tc>
        <w:tc>
          <w:tcPr>
            <w:tcW w:w="709" w:type="dxa"/>
            <w:shd w:val="clear" w:color="auto" w:fill="C6EFCE"/>
            <w:vAlign w:val="center"/>
          </w:tcPr>
          <w:p w14:paraId="34C17D1C" w14:textId="77777777" w:rsidR="006A41D9" w:rsidRPr="001961AA" w:rsidRDefault="006A41D9" w:rsidP="00BD6DD1">
            <w:pPr>
              <w:rPr>
                <w:rFonts w:ascii="Times New Roman" w:eastAsia="Times New Roman" w:hAnsi="Times New Roman"/>
                <w:noProof/>
                <w:color w:val="006100"/>
                <w:lang w:val="en-GB"/>
              </w:rPr>
            </w:pPr>
          </w:p>
        </w:tc>
        <w:tc>
          <w:tcPr>
            <w:tcW w:w="992" w:type="dxa"/>
            <w:shd w:val="clear" w:color="auto" w:fill="C6EFCE"/>
            <w:vAlign w:val="center"/>
          </w:tcPr>
          <w:p w14:paraId="7DE96379" w14:textId="4E71A6E0" w:rsidR="006A41D9" w:rsidRPr="001961AA" w:rsidRDefault="006A41D9" w:rsidP="00BD6DD1">
            <w:pPr>
              <w:jc w:val="center"/>
              <w:rPr>
                <w:rFonts w:ascii="Times New Roman" w:eastAsia="Times New Roman" w:hAnsi="Times New Roman"/>
                <w:noProof/>
                <w:color w:val="006100"/>
                <w:lang w:val="en-GB"/>
              </w:rPr>
            </w:pPr>
            <w:r w:rsidRPr="001961AA">
              <w:rPr>
                <w:rFonts w:ascii="Times New Roman" w:hAnsi="Times New Roman"/>
                <w:noProof/>
                <w:color w:val="006100"/>
                <w:lang w:val="en-GB"/>
              </w:rPr>
              <w:t>Q1</w:t>
            </w:r>
          </w:p>
        </w:tc>
        <w:tc>
          <w:tcPr>
            <w:tcW w:w="709" w:type="dxa"/>
            <w:shd w:val="clear" w:color="auto" w:fill="C6EFCE"/>
            <w:vAlign w:val="center"/>
          </w:tcPr>
          <w:p w14:paraId="7D9A2405" w14:textId="4077C3DD" w:rsidR="006A41D9" w:rsidRPr="001961AA" w:rsidRDefault="006A41D9" w:rsidP="00BD6DD1">
            <w:pPr>
              <w:jc w:val="center"/>
              <w:rPr>
                <w:rFonts w:ascii="Times New Roman" w:eastAsia="Times New Roman" w:hAnsi="Times New Roman"/>
                <w:noProof/>
                <w:color w:val="006100"/>
                <w:lang w:val="en-GB"/>
              </w:rPr>
            </w:pPr>
            <w:r w:rsidRPr="001961AA">
              <w:rPr>
                <w:rFonts w:ascii="Times New Roman" w:hAnsi="Times New Roman"/>
                <w:noProof/>
                <w:color w:val="006100"/>
                <w:lang w:val="en-GB"/>
              </w:rPr>
              <w:t>2024</w:t>
            </w:r>
          </w:p>
        </w:tc>
        <w:tc>
          <w:tcPr>
            <w:tcW w:w="3548" w:type="dxa"/>
            <w:shd w:val="clear" w:color="auto" w:fill="C6EFCE"/>
            <w:vAlign w:val="center"/>
          </w:tcPr>
          <w:p w14:paraId="1D64D8D1" w14:textId="73292CD6" w:rsidR="006A41D9" w:rsidRPr="001961AA" w:rsidRDefault="006A41D9" w:rsidP="00BD6DD1">
            <w:pPr>
              <w:pStyle w:val="Text1"/>
              <w:ind w:left="0"/>
              <w:jc w:val="left"/>
              <w:rPr>
                <w:rFonts w:eastAsia="Times New Roman"/>
                <w:noProof/>
                <w:color w:val="006100"/>
                <w:lang w:val="en-GB"/>
              </w:rPr>
            </w:pPr>
            <w:r w:rsidRPr="001961AA">
              <w:rPr>
                <w:noProof/>
                <w:color w:val="006100"/>
                <w:sz w:val="22"/>
                <w:lang w:val="en-GB"/>
              </w:rPr>
              <w:t>Award of subsidies to</w:t>
            </w:r>
            <w:r w:rsidRPr="001961AA">
              <w:rPr>
                <w:noProof/>
                <w:color w:val="006100"/>
                <w:lang w:val="en-GB"/>
              </w:rPr>
              <w:t xml:space="preserve"> </w:t>
            </w:r>
            <w:r w:rsidRPr="001961AA">
              <w:rPr>
                <w:noProof/>
                <w:color w:val="006100"/>
                <w:sz w:val="22"/>
                <w:lang w:val="en-GB"/>
              </w:rPr>
              <w:t>the two main electricity network operators in the Walloon Region (proportional to their share in the overall number of network users) in view of installation of smart meters, deployment of IT solutions for smartgrid management or implementation of network reinforcement investments.</w:t>
            </w:r>
          </w:p>
        </w:tc>
      </w:tr>
      <w:tr w:rsidR="004440D4" w:rsidRPr="001961AA" w14:paraId="05691A8F" w14:textId="77777777" w:rsidTr="004440D4">
        <w:trPr>
          <w:trHeight w:val="660"/>
        </w:trPr>
        <w:tc>
          <w:tcPr>
            <w:tcW w:w="704" w:type="dxa"/>
            <w:shd w:val="clear" w:color="auto" w:fill="C6EFCE"/>
            <w:vAlign w:val="center"/>
          </w:tcPr>
          <w:p w14:paraId="34DF0EAC" w14:textId="77777777" w:rsidR="006A41D9" w:rsidRPr="001961AA" w:rsidRDefault="006A41D9" w:rsidP="00BD6DD1">
            <w:pPr>
              <w:jc w:val="center"/>
              <w:rPr>
                <w:rFonts w:ascii="Times New Roman" w:eastAsia="Times New Roman" w:hAnsi="Times New Roman"/>
                <w:noProof/>
                <w:color w:val="006100"/>
                <w:lang w:val="en-GB"/>
              </w:rPr>
            </w:pPr>
            <w:r w:rsidRPr="001961AA">
              <w:rPr>
                <w:rFonts w:ascii="Times New Roman" w:hAnsi="Times New Roman"/>
                <w:noProof/>
                <w:color w:val="006100"/>
                <w:lang w:val="en-GB"/>
              </w:rPr>
              <w:t>234</w:t>
            </w:r>
          </w:p>
        </w:tc>
        <w:tc>
          <w:tcPr>
            <w:tcW w:w="1571" w:type="dxa"/>
            <w:shd w:val="clear" w:color="auto" w:fill="C6EFCE"/>
            <w:vAlign w:val="center"/>
          </w:tcPr>
          <w:p w14:paraId="6C42BE90" w14:textId="77777777" w:rsidR="006A41D9" w:rsidRPr="001961AA" w:rsidRDefault="006A41D9" w:rsidP="00BD6DD1">
            <w:pPr>
              <w:rPr>
                <w:rFonts w:ascii="Times New Roman" w:eastAsia="Times New Roman" w:hAnsi="Times New Roman"/>
                <w:noProof/>
                <w:color w:val="006100"/>
                <w:lang w:val="en-GB"/>
              </w:rPr>
            </w:pPr>
            <w:r w:rsidRPr="001961AA">
              <w:rPr>
                <w:rFonts w:ascii="Times New Roman" w:hAnsi="Times New Roman"/>
                <w:noProof/>
                <w:color w:val="006100"/>
                <w:lang w:val="en-GB"/>
              </w:rPr>
              <w:t>Optimization of energy distribution (I-7.17)</w:t>
            </w:r>
          </w:p>
        </w:tc>
        <w:tc>
          <w:tcPr>
            <w:tcW w:w="555" w:type="dxa"/>
            <w:shd w:val="clear" w:color="auto" w:fill="C6EFCE"/>
            <w:vAlign w:val="center"/>
          </w:tcPr>
          <w:p w14:paraId="57959199" w14:textId="77777777" w:rsidR="006A41D9" w:rsidRPr="001961AA" w:rsidRDefault="006A41D9" w:rsidP="00BD6DD1">
            <w:pPr>
              <w:spacing w:line="259" w:lineRule="auto"/>
              <w:rPr>
                <w:rFonts w:ascii="Times New Roman" w:eastAsia="Times New Roman" w:hAnsi="Times New Roman"/>
                <w:noProof/>
                <w:color w:val="006100"/>
                <w:lang w:val="en-GB"/>
              </w:rPr>
            </w:pPr>
            <w:r w:rsidRPr="001961AA">
              <w:rPr>
                <w:rFonts w:ascii="Times New Roman" w:hAnsi="Times New Roman"/>
                <w:noProof/>
                <w:color w:val="006100"/>
                <w:lang w:val="en-GB"/>
              </w:rPr>
              <w:t>M</w:t>
            </w:r>
          </w:p>
        </w:tc>
        <w:tc>
          <w:tcPr>
            <w:tcW w:w="1560" w:type="dxa"/>
            <w:shd w:val="clear" w:color="auto" w:fill="C6EFCE"/>
            <w:vAlign w:val="center"/>
          </w:tcPr>
          <w:p w14:paraId="1FFF7B04" w14:textId="77777777" w:rsidR="006A41D9" w:rsidRPr="001961AA" w:rsidRDefault="006A41D9" w:rsidP="00BD6DD1">
            <w:pPr>
              <w:rPr>
                <w:rFonts w:ascii="Times New Roman" w:eastAsia="Times New Roman" w:hAnsi="Times New Roman"/>
                <w:noProof/>
                <w:color w:val="006100"/>
                <w:lang w:val="en-GB"/>
              </w:rPr>
            </w:pPr>
            <w:r w:rsidRPr="001961AA">
              <w:rPr>
                <w:rFonts w:ascii="Times New Roman" w:hAnsi="Times New Roman"/>
                <w:noProof/>
                <w:color w:val="006100"/>
                <w:lang w:val="en-GB"/>
              </w:rPr>
              <w:t>Completion of projects</w:t>
            </w:r>
          </w:p>
        </w:tc>
        <w:tc>
          <w:tcPr>
            <w:tcW w:w="1842" w:type="dxa"/>
            <w:shd w:val="clear" w:color="auto" w:fill="C6EFCE"/>
            <w:vAlign w:val="center"/>
          </w:tcPr>
          <w:p w14:paraId="271F1987" w14:textId="77777777" w:rsidR="006A41D9" w:rsidRPr="001961AA" w:rsidRDefault="006A41D9" w:rsidP="00BD6DD1">
            <w:pPr>
              <w:rPr>
                <w:rFonts w:ascii="Times New Roman" w:eastAsia="Times New Roman" w:hAnsi="Times New Roman"/>
                <w:noProof/>
                <w:color w:val="006100"/>
                <w:lang w:val="en-GB"/>
              </w:rPr>
            </w:pPr>
            <w:r w:rsidRPr="001961AA">
              <w:rPr>
                <w:rFonts w:ascii="Times New Roman" w:hAnsi="Times New Roman"/>
                <w:noProof/>
                <w:color w:val="006100"/>
                <w:lang w:val="en-GB"/>
              </w:rPr>
              <w:t>Final project report approved</w:t>
            </w:r>
          </w:p>
        </w:tc>
        <w:tc>
          <w:tcPr>
            <w:tcW w:w="993" w:type="dxa"/>
            <w:shd w:val="clear" w:color="auto" w:fill="C6EFCE"/>
            <w:vAlign w:val="center"/>
          </w:tcPr>
          <w:p w14:paraId="6F23180C" w14:textId="77777777" w:rsidR="006A41D9" w:rsidRPr="001961AA" w:rsidRDefault="006A41D9" w:rsidP="00BD6DD1">
            <w:pPr>
              <w:widowControl w:val="0"/>
              <w:rPr>
                <w:rFonts w:ascii="Times New Roman" w:eastAsia="Times New Roman" w:hAnsi="Times New Roman"/>
                <w:noProof/>
                <w:color w:val="006100"/>
                <w:highlight w:val="yellow"/>
                <w:lang w:val="en-GB"/>
              </w:rPr>
            </w:pPr>
          </w:p>
        </w:tc>
        <w:tc>
          <w:tcPr>
            <w:tcW w:w="992" w:type="dxa"/>
            <w:shd w:val="clear" w:color="auto" w:fill="C6EFCE"/>
            <w:vAlign w:val="center"/>
          </w:tcPr>
          <w:p w14:paraId="305E738E" w14:textId="77777777" w:rsidR="006A41D9" w:rsidRPr="001961AA" w:rsidRDefault="006A41D9" w:rsidP="00BD6DD1">
            <w:pPr>
              <w:rPr>
                <w:rFonts w:ascii="Times New Roman" w:eastAsia="Times New Roman" w:hAnsi="Times New Roman"/>
                <w:noProof/>
                <w:color w:val="006100"/>
                <w:lang w:val="en-GB"/>
              </w:rPr>
            </w:pPr>
          </w:p>
        </w:tc>
        <w:tc>
          <w:tcPr>
            <w:tcW w:w="709" w:type="dxa"/>
            <w:shd w:val="clear" w:color="auto" w:fill="C6EFCE"/>
            <w:vAlign w:val="center"/>
          </w:tcPr>
          <w:p w14:paraId="3283D758" w14:textId="77777777" w:rsidR="006A41D9" w:rsidRPr="001961AA" w:rsidRDefault="006A41D9" w:rsidP="00BD6DD1">
            <w:pPr>
              <w:rPr>
                <w:rFonts w:ascii="Times New Roman" w:eastAsia="Times New Roman" w:hAnsi="Times New Roman"/>
                <w:noProof/>
                <w:color w:val="006100"/>
                <w:lang w:val="en-GB"/>
              </w:rPr>
            </w:pPr>
          </w:p>
        </w:tc>
        <w:tc>
          <w:tcPr>
            <w:tcW w:w="992" w:type="dxa"/>
            <w:shd w:val="clear" w:color="auto" w:fill="C6EFCE"/>
            <w:vAlign w:val="center"/>
          </w:tcPr>
          <w:p w14:paraId="06E90CC2" w14:textId="77777777" w:rsidR="006A41D9" w:rsidRPr="001961AA" w:rsidRDefault="006A41D9" w:rsidP="00BD6DD1">
            <w:pPr>
              <w:jc w:val="center"/>
              <w:rPr>
                <w:rFonts w:ascii="Times New Roman" w:eastAsia="Times New Roman" w:hAnsi="Times New Roman"/>
                <w:noProof/>
                <w:color w:val="006100"/>
                <w:lang w:val="en-GB"/>
              </w:rPr>
            </w:pPr>
            <w:r w:rsidRPr="001961AA">
              <w:rPr>
                <w:rFonts w:ascii="Times New Roman" w:hAnsi="Times New Roman"/>
                <w:noProof/>
                <w:color w:val="006100"/>
                <w:lang w:val="en-GB"/>
              </w:rPr>
              <w:t>Q2</w:t>
            </w:r>
          </w:p>
        </w:tc>
        <w:tc>
          <w:tcPr>
            <w:tcW w:w="709" w:type="dxa"/>
            <w:shd w:val="clear" w:color="auto" w:fill="C6EFCE"/>
            <w:vAlign w:val="center"/>
          </w:tcPr>
          <w:p w14:paraId="359B3463" w14:textId="77777777" w:rsidR="006A41D9" w:rsidRPr="001961AA" w:rsidRDefault="006A41D9" w:rsidP="00BD6DD1">
            <w:pPr>
              <w:jc w:val="center"/>
              <w:rPr>
                <w:rFonts w:ascii="Times New Roman" w:eastAsia="Times New Roman" w:hAnsi="Times New Roman"/>
                <w:noProof/>
                <w:color w:val="006100"/>
                <w:lang w:val="en-GB"/>
              </w:rPr>
            </w:pPr>
            <w:r w:rsidRPr="001961AA">
              <w:rPr>
                <w:rFonts w:ascii="Times New Roman" w:hAnsi="Times New Roman"/>
                <w:noProof/>
                <w:color w:val="006100"/>
                <w:lang w:val="en-GB"/>
              </w:rPr>
              <w:t>2026</w:t>
            </w:r>
          </w:p>
        </w:tc>
        <w:tc>
          <w:tcPr>
            <w:tcW w:w="3548" w:type="dxa"/>
            <w:shd w:val="clear" w:color="auto" w:fill="C6EFCE"/>
            <w:vAlign w:val="center"/>
          </w:tcPr>
          <w:p w14:paraId="1E357F80" w14:textId="0725433C" w:rsidR="006A41D9" w:rsidRPr="001961AA" w:rsidRDefault="006A41D9" w:rsidP="00BD6DD1">
            <w:pPr>
              <w:rPr>
                <w:rFonts w:ascii="Times New Roman" w:hAnsi="Times New Roman"/>
                <w:noProof/>
                <w:color w:val="006100"/>
                <w:lang w:val="en-GB"/>
              </w:rPr>
            </w:pPr>
            <w:r w:rsidRPr="001961AA">
              <w:rPr>
                <w:rFonts w:ascii="Times New Roman" w:hAnsi="Times New Roman"/>
                <w:noProof/>
                <w:color w:val="006100"/>
                <w:lang w:val="en-GB"/>
              </w:rPr>
              <w:t>Completion of installation of smart meters, as well as the deployment of IT solutions for smartgrid management or network reinforcement investments with at least EUR 68 400 000 has been executed.</w:t>
            </w:r>
          </w:p>
        </w:tc>
      </w:tr>
      <w:tr w:rsidR="004440D4" w:rsidRPr="001961AA" w14:paraId="57945C49" w14:textId="77777777" w:rsidTr="004440D4">
        <w:trPr>
          <w:trHeight w:val="660"/>
        </w:trPr>
        <w:tc>
          <w:tcPr>
            <w:tcW w:w="704" w:type="dxa"/>
            <w:shd w:val="clear" w:color="auto" w:fill="C6EFCE"/>
            <w:vAlign w:val="center"/>
          </w:tcPr>
          <w:p w14:paraId="2C2C973F" w14:textId="77777777" w:rsidR="006A41D9" w:rsidRPr="001961AA" w:rsidRDefault="006A41D9" w:rsidP="00BD6DD1">
            <w:pPr>
              <w:jc w:val="center"/>
              <w:rPr>
                <w:rFonts w:ascii="Times New Roman" w:eastAsia="Times New Roman" w:hAnsi="Times New Roman"/>
                <w:noProof/>
                <w:color w:val="006100"/>
                <w:lang w:val="en-GB"/>
              </w:rPr>
            </w:pPr>
            <w:r w:rsidRPr="001961AA">
              <w:rPr>
                <w:rFonts w:ascii="Times New Roman" w:hAnsi="Times New Roman"/>
                <w:noProof/>
                <w:color w:val="006100"/>
                <w:lang w:val="en-GB"/>
              </w:rPr>
              <w:t>235</w:t>
            </w:r>
          </w:p>
        </w:tc>
        <w:tc>
          <w:tcPr>
            <w:tcW w:w="1571" w:type="dxa"/>
            <w:shd w:val="clear" w:color="auto" w:fill="C6EFCE"/>
            <w:vAlign w:val="center"/>
          </w:tcPr>
          <w:p w14:paraId="45B327AD" w14:textId="77777777" w:rsidR="006A41D9" w:rsidRPr="001961AA" w:rsidRDefault="006A41D9" w:rsidP="00BD6DD1">
            <w:pPr>
              <w:rPr>
                <w:rFonts w:ascii="Times New Roman" w:eastAsia="Times New Roman" w:hAnsi="Times New Roman"/>
                <w:noProof/>
                <w:color w:val="006100"/>
                <w:lang w:val="en-GB"/>
              </w:rPr>
            </w:pPr>
            <w:r w:rsidRPr="001961AA">
              <w:rPr>
                <w:rFonts w:ascii="Times New Roman" w:hAnsi="Times New Roman"/>
                <w:noProof/>
                <w:color w:val="006100"/>
                <w:lang w:val="en-GB"/>
              </w:rPr>
              <w:t>Call for innovative renewable energy production initiatives (I-7.18)</w:t>
            </w:r>
          </w:p>
        </w:tc>
        <w:tc>
          <w:tcPr>
            <w:tcW w:w="555" w:type="dxa"/>
            <w:shd w:val="clear" w:color="auto" w:fill="C6EFCE"/>
            <w:vAlign w:val="center"/>
          </w:tcPr>
          <w:p w14:paraId="0505DEE2" w14:textId="77777777" w:rsidR="006A41D9" w:rsidRPr="001961AA" w:rsidRDefault="006A41D9" w:rsidP="00BD6DD1">
            <w:pPr>
              <w:rPr>
                <w:rFonts w:ascii="Times New Roman" w:eastAsia="Times New Roman" w:hAnsi="Times New Roman"/>
                <w:noProof/>
                <w:color w:val="006100"/>
                <w:lang w:val="en-GB"/>
              </w:rPr>
            </w:pPr>
            <w:r w:rsidRPr="001961AA">
              <w:rPr>
                <w:rFonts w:ascii="Times New Roman" w:hAnsi="Times New Roman"/>
                <w:noProof/>
                <w:color w:val="006100"/>
                <w:lang w:val="en-GB"/>
              </w:rPr>
              <w:t>M</w:t>
            </w:r>
          </w:p>
        </w:tc>
        <w:tc>
          <w:tcPr>
            <w:tcW w:w="1560" w:type="dxa"/>
            <w:shd w:val="clear" w:color="auto" w:fill="C6EFCE"/>
            <w:vAlign w:val="center"/>
          </w:tcPr>
          <w:p w14:paraId="4D443F12" w14:textId="2E36F1FD" w:rsidR="006A41D9" w:rsidRPr="001961AA" w:rsidRDefault="006A41D9" w:rsidP="00BD6DD1">
            <w:pPr>
              <w:rPr>
                <w:rFonts w:ascii="Times New Roman" w:eastAsia="Times New Roman" w:hAnsi="Times New Roman"/>
                <w:noProof/>
                <w:color w:val="006100"/>
                <w:lang w:val="en-GB"/>
              </w:rPr>
            </w:pPr>
            <w:r w:rsidRPr="001961AA">
              <w:rPr>
                <w:rFonts w:ascii="Times New Roman" w:hAnsi="Times New Roman"/>
                <w:noProof/>
                <w:color w:val="006100"/>
                <w:lang w:val="en-GB"/>
              </w:rPr>
              <w:t>Award of contracts under the calls for projects</w:t>
            </w:r>
          </w:p>
        </w:tc>
        <w:tc>
          <w:tcPr>
            <w:tcW w:w="1842" w:type="dxa"/>
            <w:shd w:val="clear" w:color="auto" w:fill="C6EFCE"/>
            <w:vAlign w:val="center"/>
          </w:tcPr>
          <w:p w14:paraId="4E346D81" w14:textId="130FAD09" w:rsidR="006A41D9" w:rsidRPr="001961AA" w:rsidRDefault="006A41D9" w:rsidP="00BD6DD1">
            <w:pPr>
              <w:rPr>
                <w:rFonts w:ascii="Times New Roman" w:eastAsia="Times New Roman" w:hAnsi="Times New Roman"/>
                <w:noProof/>
                <w:color w:val="006100"/>
                <w:lang w:val="en-GB"/>
              </w:rPr>
            </w:pPr>
            <w:r w:rsidRPr="001961AA">
              <w:rPr>
                <w:rFonts w:ascii="Times New Roman" w:hAnsi="Times New Roman"/>
                <w:noProof/>
                <w:color w:val="006100"/>
                <w:lang w:val="en-GB"/>
              </w:rPr>
              <w:t>Written notification of contract awards to successful candidates</w:t>
            </w:r>
          </w:p>
        </w:tc>
        <w:tc>
          <w:tcPr>
            <w:tcW w:w="993" w:type="dxa"/>
            <w:shd w:val="clear" w:color="auto" w:fill="C6EFCE"/>
            <w:vAlign w:val="center"/>
          </w:tcPr>
          <w:p w14:paraId="4C59D125" w14:textId="77777777" w:rsidR="006A41D9" w:rsidRPr="001961AA" w:rsidRDefault="006A41D9" w:rsidP="00BD6DD1">
            <w:pPr>
              <w:rPr>
                <w:rFonts w:ascii="Times New Roman" w:eastAsia="Times New Roman" w:hAnsi="Times New Roman"/>
                <w:noProof/>
                <w:color w:val="006100"/>
                <w:lang w:val="en-GB"/>
              </w:rPr>
            </w:pPr>
          </w:p>
        </w:tc>
        <w:tc>
          <w:tcPr>
            <w:tcW w:w="992" w:type="dxa"/>
            <w:shd w:val="clear" w:color="auto" w:fill="C6EFCE"/>
            <w:vAlign w:val="center"/>
          </w:tcPr>
          <w:p w14:paraId="2CB945C5" w14:textId="77777777" w:rsidR="006A41D9" w:rsidRPr="001961AA" w:rsidRDefault="006A41D9" w:rsidP="00BD6DD1">
            <w:pPr>
              <w:rPr>
                <w:rFonts w:ascii="Times New Roman" w:eastAsia="Times New Roman" w:hAnsi="Times New Roman"/>
                <w:noProof/>
                <w:color w:val="006100"/>
                <w:lang w:val="en-GB"/>
              </w:rPr>
            </w:pPr>
          </w:p>
        </w:tc>
        <w:tc>
          <w:tcPr>
            <w:tcW w:w="709" w:type="dxa"/>
            <w:shd w:val="clear" w:color="auto" w:fill="C6EFCE"/>
            <w:vAlign w:val="center"/>
          </w:tcPr>
          <w:p w14:paraId="5AB65B6D" w14:textId="77777777" w:rsidR="006A41D9" w:rsidRPr="001961AA" w:rsidRDefault="006A41D9" w:rsidP="00BD6DD1">
            <w:pPr>
              <w:rPr>
                <w:rFonts w:ascii="Times New Roman" w:eastAsia="Times New Roman" w:hAnsi="Times New Roman"/>
                <w:noProof/>
                <w:color w:val="006100"/>
                <w:lang w:val="en-GB"/>
              </w:rPr>
            </w:pPr>
          </w:p>
        </w:tc>
        <w:tc>
          <w:tcPr>
            <w:tcW w:w="992" w:type="dxa"/>
            <w:shd w:val="clear" w:color="auto" w:fill="C6EFCE"/>
            <w:vAlign w:val="center"/>
          </w:tcPr>
          <w:p w14:paraId="20DE3BAB" w14:textId="77777777" w:rsidR="006A41D9" w:rsidRPr="001961AA" w:rsidRDefault="006A41D9" w:rsidP="00BD6DD1">
            <w:pPr>
              <w:jc w:val="center"/>
              <w:rPr>
                <w:rFonts w:ascii="Times New Roman" w:eastAsia="Times New Roman" w:hAnsi="Times New Roman"/>
                <w:noProof/>
                <w:color w:val="006100"/>
                <w:lang w:val="en-GB"/>
              </w:rPr>
            </w:pPr>
            <w:r w:rsidRPr="001961AA">
              <w:rPr>
                <w:rFonts w:ascii="Times New Roman" w:hAnsi="Times New Roman"/>
                <w:noProof/>
                <w:color w:val="006100"/>
                <w:lang w:val="en-GB"/>
              </w:rPr>
              <w:t>Q2</w:t>
            </w:r>
          </w:p>
        </w:tc>
        <w:tc>
          <w:tcPr>
            <w:tcW w:w="709" w:type="dxa"/>
            <w:shd w:val="clear" w:color="auto" w:fill="C6EFCE"/>
            <w:vAlign w:val="center"/>
          </w:tcPr>
          <w:p w14:paraId="08A3C526" w14:textId="77777777" w:rsidR="006A41D9" w:rsidRPr="001961AA" w:rsidRDefault="006A41D9" w:rsidP="00BD6DD1">
            <w:pPr>
              <w:jc w:val="center"/>
              <w:rPr>
                <w:rFonts w:ascii="Times New Roman" w:eastAsia="Times New Roman" w:hAnsi="Times New Roman"/>
                <w:noProof/>
                <w:color w:val="006100"/>
                <w:lang w:val="en-GB"/>
              </w:rPr>
            </w:pPr>
            <w:r w:rsidRPr="001961AA">
              <w:rPr>
                <w:rFonts w:ascii="Times New Roman" w:hAnsi="Times New Roman"/>
                <w:noProof/>
                <w:color w:val="006100"/>
                <w:lang w:val="en-GB"/>
              </w:rPr>
              <w:t>2024</w:t>
            </w:r>
          </w:p>
        </w:tc>
        <w:tc>
          <w:tcPr>
            <w:tcW w:w="3548" w:type="dxa"/>
            <w:shd w:val="clear" w:color="auto" w:fill="C6EFCE"/>
            <w:vAlign w:val="center"/>
          </w:tcPr>
          <w:p w14:paraId="0DCEF4DC" w14:textId="77777777" w:rsidR="006A41D9" w:rsidRPr="001961AA" w:rsidRDefault="006A41D9" w:rsidP="00BD6DD1">
            <w:pPr>
              <w:rPr>
                <w:rFonts w:ascii="Times New Roman" w:eastAsia="Times New Roman" w:hAnsi="Times New Roman"/>
                <w:noProof/>
                <w:color w:val="006100"/>
                <w:lang w:val="en-GB"/>
              </w:rPr>
            </w:pPr>
            <w:r w:rsidRPr="001961AA">
              <w:rPr>
                <w:rFonts w:ascii="Times New Roman" w:hAnsi="Times New Roman"/>
                <w:noProof/>
                <w:color w:val="006100"/>
                <w:lang w:val="en-GB"/>
              </w:rPr>
              <w:t>Award of contracts for the projects aimed at investments in shore power and R&amp;D for solar energy production initiatives, selected through a call for projects.</w:t>
            </w:r>
          </w:p>
        </w:tc>
      </w:tr>
      <w:tr w:rsidR="004440D4" w:rsidRPr="001961AA" w14:paraId="6D2481C6" w14:textId="77777777" w:rsidTr="004440D4">
        <w:trPr>
          <w:trHeight w:val="660"/>
        </w:trPr>
        <w:tc>
          <w:tcPr>
            <w:tcW w:w="704" w:type="dxa"/>
            <w:shd w:val="clear" w:color="auto" w:fill="C6EFCE"/>
            <w:vAlign w:val="center"/>
          </w:tcPr>
          <w:p w14:paraId="71A5377B" w14:textId="77777777" w:rsidR="006A41D9" w:rsidRPr="001961AA" w:rsidRDefault="006A41D9" w:rsidP="00BD6DD1">
            <w:pPr>
              <w:jc w:val="center"/>
              <w:rPr>
                <w:rFonts w:ascii="Times New Roman" w:eastAsia="Times New Roman" w:hAnsi="Times New Roman"/>
                <w:noProof/>
                <w:color w:val="006100"/>
                <w:lang w:val="en-GB"/>
              </w:rPr>
            </w:pPr>
            <w:r w:rsidRPr="001961AA">
              <w:rPr>
                <w:rFonts w:ascii="Times New Roman" w:hAnsi="Times New Roman"/>
                <w:noProof/>
                <w:color w:val="006100"/>
                <w:lang w:val="en-GB"/>
              </w:rPr>
              <w:t>236</w:t>
            </w:r>
          </w:p>
        </w:tc>
        <w:tc>
          <w:tcPr>
            <w:tcW w:w="1571" w:type="dxa"/>
            <w:shd w:val="clear" w:color="auto" w:fill="C6EFCE"/>
            <w:vAlign w:val="center"/>
          </w:tcPr>
          <w:p w14:paraId="6A4E5727" w14:textId="77777777" w:rsidR="006A41D9" w:rsidRPr="001961AA" w:rsidRDefault="006A41D9" w:rsidP="00BD6DD1">
            <w:pPr>
              <w:rPr>
                <w:rFonts w:ascii="Times New Roman" w:eastAsia="Times New Roman" w:hAnsi="Times New Roman"/>
                <w:noProof/>
                <w:color w:val="006100"/>
                <w:lang w:val="en-GB"/>
              </w:rPr>
            </w:pPr>
            <w:r w:rsidRPr="001961AA">
              <w:rPr>
                <w:rFonts w:ascii="Times New Roman" w:hAnsi="Times New Roman"/>
                <w:noProof/>
                <w:color w:val="006100"/>
                <w:lang w:val="en-GB"/>
              </w:rPr>
              <w:t>Call for innovative renewable energy production initiatives (I-7.18)</w:t>
            </w:r>
          </w:p>
        </w:tc>
        <w:tc>
          <w:tcPr>
            <w:tcW w:w="555" w:type="dxa"/>
            <w:shd w:val="clear" w:color="auto" w:fill="C6EFCE"/>
            <w:vAlign w:val="center"/>
          </w:tcPr>
          <w:p w14:paraId="5A725B8B" w14:textId="77777777" w:rsidR="006A41D9" w:rsidRPr="001961AA" w:rsidRDefault="006A41D9" w:rsidP="00BD6DD1">
            <w:pPr>
              <w:rPr>
                <w:rFonts w:ascii="Times New Roman" w:eastAsia="Times New Roman" w:hAnsi="Times New Roman"/>
                <w:noProof/>
                <w:color w:val="006100"/>
                <w:lang w:val="en-GB"/>
              </w:rPr>
            </w:pPr>
            <w:r w:rsidRPr="001961AA">
              <w:rPr>
                <w:rFonts w:ascii="Times New Roman" w:hAnsi="Times New Roman"/>
                <w:noProof/>
                <w:color w:val="006100"/>
                <w:lang w:val="en-GB"/>
              </w:rPr>
              <w:t>M</w:t>
            </w:r>
          </w:p>
        </w:tc>
        <w:tc>
          <w:tcPr>
            <w:tcW w:w="1560" w:type="dxa"/>
            <w:shd w:val="clear" w:color="auto" w:fill="C6EFCE"/>
            <w:vAlign w:val="center"/>
          </w:tcPr>
          <w:p w14:paraId="702EBE4E" w14:textId="77777777" w:rsidR="006A41D9" w:rsidRPr="001961AA" w:rsidRDefault="006A41D9" w:rsidP="00BD6DD1">
            <w:pPr>
              <w:rPr>
                <w:rFonts w:ascii="Times New Roman" w:eastAsia="Times New Roman" w:hAnsi="Times New Roman"/>
                <w:noProof/>
                <w:color w:val="006100"/>
                <w:lang w:val="en-GB"/>
              </w:rPr>
            </w:pPr>
            <w:r w:rsidRPr="001961AA">
              <w:rPr>
                <w:rFonts w:ascii="Times New Roman" w:hAnsi="Times New Roman"/>
                <w:noProof/>
                <w:color w:val="006100"/>
                <w:lang w:val="en-GB"/>
              </w:rPr>
              <w:t xml:space="preserve">Completion of projects </w:t>
            </w:r>
          </w:p>
        </w:tc>
        <w:tc>
          <w:tcPr>
            <w:tcW w:w="1842" w:type="dxa"/>
            <w:shd w:val="clear" w:color="auto" w:fill="C6EFCE"/>
            <w:vAlign w:val="center"/>
          </w:tcPr>
          <w:p w14:paraId="4C47BC3B" w14:textId="77777777" w:rsidR="006A41D9" w:rsidRPr="001961AA" w:rsidRDefault="006A41D9" w:rsidP="00BD6DD1">
            <w:pPr>
              <w:rPr>
                <w:rFonts w:ascii="Times New Roman" w:eastAsia="Times New Roman" w:hAnsi="Times New Roman"/>
                <w:noProof/>
                <w:color w:val="006100"/>
                <w:lang w:val="en-GB"/>
              </w:rPr>
            </w:pPr>
            <w:r w:rsidRPr="001961AA">
              <w:rPr>
                <w:rFonts w:ascii="Times New Roman" w:hAnsi="Times New Roman"/>
                <w:noProof/>
                <w:color w:val="006100"/>
                <w:lang w:val="en-GB"/>
              </w:rPr>
              <w:t>Selected projects completed and operational</w:t>
            </w:r>
          </w:p>
        </w:tc>
        <w:tc>
          <w:tcPr>
            <w:tcW w:w="993" w:type="dxa"/>
            <w:shd w:val="clear" w:color="auto" w:fill="C6EFCE"/>
            <w:vAlign w:val="center"/>
          </w:tcPr>
          <w:p w14:paraId="770D140C" w14:textId="77777777" w:rsidR="006A41D9" w:rsidRPr="001961AA" w:rsidRDefault="006A41D9" w:rsidP="00BD6DD1">
            <w:pPr>
              <w:rPr>
                <w:rFonts w:ascii="Times New Roman" w:eastAsia="Times New Roman" w:hAnsi="Times New Roman"/>
                <w:noProof/>
                <w:color w:val="006100"/>
                <w:lang w:val="en-GB"/>
              </w:rPr>
            </w:pPr>
          </w:p>
        </w:tc>
        <w:tc>
          <w:tcPr>
            <w:tcW w:w="992" w:type="dxa"/>
            <w:shd w:val="clear" w:color="auto" w:fill="C6EFCE"/>
            <w:vAlign w:val="center"/>
          </w:tcPr>
          <w:p w14:paraId="4BC710C9" w14:textId="77777777" w:rsidR="006A41D9" w:rsidRPr="001961AA" w:rsidRDefault="006A41D9" w:rsidP="00BD6DD1">
            <w:pPr>
              <w:rPr>
                <w:rFonts w:ascii="Times New Roman" w:eastAsia="Times New Roman" w:hAnsi="Times New Roman"/>
                <w:noProof/>
                <w:color w:val="006100"/>
                <w:lang w:val="en-GB"/>
              </w:rPr>
            </w:pPr>
          </w:p>
        </w:tc>
        <w:tc>
          <w:tcPr>
            <w:tcW w:w="709" w:type="dxa"/>
            <w:shd w:val="clear" w:color="auto" w:fill="C6EFCE"/>
            <w:vAlign w:val="center"/>
          </w:tcPr>
          <w:p w14:paraId="2EDBD5BF" w14:textId="77777777" w:rsidR="006A41D9" w:rsidRPr="001961AA" w:rsidRDefault="006A41D9" w:rsidP="00BD6DD1">
            <w:pPr>
              <w:rPr>
                <w:rFonts w:ascii="Times New Roman" w:eastAsia="Times New Roman" w:hAnsi="Times New Roman"/>
                <w:noProof/>
                <w:color w:val="006100"/>
                <w:lang w:val="en-GB"/>
              </w:rPr>
            </w:pPr>
          </w:p>
        </w:tc>
        <w:tc>
          <w:tcPr>
            <w:tcW w:w="992" w:type="dxa"/>
            <w:shd w:val="clear" w:color="auto" w:fill="C6EFCE"/>
            <w:vAlign w:val="center"/>
          </w:tcPr>
          <w:p w14:paraId="42A3DB5A" w14:textId="77777777" w:rsidR="006A41D9" w:rsidRPr="001961AA" w:rsidRDefault="006A41D9" w:rsidP="00BD6DD1">
            <w:pPr>
              <w:jc w:val="center"/>
              <w:rPr>
                <w:rFonts w:ascii="Times New Roman" w:eastAsia="Times New Roman" w:hAnsi="Times New Roman"/>
                <w:noProof/>
                <w:color w:val="006100"/>
                <w:lang w:val="en-GB"/>
              </w:rPr>
            </w:pPr>
            <w:r w:rsidRPr="001961AA">
              <w:rPr>
                <w:rFonts w:ascii="Times New Roman" w:hAnsi="Times New Roman"/>
                <w:noProof/>
                <w:color w:val="006100"/>
                <w:lang w:val="en-GB"/>
              </w:rPr>
              <w:t>Q2</w:t>
            </w:r>
          </w:p>
        </w:tc>
        <w:tc>
          <w:tcPr>
            <w:tcW w:w="709" w:type="dxa"/>
            <w:shd w:val="clear" w:color="auto" w:fill="C6EFCE"/>
            <w:vAlign w:val="center"/>
          </w:tcPr>
          <w:p w14:paraId="2322D2CE" w14:textId="77777777" w:rsidR="006A41D9" w:rsidRPr="001961AA" w:rsidRDefault="006A41D9" w:rsidP="00BD6DD1">
            <w:pPr>
              <w:jc w:val="center"/>
              <w:rPr>
                <w:rFonts w:ascii="Times New Roman" w:eastAsia="Times New Roman" w:hAnsi="Times New Roman"/>
                <w:noProof/>
                <w:color w:val="006100"/>
                <w:lang w:val="en-GB"/>
              </w:rPr>
            </w:pPr>
            <w:r w:rsidRPr="001961AA">
              <w:rPr>
                <w:rFonts w:ascii="Times New Roman" w:hAnsi="Times New Roman"/>
                <w:noProof/>
                <w:color w:val="006100"/>
                <w:lang w:val="en-GB"/>
              </w:rPr>
              <w:t>2026</w:t>
            </w:r>
          </w:p>
        </w:tc>
        <w:tc>
          <w:tcPr>
            <w:tcW w:w="3548" w:type="dxa"/>
            <w:shd w:val="clear" w:color="auto" w:fill="C6EFCE"/>
            <w:vAlign w:val="center"/>
          </w:tcPr>
          <w:p w14:paraId="09FDEAC7" w14:textId="77777777" w:rsidR="006A41D9" w:rsidRPr="001961AA" w:rsidRDefault="006A41D9" w:rsidP="00BD6DD1">
            <w:pPr>
              <w:rPr>
                <w:rFonts w:ascii="Times New Roman" w:eastAsia="Times New Roman" w:hAnsi="Times New Roman"/>
                <w:noProof/>
                <w:color w:val="006100"/>
                <w:lang w:val="en-GB"/>
              </w:rPr>
            </w:pPr>
            <w:r w:rsidRPr="001961AA">
              <w:rPr>
                <w:rFonts w:ascii="Times New Roman" w:hAnsi="Times New Roman"/>
                <w:noProof/>
                <w:color w:val="006100"/>
                <w:lang w:val="en-GB"/>
              </w:rPr>
              <w:t>Projects selected through a call for projects and corresponding investments in shore power and R&amp;D for solar energy production initiatives have been completed.</w:t>
            </w:r>
          </w:p>
        </w:tc>
      </w:tr>
      <w:tr w:rsidR="004440D4" w:rsidRPr="001961AA" w14:paraId="7218BA4D" w14:textId="77777777" w:rsidTr="004440D4">
        <w:trPr>
          <w:trHeight w:val="660"/>
        </w:trPr>
        <w:tc>
          <w:tcPr>
            <w:tcW w:w="704" w:type="dxa"/>
            <w:shd w:val="clear" w:color="auto" w:fill="C6EFCE"/>
            <w:vAlign w:val="center"/>
          </w:tcPr>
          <w:p w14:paraId="2C936C96" w14:textId="77777777" w:rsidR="006A41D9" w:rsidRPr="001961AA" w:rsidRDefault="006A41D9" w:rsidP="00BD6DD1">
            <w:pPr>
              <w:jc w:val="center"/>
              <w:rPr>
                <w:rFonts w:ascii="Times New Roman" w:eastAsia="Times New Roman" w:hAnsi="Times New Roman"/>
                <w:noProof/>
                <w:color w:val="006100"/>
                <w:lang w:val="en-GB"/>
              </w:rPr>
            </w:pPr>
            <w:r w:rsidRPr="001961AA">
              <w:rPr>
                <w:rFonts w:ascii="Times New Roman" w:hAnsi="Times New Roman"/>
                <w:noProof/>
                <w:color w:val="006100"/>
                <w:lang w:val="en-GB"/>
              </w:rPr>
              <w:t>237</w:t>
            </w:r>
          </w:p>
        </w:tc>
        <w:tc>
          <w:tcPr>
            <w:tcW w:w="1571" w:type="dxa"/>
            <w:shd w:val="clear" w:color="auto" w:fill="C6EFCE"/>
            <w:vAlign w:val="center"/>
          </w:tcPr>
          <w:p w14:paraId="2EB98073" w14:textId="77777777" w:rsidR="006A41D9" w:rsidRPr="001961AA" w:rsidRDefault="006A41D9" w:rsidP="00BD6DD1">
            <w:pPr>
              <w:rPr>
                <w:rFonts w:ascii="Times New Roman" w:eastAsia="Times New Roman" w:hAnsi="Times New Roman"/>
                <w:noProof/>
                <w:color w:val="006100"/>
                <w:lang w:val="en-GB"/>
              </w:rPr>
            </w:pPr>
            <w:r w:rsidRPr="001961AA">
              <w:rPr>
                <w:rFonts w:ascii="Times New Roman" w:hAnsi="Times New Roman"/>
                <w:noProof/>
                <w:color w:val="006100"/>
                <w:lang w:val="en-GB"/>
              </w:rPr>
              <w:t>Removing barriers to renewable energy (I-7.19)</w:t>
            </w:r>
          </w:p>
        </w:tc>
        <w:tc>
          <w:tcPr>
            <w:tcW w:w="555" w:type="dxa"/>
            <w:shd w:val="clear" w:color="auto" w:fill="C6EFCE"/>
            <w:vAlign w:val="center"/>
          </w:tcPr>
          <w:p w14:paraId="1D8179F8" w14:textId="77777777" w:rsidR="006A41D9" w:rsidRPr="001961AA" w:rsidRDefault="006A41D9" w:rsidP="00BD6DD1">
            <w:pPr>
              <w:rPr>
                <w:rFonts w:ascii="Times New Roman" w:eastAsia="Times New Roman" w:hAnsi="Times New Roman"/>
                <w:noProof/>
                <w:color w:val="006100"/>
                <w:lang w:val="en-GB"/>
              </w:rPr>
            </w:pPr>
            <w:r w:rsidRPr="001961AA">
              <w:rPr>
                <w:rFonts w:ascii="Times New Roman" w:hAnsi="Times New Roman"/>
                <w:noProof/>
                <w:color w:val="006100"/>
                <w:lang w:val="en-GB"/>
              </w:rPr>
              <w:t>M</w:t>
            </w:r>
          </w:p>
        </w:tc>
        <w:tc>
          <w:tcPr>
            <w:tcW w:w="1560" w:type="dxa"/>
            <w:shd w:val="clear" w:color="auto" w:fill="C6EFCE"/>
            <w:vAlign w:val="center"/>
          </w:tcPr>
          <w:p w14:paraId="0B30EFCC" w14:textId="77777777" w:rsidR="006A41D9" w:rsidRPr="001961AA" w:rsidRDefault="006A41D9" w:rsidP="00BD6DD1">
            <w:pPr>
              <w:rPr>
                <w:rFonts w:ascii="Times New Roman" w:eastAsia="Times New Roman" w:hAnsi="Times New Roman"/>
                <w:noProof/>
                <w:color w:val="006100"/>
                <w:lang w:val="en-GB"/>
              </w:rPr>
            </w:pPr>
            <w:r w:rsidRPr="001961AA">
              <w:rPr>
                <w:rFonts w:ascii="Times New Roman" w:hAnsi="Times New Roman"/>
                <w:noProof/>
                <w:color w:val="006100"/>
                <w:lang w:val="en-GB"/>
              </w:rPr>
              <w:t xml:space="preserve">Completion of projects </w:t>
            </w:r>
          </w:p>
        </w:tc>
        <w:tc>
          <w:tcPr>
            <w:tcW w:w="1842" w:type="dxa"/>
            <w:shd w:val="clear" w:color="auto" w:fill="C6EFCE"/>
            <w:vAlign w:val="center"/>
          </w:tcPr>
          <w:p w14:paraId="6F6C0A45" w14:textId="77777777" w:rsidR="006A41D9" w:rsidRPr="001961AA" w:rsidRDefault="006A41D9" w:rsidP="00BD6DD1">
            <w:pPr>
              <w:rPr>
                <w:rFonts w:ascii="Times New Roman" w:eastAsia="Times New Roman" w:hAnsi="Times New Roman"/>
                <w:noProof/>
                <w:color w:val="006100"/>
                <w:lang w:val="en-GB"/>
              </w:rPr>
            </w:pPr>
            <w:r w:rsidRPr="001961AA">
              <w:rPr>
                <w:rFonts w:ascii="Times New Roman" w:hAnsi="Times New Roman"/>
                <w:noProof/>
                <w:color w:val="006100"/>
                <w:lang w:val="en-GB"/>
              </w:rPr>
              <w:t>Completion of projects by Skeyes and Defense</w:t>
            </w:r>
          </w:p>
        </w:tc>
        <w:tc>
          <w:tcPr>
            <w:tcW w:w="993" w:type="dxa"/>
            <w:shd w:val="clear" w:color="auto" w:fill="C6EFCE"/>
            <w:vAlign w:val="center"/>
          </w:tcPr>
          <w:p w14:paraId="1ED2FCDE" w14:textId="77777777" w:rsidR="006A41D9" w:rsidRPr="001961AA" w:rsidRDefault="006A41D9" w:rsidP="00BD6DD1">
            <w:pPr>
              <w:rPr>
                <w:rFonts w:ascii="Times New Roman" w:eastAsia="Times New Roman" w:hAnsi="Times New Roman"/>
                <w:noProof/>
                <w:color w:val="006100"/>
                <w:lang w:val="en-GB"/>
              </w:rPr>
            </w:pPr>
          </w:p>
        </w:tc>
        <w:tc>
          <w:tcPr>
            <w:tcW w:w="992" w:type="dxa"/>
            <w:shd w:val="clear" w:color="auto" w:fill="C6EFCE"/>
            <w:vAlign w:val="center"/>
          </w:tcPr>
          <w:p w14:paraId="1F3B979C" w14:textId="77777777" w:rsidR="006A41D9" w:rsidRPr="001961AA" w:rsidRDefault="006A41D9" w:rsidP="00BD6DD1">
            <w:pPr>
              <w:rPr>
                <w:rFonts w:ascii="Times New Roman" w:eastAsia="Times New Roman" w:hAnsi="Times New Roman"/>
                <w:noProof/>
                <w:color w:val="006100"/>
                <w:lang w:val="en-GB"/>
              </w:rPr>
            </w:pPr>
          </w:p>
        </w:tc>
        <w:tc>
          <w:tcPr>
            <w:tcW w:w="709" w:type="dxa"/>
            <w:shd w:val="clear" w:color="auto" w:fill="C6EFCE"/>
            <w:vAlign w:val="center"/>
          </w:tcPr>
          <w:p w14:paraId="4C33EFAC" w14:textId="77777777" w:rsidR="006A41D9" w:rsidRPr="001961AA" w:rsidRDefault="006A41D9" w:rsidP="00BD6DD1">
            <w:pPr>
              <w:rPr>
                <w:rFonts w:ascii="Times New Roman" w:eastAsia="Times New Roman" w:hAnsi="Times New Roman"/>
                <w:noProof/>
                <w:color w:val="006100"/>
                <w:lang w:val="en-GB"/>
              </w:rPr>
            </w:pPr>
          </w:p>
        </w:tc>
        <w:tc>
          <w:tcPr>
            <w:tcW w:w="992" w:type="dxa"/>
            <w:shd w:val="clear" w:color="auto" w:fill="C6EFCE"/>
            <w:vAlign w:val="center"/>
          </w:tcPr>
          <w:p w14:paraId="7F7E7591" w14:textId="77777777" w:rsidR="006A41D9" w:rsidRPr="001961AA" w:rsidRDefault="006A41D9" w:rsidP="00BD6DD1">
            <w:pPr>
              <w:jc w:val="center"/>
              <w:rPr>
                <w:rFonts w:ascii="Times New Roman" w:eastAsia="Times New Roman" w:hAnsi="Times New Roman"/>
                <w:noProof/>
                <w:color w:val="006100"/>
                <w:lang w:val="en-GB"/>
              </w:rPr>
            </w:pPr>
            <w:r w:rsidRPr="001961AA">
              <w:rPr>
                <w:rFonts w:ascii="Times New Roman" w:hAnsi="Times New Roman"/>
                <w:noProof/>
                <w:color w:val="006100"/>
                <w:lang w:val="en-GB"/>
              </w:rPr>
              <w:t>Q2</w:t>
            </w:r>
          </w:p>
        </w:tc>
        <w:tc>
          <w:tcPr>
            <w:tcW w:w="709" w:type="dxa"/>
            <w:shd w:val="clear" w:color="auto" w:fill="C6EFCE"/>
            <w:vAlign w:val="center"/>
          </w:tcPr>
          <w:p w14:paraId="317144F2" w14:textId="77777777" w:rsidR="006A41D9" w:rsidRPr="001961AA" w:rsidRDefault="006A41D9" w:rsidP="00BD6DD1">
            <w:pPr>
              <w:jc w:val="center"/>
              <w:rPr>
                <w:rFonts w:ascii="Times New Roman" w:eastAsia="Times New Roman" w:hAnsi="Times New Roman"/>
                <w:noProof/>
                <w:color w:val="006100"/>
                <w:lang w:val="en-GB"/>
              </w:rPr>
            </w:pPr>
            <w:r w:rsidRPr="001961AA">
              <w:rPr>
                <w:rFonts w:ascii="Times New Roman" w:hAnsi="Times New Roman"/>
                <w:noProof/>
                <w:color w:val="006100"/>
                <w:lang w:val="en-GB"/>
              </w:rPr>
              <w:t>2026</w:t>
            </w:r>
          </w:p>
        </w:tc>
        <w:tc>
          <w:tcPr>
            <w:tcW w:w="3548" w:type="dxa"/>
            <w:shd w:val="clear" w:color="auto" w:fill="C6EFCE"/>
            <w:vAlign w:val="center"/>
          </w:tcPr>
          <w:p w14:paraId="616EC8C3" w14:textId="77777777" w:rsidR="006A41D9" w:rsidRPr="001961AA" w:rsidRDefault="006A41D9" w:rsidP="00BD6DD1">
            <w:pPr>
              <w:spacing w:line="259" w:lineRule="auto"/>
              <w:rPr>
                <w:rFonts w:ascii="Times New Roman" w:eastAsia="Times New Roman" w:hAnsi="Times New Roman"/>
                <w:noProof/>
                <w:color w:val="006100"/>
                <w:lang w:val="en-GB"/>
              </w:rPr>
            </w:pPr>
            <w:r w:rsidRPr="001961AA">
              <w:rPr>
                <w:rFonts w:ascii="Times New Roman" w:hAnsi="Times New Roman"/>
                <w:noProof/>
                <w:color w:val="006100"/>
                <w:lang w:val="en-GB"/>
              </w:rPr>
              <w:t>Acquisition and installation of 4 X-band radars by Defence and the new surveillance technology – 40 Wide Area Multilateration (WAM) units by Skeye</w:t>
            </w:r>
            <w:r w:rsidRPr="001961AA">
              <w:rPr>
                <w:noProof/>
                <w:color w:val="006100"/>
                <w:lang w:val="en-GB"/>
              </w:rPr>
              <w:t>s.</w:t>
            </w:r>
          </w:p>
        </w:tc>
      </w:tr>
      <w:tr w:rsidR="004440D4" w:rsidRPr="001961AA" w14:paraId="151A7410" w14:textId="77777777" w:rsidTr="004440D4">
        <w:trPr>
          <w:trHeight w:val="660"/>
        </w:trPr>
        <w:tc>
          <w:tcPr>
            <w:tcW w:w="704" w:type="dxa"/>
            <w:shd w:val="clear" w:color="auto" w:fill="C6EFCE"/>
            <w:vAlign w:val="center"/>
          </w:tcPr>
          <w:p w14:paraId="39B01788" w14:textId="77777777" w:rsidR="006A41D9" w:rsidRPr="001961AA" w:rsidRDefault="006A41D9" w:rsidP="00BD6DD1">
            <w:pPr>
              <w:jc w:val="center"/>
              <w:rPr>
                <w:rFonts w:ascii="Times New Roman" w:eastAsia="Times New Roman" w:hAnsi="Times New Roman"/>
                <w:noProof/>
                <w:color w:val="006100"/>
                <w:lang w:val="en-GB"/>
              </w:rPr>
            </w:pPr>
            <w:r w:rsidRPr="001961AA">
              <w:rPr>
                <w:rFonts w:ascii="Times New Roman" w:hAnsi="Times New Roman"/>
                <w:noProof/>
                <w:color w:val="006100"/>
                <w:lang w:val="en-GB"/>
              </w:rPr>
              <w:t>238</w:t>
            </w:r>
          </w:p>
        </w:tc>
        <w:tc>
          <w:tcPr>
            <w:tcW w:w="1571" w:type="dxa"/>
            <w:shd w:val="clear" w:color="auto" w:fill="C6EFCE"/>
            <w:vAlign w:val="center"/>
          </w:tcPr>
          <w:p w14:paraId="3383841D" w14:textId="77777777" w:rsidR="006A41D9" w:rsidRPr="001961AA" w:rsidRDefault="006A41D9" w:rsidP="00BD6DD1">
            <w:pPr>
              <w:rPr>
                <w:rFonts w:ascii="Times New Roman" w:eastAsia="Times New Roman" w:hAnsi="Times New Roman"/>
                <w:noProof/>
                <w:color w:val="006100"/>
                <w:lang w:val="en-GB"/>
              </w:rPr>
            </w:pPr>
            <w:r w:rsidRPr="001961AA">
              <w:rPr>
                <w:rFonts w:ascii="Times New Roman" w:hAnsi="Times New Roman"/>
                <w:noProof/>
                <w:color w:val="006100"/>
                <w:lang w:val="en-GB"/>
              </w:rPr>
              <w:t>Removing barriers to renewable energy (I-7.19)</w:t>
            </w:r>
          </w:p>
        </w:tc>
        <w:tc>
          <w:tcPr>
            <w:tcW w:w="555" w:type="dxa"/>
            <w:shd w:val="clear" w:color="auto" w:fill="C6EFCE"/>
            <w:vAlign w:val="center"/>
          </w:tcPr>
          <w:p w14:paraId="57701FDB" w14:textId="77777777" w:rsidR="006A41D9" w:rsidRPr="001961AA" w:rsidRDefault="006A41D9" w:rsidP="00BD6DD1">
            <w:pPr>
              <w:rPr>
                <w:rFonts w:ascii="Times New Roman" w:eastAsia="Times New Roman" w:hAnsi="Times New Roman"/>
                <w:noProof/>
                <w:color w:val="006100"/>
                <w:lang w:val="en-GB"/>
              </w:rPr>
            </w:pPr>
            <w:r w:rsidRPr="001961AA">
              <w:rPr>
                <w:rFonts w:ascii="Times New Roman" w:hAnsi="Times New Roman"/>
                <w:noProof/>
                <w:color w:val="006100"/>
                <w:lang w:val="en-GB"/>
              </w:rPr>
              <w:t>M</w:t>
            </w:r>
          </w:p>
        </w:tc>
        <w:tc>
          <w:tcPr>
            <w:tcW w:w="1560" w:type="dxa"/>
            <w:shd w:val="clear" w:color="auto" w:fill="C6EFCE"/>
            <w:vAlign w:val="center"/>
          </w:tcPr>
          <w:p w14:paraId="0382EDCD" w14:textId="77777777" w:rsidR="006A41D9" w:rsidRPr="001961AA" w:rsidRDefault="006A41D9" w:rsidP="00BD6DD1">
            <w:pPr>
              <w:rPr>
                <w:rFonts w:ascii="Times New Roman" w:eastAsia="Times New Roman" w:hAnsi="Times New Roman"/>
                <w:noProof/>
                <w:color w:val="006100"/>
                <w:lang w:val="en-GB"/>
              </w:rPr>
            </w:pPr>
            <w:r w:rsidRPr="001961AA">
              <w:rPr>
                <w:rFonts w:ascii="Times New Roman" w:hAnsi="Times New Roman"/>
                <w:noProof/>
                <w:color w:val="006100"/>
                <w:lang w:val="en-GB"/>
              </w:rPr>
              <w:t>Entry into force of regulation</w:t>
            </w:r>
          </w:p>
        </w:tc>
        <w:tc>
          <w:tcPr>
            <w:tcW w:w="1842" w:type="dxa"/>
            <w:shd w:val="clear" w:color="auto" w:fill="C6EFCE"/>
            <w:vAlign w:val="center"/>
          </w:tcPr>
          <w:p w14:paraId="50E991C3" w14:textId="66695AE1" w:rsidR="006A41D9" w:rsidRPr="001961AA" w:rsidRDefault="006A41D9" w:rsidP="00BD6DD1">
            <w:pPr>
              <w:rPr>
                <w:rFonts w:ascii="Times New Roman" w:eastAsia="Times New Roman" w:hAnsi="Times New Roman"/>
                <w:noProof/>
                <w:color w:val="006100"/>
                <w:lang w:val="en-GB"/>
              </w:rPr>
            </w:pPr>
            <w:r w:rsidRPr="001961AA">
              <w:rPr>
                <w:rFonts w:ascii="Times New Roman" w:hAnsi="Times New Roman"/>
                <w:noProof/>
                <w:color w:val="006100"/>
                <w:lang w:val="en-GB"/>
              </w:rPr>
              <w:t>Provision in the law indicating the entry into force of regulation</w:t>
            </w:r>
          </w:p>
        </w:tc>
        <w:tc>
          <w:tcPr>
            <w:tcW w:w="993" w:type="dxa"/>
            <w:shd w:val="clear" w:color="auto" w:fill="C6EFCE"/>
            <w:vAlign w:val="center"/>
          </w:tcPr>
          <w:p w14:paraId="2B89B9D6" w14:textId="77777777" w:rsidR="006A41D9" w:rsidRPr="001961AA" w:rsidRDefault="006A41D9" w:rsidP="00BD6DD1">
            <w:pPr>
              <w:rPr>
                <w:rFonts w:ascii="Times New Roman" w:eastAsia="Times New Roman" w:hAnsi="Times New Roman"/>
                <w:noProof/>
                <w:color w:val="006100"/>
                <w:lang w:val="en-GB"/>
              </w:rPr>
            </w:pPr>
          </w:p>
        </w:tc>
        <w:tc>
          <w:tcPr>
            <w:tcW w:w="992" w:type="dxa"/>
            <w:shd w:val="clear" w:color="auto" w:fill="C6EFCE"/>
            <w:vAlign w:val="center"/>
          </w:tcPr>
          <w:p w14:paraId="5DAB11F8" w14:textId="77777777" w:rsidR="006A41D9" w:rsidRPr="001961AA" w:rsidRDefault="006A41D9" w:rsidP="00BD6DD1">
            <w:pPr>
              <w:rPr>
                <w:rFonts w:ascii="Times New Roman" w:eastAsia="Times New Roman" w:hAnsi="Times New Roman"/>
                <w:noProof/>
                <w:color w:val="006100"/>
                <w:lang w:val="en-GB"/>
              </w:rPr>
            </w:pPr>
          </w:p>
        </w:tc>
        <w:tc>
          <w:tcPr>
            <w:tcW w:w="709" w:type="dxa"/>
            <w:shd w:val="clear" w:color="auto" w:fill="C6EFCE"/>
            <w:vAlign w:val="center"/>
          </w:tcPr>
          <w:p w14:paraId="06DD3F06" w14:textId="77777777" w:rsidR="006A41D9" w:rsidRPr="001961AA" w:rsidRDefault="006A41D9" w:rsidP="00BD6DD1">
            <w:pPr>
              <w:rPr>
                <w:rFonts w:ascii="Times New Roman" w:eastAsia="Times New Roman" w:hAnsi="Times New Roman"/>
                <w:noProof/>
                <w:color w:val="006100"/>
                <w:lang w:val="en-GB"/>
              </w:rPr>
            </w:pPr>
          </w:p>
        </w:tc>
        <w:tc>
          <w:tcPr>
            <w:tcW w:w="992" w:type="dxa"/>
            <w:shd w:val="clear" w:color="auto" w:fill="C6EFCE"/>
            <w:vAlign w:val="center"/>
          </w:tcPr>
          <w:p w14:paraId="70C77A2E" w14:textId="77777777" w:rsidR="006A41D9" w:rsidRPr="001961AA" w:rsidRDefault="006A41D9" w:rsidP="00BD6DD1">
            <w:pPr>
              <w:jc w:val="center"/>
              <w:rPr>
                <w:rFonts w:ascii="Times New Roman" w:eastAsia="Times New Roman" w:hAnsi="Times New Roman"/>
                <w:noProof/>
                <w:color w:val="006100"/>
                <w:lang w:val="en-GB"/>
              </w:rPr>
            </w:pPr>
            <w:r w:rsidRPr="001961AA">
              <w:rPr>
                <w:rFonts w:ascii="Times New Roman" w:hAnsi="Times New Roman"/>
                <w:noProof/>
                <w:color w:val="006100"/>
                <w:lang w:val="en-GB"/>
              </w:rPr>
              <w:t>Q2</w:t>
            </w:r>
          </w:p>
        </w:tc>
        <w:tc>
          <w:tcPr>
            <w:tcW w:w="709" w:type="dxa"/>
            <w:shd w:val="clear" w:color="auto" w:fill="C6EFCE"/>
            <w:vAlign w:val="center"/>
          </w:tcPr>
          <w:p w14:paraId="2FA72EF9" w14:textId="77777777" w:rsidR="006A41D9" w:rsidRPr="001961AA" w:rsidRDefault="006A41D9" w:rsidP="00BD6DD1">
            <w:pPr>
              <w:jc w:val="center"/>
              <w:rPr>
                <w:rFonts w:ascii="Times New Roman" w:eastAsia="Times New Roman" w:hAnsi="Times New Roman"/>
                <w:noProof/>
                <w:color w:val="006100"/>
                <w:lang w:val="en-GB"/>
              </w:rPr>
            </w:pPr>
            <w:r w:rsidRPr="001961AA">
              <w:rPr>
                <w:rFonts w:ascii="Times New Roman" w:hAnsi="Times New Roman"/>
                <w:noProof/>
                <w:color w:val="006100"/>
                <w:lang w:val="en-GB"/>
              </w:rPr>
              <w:t>2026</w:t>
            </w:r>
          </w:p>
        </w:tc>
        <w:tc>
          <w:tcPr>
            <w:tcW w:w="3548" w:type="dxa"/>
            <w:shd w:val="clear" w:color="auto" w:fill="C6EFCE"/>
            <w:vAlign w:val="center"/>
          </w:tcPr>
          <w:p w14:paraId="3BC1CE77" w14:textId="77777777" w:rsidR="006A41D9" w:rsidRPr="001961AA" w:rsidRDefault="006A41D9" w:rsidP="00BD6DD1">
            <w:pPr>
              <w:rPr>
                <w:rFonts w:ascii="Times New Roman" w:eastAsia="Times New Roman" w:hAnsi="Times New Roman"/>
                <w:noProof/>
                <w:color w:val="000000" w:themeColor="text1"/>
                <w:lang w:val="en-GB"/>
              </w:rPr>
            </w:pPr>
            <w:r w:rsidRPr="001961AA">
              <w:rPr>
                <w:rFonts w:ascii="Times New Roman" w:hAnsi="Times New Roman"/>
                <w:noProof/>
                <w:color w:val="006100"/>
                <w:lang w:val="en-GB"/>
              </w:rPr>
              <w:t>Entry into force of new regulation reducing the restrictions from civil and military air traffic control around airports on building wind turbines.</w:t>
            </w:r>
          </w:p>
        </w:tc>
      </w:tr>
    </w:tbl>
    <w:p w14:paraId="32E35292" w14:textId="77777777" w:rsidR="006A41D9" w:rsidRPr="001961AA" w:rsidRDefault="006A41D9" w:rsidP="00BD6DD1">
      <w:pPr>
        <w:pStyle w:val="Text1"/>
        <w:rPr>
          <w:noProof/>
          <w:lang w:val="en-GB"/>
        </w:rPr>
      </w:pPr>
    </w:p>
    <w:p w14:paraId="55E36CD3" w14:textId="77777777" w:rsidR="006A41D9" w:rsidRPr="001961AA" w:rsidRDefault="006A41D9" w:rsidP="00BD6DD1">
      <w:pPr>
        <w:pStyle w:val="Text1"/>
        <w:ind w:left="0"/>
        <w:rPr>
          <w:noProof/>
          <w:lang w:val="en-GB"/>
        </w:rPr>
        <w:sectPr w:rsidR="006A41D9" w:rsidRPr="001961AA" w:rsidSect="007F56C3">
          <w:headerReference w:type="even" r:id="rId288"/>
          <w:headerReference w:type="default" r:id="rId289"/>
          <w:footerReference w:type="even" r:id="rId290"/>
          <w:footerReference w:type="default" r:id="rId291"/>
          <w:headerReference w:type="first" r:id="rId292"/>
          <w:footerReference w:type="first" r:id="rId293"/>
          <w:pgSz w:w="16839" w:h="11907" w:orient="landscape"/>
          <w:pgMar w:top="1134" w:right="1134" w:bottom="1134" w:left="1134" w:header="567" w:footer="567" w:gutter="0"/>
          <w:cols w:space="720"/>
          <w:docGrid w:linePitch="360"/>
        </w:sectPr>
      </w:pPr>
    </w:p>
    <w:p w14:paraId="10D2C6ED" w14:textId="5A3B7E08" w:rsidR="006A41D9" w:rsidRPr="001961AA" w:rsidRDefault="002B6028" w:rsidP="00BD6DD1">
      <w:pPr>
        <w:pStyle w:val="Jalonsetcibles"/>
        <w:spacing w:before="120" w:after="120" w:line="240" w:lineRule="auto"/>
        <w:rPr>
          <w:rFonts w:eastAsia="Times New Roman"/>
          <w:noProof/>
          <w:color w:val="000000" w:themeColor="text1"/>
          <w:sz w:val="24"/>
          <w:szCs w:val="24"/>
          <w:u w:val="single"/>
          <w:lang w:val="en-GB"/>
        </w:rPr>
      </w:pPr>
      <w:r w:rsidRPr="001961AA">
        <w:rPr>
          <w:noProof/>
          <w:color w:val="000000" w:themeColor="text1"/>
          <w:sz w:val="24"/>
          <w:u w:val="single"/>
          <w:lang w:val="en-GB"/>
        </w:rPr>
        <w:t>T.3. Description of the reforms and investments for the loan</w:t>
      </w:r>
    </w:p>
    <w:p w14:paraId="012637A3" w14:textId="0B7EF26E" w:rsidR="006A41D9" w:rsidRPr="001961AA" w:rsidRDefault="2DF8951B">
      <w:pPr>
        <w:pStyle w:val="Jalonsetcibles"/>
        <w:spacing w:before="120" w:after="120" w:line="240" w:lineRule="auto"/>
        <w:jc w:val="both"/>
        <w:rPr>
          <w:rFonts w:eastAsia="Times New Roman"/>
          <w:b w:val="0"/>
          <w:noProof/>
          <w:color w:val="000000" w:themeColor="text1"/>
          <w:sz w:val="24"/>
          <w:szCs w:val="24"/>
          <w:u w:val="single"/>
          <w:lang w:val="en-GB"/>
        </w:rPr>
      </w:pPr>
      <w:r w:rsidRPr="001961AA">
        <w:rPr>
          <w:b w:val="0"/>
          <w:noProof/>
          <w:color w:val="000000" w:themeColor="text1"/>
          <w:sz w:val="24"/>
          <w:u w:val="single"/>
          <w:lang w:val="en-GB"/>
        </w:rPr>
        <w:t>Investment I-7.20: ‘Off-shore energy island’ of the Federal State</w:t>
      </w:r>
    </w:p>
    <w:p w14:paraId="173B5E15" w14:textId="77777777" w:rsidR="004440D4" w:rsidRPr="001961AA" w:rsidRDefault="006A41D9" w:rsidP="00BD6DD1">
      <w:pPr>
        <w:pStyle w:val="Jalonsetcibles"/>
        <w:spacing w:before="120" w:after="120" w:line="240" w:lineRule="auto"/>
        <w:jc w:val="both"/>
        <w:rPr>
          <w:rFonts w:eastAsia="Times New Roman"/>
          <w:b w:val="0"/>
          <w:noProof/>
          <w:color w:val="auto"/>
          <w:sz w:val="24"/>
          <w:szCs w:val="24"/>
          <w:lang w:val="en-GB"/>
        </w:rPr>
        <w:sectPr w:rsidR="004440D4" w:rsidRPr="001961AA" w:rsidSect="004440D4">
          <w:headerReference w:type="even" r:id="rId294"/>
          <w:headerReference w:type="default" r:id="rId295"/>
          <w:footerReference w:type="even" r:id="rId296"/>
          <w:footerReference w:type="default" r:id="rId297"/>
          <w:headerReference w:type="first" r:id="rId298"/>
          <w:footerReference w:type="first" r:id="rId299"/>
          <w:pgSz w:w="11907" w:h="16839"/>
          <w:pgMar w:top="1134" w:right="1134" w:bottom="1134" w:left="1134" w:header="567" w:footer="567" w:gutter="0"/>
          <w:cols w:space="720"/>
          <w:docGrid w:linePitch="360"/>
        </w:sectPr>
      </w:pPr>
      <w:r w:rsidRPr="001961AA">
        <w:rPr>
          <w:b w:val="0"/>
          <w:noProof/>
          <w:color w:val="000000" w:themeColor="text1"/>
          <w:sz w:val="24"/>
          <w:lang w:val="en-GB"/>
        </w:rPr>
        <w:t xml:space="preserve">This investment measure aims at developing an offshore energy hub (‘energy island’) in the Belgian part of the North Sea. The realisation of this energy hub has two main objectives. First, it shall allow the connection of at least 3.15 GW of future offshore wind energy to the onshore electricity grid. Second, it shall facilitate the integration and import of more renewable energy in and around the North Sea by connecting to other countries or regions. </w:t>
      </w:r>
      <w:r w:rsidRPr="001961AA">
        <w:rPr>
          <w:b w:val="0"/>
          <w:noProof/>
          <w:color w:val="auto"/>
          <w:sz w:val="24"/>
          <w:lang w:val="en-GB"/>
        </w:rPr>
        <w:t>The implementation of the measure shall be completed by 30 June 2026.</w:t>
      </w:r>
    </w:p>
    <w:p w14:paraId="5103BB75" w14:textId="77777777" w:rsidR="004440D4" w:rsidRPr="001961AA" w:rsidRDefault="004440D4" w:rsidP="004440D4">
      <w:pPr>
        <w:pStyle w:val="Jalonsetcibles"/>
        <w:spacing w:before="120" w:after="120" w:line="240" w:lineRule="auto"/>
        <w:jc w:val="both"/>
        <w:rPr>
          <w:rFonts w:eastAsia="Times New Roman"/>
          <w:noProof/>
          <w:color w:val="000000" w:themeColor="text1"/>
          <w:sz w:val="24"/>
          <w:szCs w:val="24"/>
          <w:u w:val="single"/>
          <w:lang w:val="en-GB"/>
        </w:rPr>
      </w:pPr>
      <w:r w:rsidRPr="001961AA">
        <w:rPr>
          <w:noProof/>
          <w:color w:val="000000" w:themeColor="text1"/>
          <w:sz w:val="24"/>
          <w:u w:val="single"/>
          <w:lang w:val="en-GB"/>
        </w:rPr>
        <w:t>T.4. Milestones, targets, indicators, and timetable for monitoring and implementation for the loan</w:t>
      </w:r>
    </w:p>
    <w:tbl>
      <w:tblPr>
        <w:tblW w:w="1474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3"/>
        <w:gridCol w:w="1522"/>
        <w:gridCol w:w="756"/>
        <w:gridCol w:w="1557"/>
        <w:gridCol w:w="1680"/>
        <w:gridCol w:w="1080"/>
        <w:gridCol w:w="1080"/>
        <w:gridCol w:w="720"/>
        <w:gridCol w:w="1080"/>
        <w:gridCol w:w="835"/>
        <w:gridCol w:w="3719"/>
      </w:tblGrid>
      <w:tr w:rsidR="004868CC" w:rsidRPr="001961AA" w14:paraId="7DC3C9D6" w14:textId="77777777" w:rsidTr="00605BB2">
        <w:trPr>
          <w:trHeight w:val="915"/>
        </w:trPr>
        <w:tc>
          <w:tcPr>
            <w:tcW w:w="713" w:type="dxa"/>
            <w:vMerge w:val="restart"/>
            <w:shd w:val="clear" w:color="auto" w:fill="BDD7EE"/>
            <w:tcMar>
              <w:left w:w="108" w:type="dxa"/>
              <w:right w:w="108" w:type="dxa"/>
            </w:tcMar>
            <w:vAlign w:val="center"/>
          </w:tcPr>
          <w:p w14:paraId="15AC2CC4" w14:textId="44A78C78" w:rsidR="006A41D9" w:rsidRPr="001961AA" w:rsidRDefault="00727EEC" w:rsidP="00BD6DD1">
            <w:pPr>
              <w:spacing w:after="0"/>
              <w:jc w:val="center"/>
              <w:rPr>
                <w:rFonts w:ascii="Times New Roman" w:hAnsi="Times New Roman" w:cs="Times New Roman"/>
                <w:noProof/>
                <w:lang w:val="en-GB"/>
              </w:rPr>
            </w:pPr>
            <w:r w:rsidRPr="001961AA">
              <w:rPr>
                <w:noProof/>
                <w:lang w:val="en-GB"/>
              </w:rPr>
              <w:tab/>
            </w:r>
            <w:r w:rsidRPr="001961AA">
              <w:rPr>
                <w:rFonts w:ascii="Times New Roman" w:hAnsi="Times New Roman"/>
                <w:b/>
                <w:noProof/>
                <w:color w:val="000000" w:themeColor="text1"/>
                <w:lang w:val="en-GB"/>
              </w:rPr>
              <w:t>Seq. Nb</w:t>
            </w:r>
          </w:p>
        </w:tc>
        <w:tc>
          <w:tcPr>
            <w:tcW w:w="1522" w:type="dxa"/>
            <w:vMerge w:val="restart"/>
            <w:shd w:val="clear" w:color="auto" w:fill="BDD7EE"/>
            <w:tcMar>
              <w:left w:w="108" w:type="dxa"/>
              <w:right w:w="108" w:type="dxa"/>
            </w:tcMar>
            <w:vAlign w:val="center"/>
          </w:tcPr>
          <w:p w14:paraId="093E2011" w14:textId="77777777" w:rsidR="006A41D9" w:rsidRPr="001961AA" w:rsidRDefault="006A41D9" w:rsidP="00BD6DD1">
            <w:pPr>
              <w:spacing w:after="0"/>
              <w:jc w:val="center"/>
              <w:rPr>
                <w:rFonts w:ascii="Times New Roman" w:hAnsi="Times New Roman" w:cs="Times New Roman"/>
                <w:noProof/>
                <w:lang w:val="en-GB"/>
              </w:rPr>
            </w:pPr>
            <w:r w:rsidRPr="001961AA">
              <w:rPr>
                <w:rFonts w:ascii="Times New Roman" w:hAnsi="Times New Roman"/>
                <w:b/>
                <w:noProof/>
                <w:color w:val="000000" w:themeColor="text1"/>
                <w:lang w:val="en-GB"/>
              </w:rPr>
              <w:t>Related Measure (Reform or Investment)</w:t>
            </w:r>
          </w:p>
        </w:tc>
        <w:tc>
          <w:tcPr>
            <w:tcW w:w="756" w:type="dxa"/>
            <w:vMerge w:val="restart"/>
            <w:shd w:val="clear" w:color="auto" w:fill="BDD7EE"/>
            <w:tcMar>
              <w:left w:w="108" w:type="dxa"/>
              <w:right w:w="108" w:type="dxa"/>
            </w:tcMar>
            <w:vAlign w:val="center"/>
          </w:tcPr>
          <w:p w14:paraId="2F60DCE1" w14:textId="77777777" w:rsidR="006A41D9" w:rsidRPr="001961AA" w:rsidRDefault="006A41D9" w:rsidP="00BD6DD1">
            <w:pPr>
              <w:spacing w:after="0"/>
              <w:jc w:val="center"/>
              <w:rPr>
                <w:rFonts w:ascii="Times New Roman" w:hAnsi="Times New Roman" w:cs="Times New Roman"/>
                <w:noProof/>
                <w:lang w:val="en-GB"/>
              </w:rPr>
            </w:pPr>
            <w:r w:rsidRPr="001961AA">
              <w:rPr>
                <w:rFonts w:ascii="Times New Roman" w:hAnsi="Times New Roman"/>
                <w:b/>
                <w:noProof/>
                <w:color w:val="000000" w:themeColor="text1"/>
                <w:lang w:val="en-GB"/>
              </w:rPr>
              <w:t>M/T</w:t>
            </w:r>
          </w:p>
        </w:tc>
        <w:tc>
          <w:tcPr>
            <w:tcW w:w="1557" w:type="dxa"/>
            <w:vMerge w:val="restart"/>
            <w:shd w:val="clear" w:color="auto" w:fill="BDD7EE"/>
            <w:tcMar>
              <w:left w:w="108" w:type="dxa"/>
              <w:right w:w="108" w:type="dxa"/>
            </w:tcMar>
            <w:vAlign w:val="center"/>
          </w:tcPr>
          <w:p w14:paraId="32068020" w14:textId="77777777" w:rsidR="006A41D9" w:rsidRPr="001961AA" w:rsidRDefault="006A41D9" w:rsidP="00BD6DD1">
            <w:pPr>
              <w:spacing w:after="0"/>
              <w:jc w:val="center"/>
              <w:rPr>
                <w:rFonts w:ascii="Times New Roman" w:hAnsi="Times New Roman" w:cs="Times New Roman"/>
                <w:noProof/>
                <w:lang w:val="en-GB"/>
              </w:rPr>
            </w:pPr>
            <w:r w:rsidRPr="001961AA">
              <w:rPr>
                <w:rFonts w:ascii="Times New Roman" w:hAnsi="Times New Roman"/>
                <w:b/>
                <w:noProof/>
                <w:color w:val="000000" w:themeColor="text1"/>
                <w:lang w:val="en-GB"/>
              </w:rPr>
              <w:t>Name</w:t>
            </w:r>
          </w:p>
        </w:tc>
        <w:tc>
          <w:tcPr>
            <w:tcW w:w="1680" w:type="dxa"/>
            <w:vMerge w:val="restart"/>
            <w:shd w:val="clear" w:color="auto" w:fill="BDD7EE"/>
            <w:tcMar>
              <w:left w:w="108" w:type="dxa"/>
              <w:right w:w="108" w:type="dxa"/>
            </w:tcMar>
            <w:vAlign w:val="center"/>
          </w:tcPr>
          <w:p w14:paraId="3E6E240A" w14:textId="77777777" w:rsidR="006A41D9" w:rsidRPr="001961AA" w:rsidRDefault="006A41D9" w:rsidP="00BD6DD1">
            <w:pPr>
              <w:spacing w:after="0"/>
              <w:jc w:val="center"/>
              <w:rPr>
                <w:rFonts w:ascii="Times New Roman" w:eastAsia="Times New Roman" w:hAnsi="Times New Roman" w:cs="Times New Roman"/>
                <w:b/>
                <w:noProof/>
                <w:color w:val="000000" w:themeColor="text1"/>
                <w:lang w:val="en-GB"/>
              </w:rPr>
            </w:pPr>
            <w:r w:rsidRPr="001961AA">
              <w:rPr>
                <w:rFonts w:ascii="Times New Roman" w:hAnsi="Times New Roman"/>
                <w:b/>
                <w:noProof/>
                <w:color w:val="000000" w:themeColor="text1"/>
                <w:lang w:val="en-GB"/>
              </w:rPr>
              <w:t xml:space="preserve">Qualitative indicators </w:t>
            </w:r>
            <w:r w:rsidRPr="001961AA">
              <w:rPr>
                <w:noProof/>
                <w:lang w:val="en-GB"/>
              </w:rPr>
              <w:t xml:space="preserve"> </w:t>
            </w:r>
            <w:r w:rsidRPr="001961AA">
              <w:rPr>
                <w:noProof/>
                <w:lang w:val="en-GB"/>
              </w:rPr>
              <w:br/>
            </w:r>
            <w:r w:rsidRPr="001961AA">
              <w:rPr>
                <w:rFonts w:ascii="Times New Roman" w:hAnsi="Times New Roman"/>
                <w:b/>
                <w:noProof/>
                <w:color w:val="000000" w:themeColor="text1"/>
                <w:lang w:val="en-GB"/>
              </w:rPr>
              <w:t>(for milestone)</w:t>
            </w:r>
          </w:p>
        </w:tc>
        <w:tc>
          <w:tcPr>
            <w:tcW w:w="2880" w:type="dxa"/>
            <w:gridSpan w:val="3"/>
            <w:shd w:val="clear" w:color="auto" w:fill="BDD7EE"/>
            <w:tcMar>
              <w:left w:w="108" w:type="dxa"/>
              <w:right w:w="108" w:type="dxa"/>
            </w:tcMar>
            <w:vAlign w:val="center"/>
          </w:tcPr>
          <w:p w14:paraId="22697A5D" w14:textId="77777777" w:rsidR="006A41D9" w:rsidRPr="001961AA" w:rsidRDefault="006A41D9" w:rsidP="00BD6DD1">
            <w:pPr>
              <w:spacing w:after="0"/>
              <w:jc w:val="center"/>
              <w:rPr>
                <w:rFonts w:ascii="Times New Roman" w:hAnsi="Times New Roman" w:cs="Times New Roman"/>
                <w:noProof/>
                <w:lang w:val="en-GB"/>
              </w:rPr>
            </w:pPr>
            <w:r w:rsidRPr="001961AA">
              <w:rPr>
                <w:rFonts w:ascii="Times New Roman" w:hAnsi="Times New Roman"/>
                <w:b/>
                <w:noProof/>
                <w:color w:val="000000" w:themeColor="text1"/>
                <w:lang w:val="en-GB"/>
              </w:rPr>
              <w:t xml:space="preserve">Quantitative indicators </w:t>
            </w:r>
            <w:r w:rsidRPr="001961AA">
              <w:rPr>
                <w:noProof/>
                <w:lang w:val="en-GB"/>
              </w:rPr>
              <w:t xml:space="preserve"> </w:t>
            </w:r>
            <w:r w:rsidRPr="001961AA">
              <w:rPr>
                <w:noProof/>
                <w:lang w:val="en-GB"/>
              </w:rPr>
              <w:br/>
            </w:r>
            <w:r w:rsidRPr="001961AA">
              <w:rPr>
                <w:rFonts w:ascii="Times New Roman" w:hAnsi="Times New Roman"/>
                <w:b/>
                <w:noProof/>
                <w:color w:val="000000" w:themeColor="text1"/>
                <w:lang w:val="en-GB"/>
              </w:rPr>
              <w:t>(for targets)</w:t>
            </w:r>
          </w:p>
        </w:tc>
        <w:tc>
          <w:tcPr>
            <w:tcW w:w="1915" w:type="dxa"/>
            <w:gridSpan w:val="2"/>
            <w:shd w:val="clear" w:color="auto" w:fill="BDD7EE"/>
            <w:tcMar>
              <w:left w:w="108" w:type="dxa"/>
              <w:right w:w="108" w:type="dxa"/>
            </w:tcMar>
            <w:vAlign w:val="center"/>
          </w:tcPr>
          <w:p w14:paraId="4387F663" w14:textId="77777777" w:rsidR="006A41D9" w:rsidRPr="001961AA" w:rsidRDefault="006A41D9" w:rsidP="00BD6DD1">
            <w:pPr>
              <w:spacing w:line="257" w:lineRule="auto"/>
              <w:jc w:val="center"/>
              <w:rPr>
                <w:rFonts w:ascii="Times New Roman" w:hAnsi="Times New Roman" w:cs="Times New Roman"/>
                <w:noProof/>
                <w:lang w:val="en-GB"/>
              </w:rPr>
            </w:pPr>
            <w:r w:rsidRPr="001961AA">
              <w:rPr>
                <w:rFonts w:ascii="Times New Roman" w:hAnsi="Times New Roman"/>
                <w:b/>
                <w:noProof/>
                <w:color w:val="000000" w:themeColor="text1"/>
                <w:lang w:val="en-GB"/>
              </w:rPr>
              <w:t>Indicative timeline for completion</w:t>
            </w:r>
          </w:p>
        </w:tc>
        <w:tc>
          <w:tcPr>
            <w:tcW w:w="3719" w:type="dxa"/>
            <w:vMerge w:val="restart"/>
            <w:shd w:val="clear" w:color="auto" w:fill="BDD7EE"/>
            <w:tcMar>
              <w:left w:w="108" w:type="dxa"/>
              <w:right w:w="108" w:type="dxa"/>
            </w:tcMar>
            <w:vAlign w:val="center"/>
          </w:tcPr>
          <w:p w14:paraId="5203FB12" w14:textId="77777777" w:rsidR="006A41D9" w:rsidRPr="001961AA" w:rsidRDefault="006A41D9" w:rsidP="00BD6DD1">
            <w:pPr>
              <w:spacing w:line="257" w:lineRule="auto"/>
              <w:jc w:val="center"/>
              <w:rPr>
                <w:rFonts w:ascii="Times New Roman" w:hAnsi="Times New Roman" w:cs="Times New Roman"/>
                <w:noProof/>
                <w:lang w:val="en-GB"/>
              </w:rPr>
            </w:pPr>
            <w:r w:rsidRPr="001961AA">
              <w:rPr>
                <w:rFonts w:ascii="Times New Roman" w:hAnsi="Times New Roman"/>
                <w:b/>
                <w:noProof/>
                <w:color w:val="000000" w:themeColor="text1"/>
                <w:lang w:val="en-GB"/>
              </w:rPr>
              <w:t>Description of each milestone and target</w:t>
            </w:r>
          </w:p>
        </w:tc>
      </w:tr>
      <w:tr w:rsidR="004868CC" w:rsidRPr="001961AA" w14:paraId="2452897B" w14:textId="77777777" w:rsidTr="00605BB2">
        <w:trPr>
          <w:trHeight w:val="150"/>
        </w:trPr>
        <w:tc>
          <w:tcPr>
            <w:tcW w:w="713" w:type="dxa"/>
            <w:vMerge/>
            <w:vAlign w:val="center"/>
          </w:tcPr>
          <w:p w14:paraId="5B2310F3" w14:textId="77777777" w:rsidR="006A41D9" w:rsidRPr="001961AA" w:rsidRDefault="006A41D9">
            <w:pPr>
              <w:rPr>
                <w:rFonts w:ascii="Times New Roman" w:hAnsi="Times New Roman" w:cs="Times New Roman"/>
                <w:noProof/>
                <w:lang w:val="en-GB"/>
              </w:rPr>
            </w:pPr>
          </w:p>
        </w:tc>
        <w:tc>
          <w:tcPr>
            <w:tcW w:w="1522" w:type="dxa"/>
            <w:vMerge/>
            <w:vAlign w:val="center"/>
          </w:tcPr>
          <w:p w14:paraId="6B4E1E01" w14:textId="77777777" w:rsidR="006A41D9" w:rsidRPr="001961AA" w:rsidRDefault="006A41D9">
            <w:pPr>
              <w:rPr>
                <w:rFonts w:ascii="Times New Roman" w:hAnsi="Times New Roman" w:cs="Times New Roman"/>
                <w:noProof/>
                <w:lang w:val="en-GB"/>
              </w:rPr>
            </w:pPr>
          </w:p>
        </w:tc>
        <w:tc>
          <w:tcPr>
            <w:tcW w:w="756" w:type="dxa"/>
            <w:vMerge/>
            <w:vAlign w:val="center"/>
          </w:tcPr>
          <w:p w14:paraId="2EE20380" w14:textId="77777777" w:rsidR="006A41D9" w:rsidRPr="001961AA" w:rsidRDefault="006A41D9">
            <w:pPr>
              <w:rPr>
                <w:rFonts w:ascii="Times New Roman" w:hAnsi="Times New Roman" w:cs="Times New Roman"/>
                <w:noProof/>
                <w:lang w:val="en-GB"/>
              </w:rPr>
            </w:pPr>
          </w:p>
        </w:tc>
        <w:tc>
          <w:tcPr>
            <w:tcW w:w="1557" w:type="dxa"/>
            <w:vMerge/>
            <w:vAlign w:val="center"/>
          </w:tcPr>
          <w:p w14:paraId="2FAD1826" w14:textId="77777777" w:rsidR="006A41D9" w:rsidRPr="001961AA" w:rsidRDefault="006A41D9">
            <w:pPr>
              <w:rPr>
                <w:rFonts w:ascii="Times New Roman" w:hAnsi="Times New Roman" w:cs="Times New Roman"/>
                <w:noProof/>
                <w:lang w:val="en-GB"/>
              </w:rPr>
            </w:pPr>
          </w:p>
        </w:tc>
        <w:tc>
          <w:tcPr>
            <w:tcW w:w="1680" w:type="dxa"/>
            <w:vMerge/>
            <w:vAlign w:val="center"/>
          </w:tcPr>
          <w:p w14:paraId="1E842AB2" w14:textId="77777777" w:rsidR="006A41D9" w:rsidRPr="001961AA" w:rsidRDefault="006A41D9">
            <w:pPr>
              <w:rPr>
                <w:rFonts w:ascii="Times New Roman" w:hAnsi="Times New Roman" w:cs="Times New Roman"/>
                <w:noProof/>
                <w:lang w:val="en-GB"/>
              </w:rPr>
            </w:pPr>
          </w:p>
        </w:tc>
        <w:tc>
          <w:tcPr>
            <w:tcW w:w="1080" w:type="dxa"/>
            <w:shd w:val="clear" w:color="auto" w:fill="BDD7EE"/>
            <w:tcMar>
              <w:left w:w="108" w:type="dxa"/>
              <w:right w:w="108" w:type="dxa"/>
            </w:tcMar>
            <w:vAlign w:val="center"/>
          </w:tcPr>
          <w:p w14:paraId="4F66ADAE" w14:textId="77777777" w:rsidR="006A41D9" w:rsidRPr="001961AA" w:rsidRDefault="006A41D9" w:rsidP="00BD6DD1">
            <w:pPr>
              <w:spacing w:after="0"/>
              <w:jc w:val="center"/>
              <w:rPr>
                <w:rFonts w:ascii="Times New Roman" w:hAnsi="Times New Roman" w:cs="Times New Roman"/>
                <w:noProof/>
                <w:lang w:val="en-GB"/>
              </w:rPr>
            </w:pPr>
            <w:r w:rsidRPr="001961AA">
              <w:rPr>
                <w:rFonts w:ascii="Times New Roman" w:hAnsi="Times New Roman"/>
                <w:b/>
                <w:noProof/>
                <w:color w:val="000000" w:themeColor="text1"/>
                <w:lang w:val="en-GB"/>
              </w:rPr>
              <w:t>Unit of measure</w:t>
            </w:r>
          </w:p>
        </w:tc>
        <w:tc>
          <w:tcPr>
            <w:tcW w:w="1080" w:type="dxa"/>
            <w:shd w:val="clear" w:color="auto" w:fill="BDD7EE"/>
            <w:tcMar>
              <w:left w:w="108" w:type="dxa"/>
              <w:right w:w="108" w:type="dxa"/>
            </w:tcMar>
            <w:vAlign w:val="center"/>
          </w:tcPr>
          <w:p w14:paraId="3121BCD6" w14:textId="77777777" w:rsidR="006A41D9" w:rsidRPr="001961AA" w:rsidRDefault="006A41D9" w:rsidP="00BD6DD1">
            <w:pPr>
              <w:spacing w:after="0"/>
              <w:jc w:val="center"/>
              <w:rPr>
                <w:rFonts w:ascii="Times New Roman" w:hAnsi="Times New Roman" w:cs="Times New Roman"/>
                <w:noProof/>
                <w:lang w:val="en-GB"/>
              </w:rPr>
            </w:pPr>
            <w:r w:rsidRPr="001961AA">
              <w:rPr>
                <w:rFonts w:ascii="Times New Roman" w:hAnsi="Times New Roman"/>
                <w:b/>
                <w:noProof/>
                <w:color w:val="000000" w:themeColor="text1"/>
                <w:lang w:val="en-GB"/>
              </w:rPr>
              <w:t>Baseline</w:t>
            </w:r>
          </w:p>
        </w:tc>
        <w:tc>
          <w:tcPr>
            <w:tcW w:w="720" w:type="dxa"/>
            <w:shd w:val="clear" w:color="auto" w:fill="BDD7EE"/>
            <w:tcMar>
              <w:left w:w="108" w:type="dxa"/>
              <w:right w:w="108" w:type="dxa"/>
            </w:tcMar>
            <w:vAlign w:val="center"/>
          </w:tcPr>
          <w:p w14:paraId="7656224C" w14:textId="77777777" w:rsidR="006A41D9" w:rsidRPr="001961AA" w:rsidRDefault="006A41D9" w:rsidP="00BD6DD1">
            <w:pPr>
              <w:spacing w:after="0"/>
              <w:jc w:val="center"/>
              <w:rPr>
                <w:rFonts w:ascii="Times New Roman" w:hAnsi="Times New Roman" w:cs="Times New Roman"/>
                <w:noProof/>
                <w:lang w:val="en-GB"/>
              </w:rPr>
            </w:pPr>
            <w:r w:rsidRPr="001961AA">
              <w:rPr>
                <w:rFonts w:ascii="Times New Roman" w:hAnsi="Times New Roman"/>
                <w:b/>
                <w:noProof/>
                <w:color w:val="000000" w:themeColor="text1"/>
                <w:lang w:val="en-GB"/>
              </w:rPr>
              <w:t>Goal</w:t>
            </w:r>
          </w:p>
        </w:tc>
        <w:tc>
          <w:tcPr>
            <w:tcW w:w="1080" w:type="dxa"/>
            <w:shd w:val="clear" w:color="auto" w:fill="BDD7EE"/>
            <w:tcMar>
              <w:left w:w="108" w:type="dxa"/>
              <w:right w:w="108" w:type="dxa"/>
            </w:tcMar>
            <w:vAlign w:val="center"/>
          </w:tcPr>
          <w:p w14:paraId="616EC587" w14:textId="77777777" w:rsidR="006A41D9" w:rsidRPr="001961AA" w:rsidRDefault="006A41D9" w:rsidP="00BD6DD1">
            <w:pPr>
              <w:spacing w:after="0"/>
              <w:jc w:val="center"/>
              <w:rPr>
                <w:rFonts w:ascii="Times New Roman" w:hAnsi="Times New Roman" w:cs="Times New Roman"/>
                <w:noProof/>
                <w:lang w:val="en-GB"/>
              </w:rPr>
            </w:pPr>
            <w:r w:rsidRPr="001961AA">
              <w:rPr>
                <w:rFonts w:ascii="Times New Roman" w:hAnsi="Times New Roman"/>
                <w:b/>
                <w:noProof/>
                <w:color w:val="000000" w:themeColor="text1"/>
                <w:lang w:val="en-GB"/>
              </w:rPr>
              <w:t>Quarter</w:t>
            </w:r>
          </w:p>
        </w:tc>
        <w:tc>
          <w:tcPr>
            <w:tcW w:w="835" w:type="dxa"/>
            <w:shd w:val="clear" w:color="auto" w:fill="BDD7EE"/>
            <w:tcMar>
              <w:left w:w="108" w:type="dxa"/>
              <w:right w:w="108" w:type="dxa"/>
            </w:tcMar>
            <w:vAlign w:val="center"/>
          </w:tcPr>
          <w:p w14:paraId="719CB910" w14:textId="77777777" w:rsidR="006A41D9" w:rsidRPr="001961AA" w:rsidRDefault="006A41D9" w:rsidP="00BD6DD1">
            <w:pPr>
              <w:spacing w:after="0"/>
              <w:jc w:val="center"/>
              <w:rPr>
                <w:rFonts w:ascii="Times New Roman" w:hAnsi="Times New Roman" w:cs="Times New Roman"/>
                <w:noProof/>
                <w:lang w:val="en-GB"/>
              </w:rPr>
            </w:pPr>
            <w:r w:rsidRPr="001961AA">
              <w:rPr>
                <w:rFonts w:ascii="Times New Roman" w:hAnsi="Times New Roman"/>
                <w:b/>
                <w:noProof/>
                <w:color w:val="000000" w:themeColor="text1"/>
                <w:lang w:val="en-GB"/>
              </w:rPr>
              <w:t>Year</w:t>
            </w:r>
          </w:p>
        </w:tc>
        <w:tc>
          <w:tcPr>
            <w:tcW w:w="3719" w:type="dxa"/>
            <w:vMerge/>
            <w:vAlign w:val="center"/>
          </w:tcPr>
          <w:p w14:paraId="24747FAB" w14:textId="77777777" w:rsidR="006A41D9" w:rsidRPr="001961AA" w:rsidRDefault="006A41D9">
            <w:pPr>
              <w:rPr>
                <w:rFonts w:ascii="Times New Roman" w:hAnsi="Times New Roman" w:cs="Times New Roman"/>
                <w:noProof/>
                <w:lang w:val="en-GB"/>
              </w:rPr>
            </w:pPr>
          </w:p>
        </w:tc>
      </w:tr>
      <w:tr w:rsidR="004868CC" w:rsidRPr="001961AA" w14:paraId="5825DBBC" w14:textId="77777777" w:rsidTr="00605BB2">
        <w:trPr>
          <w:trHeight w:val="300"/>
        </w:trPr>
        <w:tc>
          <w:tcPr>
            <w:tcW w:w="713" w:type="dxa"/>
            <w:shd w:val="clear" w:color="auto" w:fill="C6EFCE"/>
            <w:tcMar>
              <w:left w:w="108" w:type="dxa"/>
              <w:right w:w="108" w:type="dxa"/>
            </w:tcMar>
            <w:vAlign w:val="center"/>
          </w:tcPr>
          <w:p w14:paraId="0D70FCAB" w14:textId="77777777" w:rsidR="006A41D9" w:rsidRPr="001961AA" w:rsidRDefault="006A41D9" w:rsidP="00BD6DD1">
            <w:pPr>
              <w:spacing w:after="0"/>
              <w:jc w:val="center"/>
              <w:rPr>
                <w:rFonts w:ascii="Times New Roman" w:hAnsi="Times New Roman" w:cs="Times New Roman"/>
                <w:noProof/>
                <w:lang w:val="en-GB"/>
              </w:rPr>
            </w:pPr>
            <w:r w:rsidRPr="001961AA">
              <w:rPr>
                <w:rFonts w:ascii="Times New Roman" w:hAnsi="Times New Roman"/>
                <w:noProof/>
                <w:color w:val="006100"/>
                <w:lang w:val="en-GB"/>
              </w:rPr>
              <w:t>239</w:t>
            </w:r>
          </w:p>
        </w:tc>
        <w:tc>
          <w:tcPr>
            <w:tcW w:w="1522" w:type="dxa"/>
            <w:shd w:val="clear" w:color="auto" w:fill="C6EFCE"/>
            <w:tcMar>
              <w:left w:w="108" w:type="dxa"/>
              <w:right w:w="108" w:type="dxa"/>
            </w:tcMar>
            <w:vAlign w:val="center"/>
          </w:tcPr>
          <w:p w14:paraId="4299DC73" w14:textId="77777777" w:rsidR="006A41D9" w:rsidRPr="001961AA" w:rsidRDefault="006A41D9" w:rsidP="00BD6DD1">
            <w:pPr>
              <w:spacing w:after="0"/>
              <w:rPr>
                <w:rFonts w:ascii="Times New Roman" w:hAnsi="Times New Roman" w:cs="Times New Roman"/>
                <w:noProof/>
                <w:lang w:val="en-GB"/>
              </w:rPr>
            </w:pPr>
            <w:r w:rsidRPr="001961AA">
              <w:rPr>
                <w:rFonts w:ascii="Times New Roman" w:hAnsi="Times New Roman"/>
                <w:noProof/>
                <w:color w:val="006100"/>
                <w:lang w:val="en-GB"/>
              </w:rPr>
              <w:t>Off-shore energy island (I-7.20)</w:t>
            </w:r>
          </w:p>
        </w:tc>
        <w:tc>
          <w:tcPr>
            <w:tcW w:w="756" w:type="dxa"/>
            <w:shd w:val="clear" w:color="auto" w:fill="C6EFCE"/>
            <w:tcMar>
              <w:left w:w="108" w:type="dxa"/>
              <w:right w:w="108" w:type="dxa"/>
            </w:tcMar>
            <w:vAlign w:val="center"/>
          </w:tcPr>
          <w:p w14:paraId="23AB07B0" w14:textId="77777777" w:rsidR="006A41D9" w:rsidRPr="001961AA" w:rsidRDefault="006A41D9" w:rsidP="00BD6DD1">
            <w:pPr>
              <w:spacing w:after="0"/>
              <w:jc w:val="center"/>
              <w:rPr>
                <w:rFonts w:ascii="Times New Roman" w:hAnsi="Times New Roman" w:cs="Times New Roman"/>
                <w:noProof/>
                <w:lang w:val="en-GB"/>
              </w:rPr>
            </w:pPr>
            <w:r w:rsidRPr="001961AA">
              <w:rPr>
                <w:rFonts w:ascii="Times New Roman" w:hAnsi="Times New Roman"/>
                <w:noProof/>
                <w:color w:val="006100"/>
                <w:lang w:val="en-GB"/>
              </w:rPr>
              <w:t>M</w:t>
            </w:r>
          </w:p>
        </w:tc>
        <w:tc>
          <w:tcPr>
            <w:tcW w:w="1557" w:type="dxa"/>
            <w:shd w:val="clear" w:color="auto" w:fill="C6EFCE"/>
            <w:tcMar>
              <w:left w:w="108" w:type="dxa"/>
              <w:right w:w="108" w:type="dxa"/>
            </w:tcMar>
            <w:vAlign w:val="center"/>
          </w:tcPr>
          <w:p w14:paraId="7352B198" w14:textId="77777777" w:rsidR="006A41D9" w:rsidRPr="001961AA" w:rsidRDefault="006A41D9" w:rsidP="00BD6DD1">
            <w:pPr>
              <w:spacing w:after="0"/>
              <w:rPr>
                <w:rFonts w:ascii="Times New Roman" w:hAnsi="Times New Roman" w:cs="Times New Roman"/>
                <w:noProof/>
                <w:lang w:val="en-GB"/>
              </w:rPr>
            </w:pPr>
            <w:r w:rsidRPr="001961AA">
              <w:rPr>
                <w:rFonts w:ascii="Times New Roman" w:hAnsi="Times New Roman"/>
                <w:noProof/>
                <w:color w:val="006100"/>
                <w:lang w:val="en-GB"/>
              </w:rPr>
              <w:t>Finalisation of FEED and environmental studies</w:t>
            </w:r>
          </w:p>
        </w:tc>
        <w:tc>
          <w:tcPr>
            <w:tcW w:w="1680" w:type="dxa"/>
            <w:shd w:val="clear" w:color="auto" w:fill="C6EFCE"/>
            <w:tcMar>
              <w:left w:w="108" w:type="dxa"/>
              <w:right w:w="108" w:type="dxa"/>
            </w:tcMar>
            <w:vAlign w:val="center"/>
          </w:tcPr>
          <w:p w14:paraId="4673F912" w14:textId="77777777" w:rsidR="006A41D9" w:rsidRPr="001961AA" w:rsidRDefault="006A41D9" w:rsidP="00BD6DD1">
            <w:pPr>
              <w:spacing w:after="0"/>
              <w:rPr>
                <w:rFonts w:ascii="Times New Roman" w:hAnsi="Times New Roman" w:cs="Times New Roman"/>
                <w:noProof/>
                <w:lang w:val="en-GB"/>
              </w:rPr>
            </w:pPr>
            <w:r w:rsidRPr="001961AA">
              <w:rPr>
                <w:rFonts w:ascii="Times New Roman" w:hAnsi="Times New Roman"/>
                <w:noProof/>
                <w:color w:val="006100"/>
                <w:lang w:val="en-GB"/>
              </w:rPr>
              <w:t>Publication of FEED and environmental studies</w:t>
            </w:r>
          </w:p>
        </w:tc>
        <w:tc>
          <w:tcPr>
            <w:tcW w:w="1080" w:type="dxa"/>
            <w:shd w:val="clear" w:color="auto" w:fill="C6EFCE"/>
            <w:tcMar>
              <w:left w:w="108" w:type="dxa"/>
              <w:right w:w="108" w:type="dxa"/>
            </w:tcMar>
            <w:vAlign w:val="center"/>
          </w:tcPr>
          <w:p w14:paraId="6A271442" w14:textId="77777777" w:rsidR="006A41D9" w:rsidRPr="001961AA" w:rsidRDefault="006A41D9" w:rsidP="00BD6DD1">
            <w:pPr>
              <w:spacing w:after="0"/>
              <w:rPr>
                <w:rFonts w:ascii="Times New Roman" w:hAnsi="Times New Roman" w:cs="Times New Roman"/>
                <w:noProof/>
                <w:lang w:val="en-GB"/>
              </w:rPr>
            </w:pPr>
          </w:p>
        </w:tc>
        <w:tc>
          <w:tcPr>
            <w:tcW w:w="1080" w:type="dxa"/>
            <w:shd w:val="clear" w:color="auto" w:fill="C6EFCE"/>
            <w:tcMar>
              <w:left w:w="108" w:type="dxa"/>
              <w:right w:w="108" w:type="dxa"/>
            </w:tcMar>
            <w:vAlign w:val="center"/>
          </w:tcPr>
          <w:p w14:paraId="78411751" w14:textId="77777777" w:rsidR="006A41D9" w:rsidRPr="001961AA" w:rsidRDefault="006A41D9" w:rsidP="00BD6DD1">
            <w:pPr>
              <w:spacing w:after="0"/>
              <w:rPr>
                <w:rFonts w:ascii="Times New Roman" w:hAnsi="Times New Roman" w:cs="Times New Roman"/>
                <w:noProof/>
                <w:lang w:val="en-GB"/>
              </w:rPr>
            </w:pPr>
          </w:p>
        </w:tc>
        <w:tc>
          <w:tcPr>
            <w:tcW w:w="720" w:type="dxa"/>
            <w:shd w:val="clear" w:color="auto" w:fill="C6EFCE"/>
            <w:tcMar>
              <w:left w:w="108" w:type="dxa"/>
              <w:right w:w="108" w:type="dxa"/>
            </w:tcMar>
            <w:vAlign w:val="center"/>
          </w:tcPr>
          <w:p w14:paraId="74287B7A" w14:textId="77777777" w:rsidR="006A41D9" w:rsidRPr="001961AA" w:rsidRDefault="006A41D9" w:rsidP="00BD6DD1">
            <w:pPr>
              <w:spacing w:after="0"/>
              <w:rPr>
                <w:rFonts w:ascii="Times New Roman" w:hAnsi="Times New Roman" w:cs="Times New Roman"/>
                <w:noProof/>
                <w:lang w:val="en-GB"/>
              </w:rPr>
            </w:pPr>
          </w:p>
        </w:tc>
        <w:tc>
          <w:tcPr>
            <w:tcW w:w="1080" w:type="dxa"/>
            <w:shd w:val="clear" w:color="auto" w:fill="C6EFCE"/>
            <w:tcMar>
              <w:left w:w="108" w:type="dxa"/>
              <w:right w:w="108" w:type="dxa"/>
            </w:tcMar>
            <w:vAlign w:val="center"/>
          </w:tcPr>
          <w:p w14:paraId="5015FDAB" w14:textId="77777777" w:rsidR="006A41D9" w:rsidRPr="001961AA" w:rsidRDefault="006A41D9" w:rsidP="00AE3685">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Q4</w:t>
            </w:r>
          </w:p>
        </w:tc>
        <w:tc>
          <w:tcPr>
            <w:tcW w:w="835" w:type="dxa"/>
            <w:shd w:val="clear" w:color="auto" w:fill="C6EFCE"/>
            <w:tcMar>
              <w:left w:w="108" w:type="dxa"/>
              <w:right w:w="108" w:type="dxa"/>
            </w:tcMar>
            <w:vAlign w:val="center"/>
          </w:tcPr>
          <w:p w14:paraId="76B156D2"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2022</w:t>
            </w:r>
          </w:p>
        </w:tc>
        <w:tc>
          <w:tcPr>
            <w:tcW w:w="3719" w:type="dxa"/>
            <w:shd w:val="clear" w:color="auto" w:fill="C6EFCE"/>
            <w:tcMar>
              <w:left w:w="108" w:type="dxa"/>
              <w:right w:w="108" w:type="dxa"/>
            </w:tcMar>
            <w:vAlign w:val="center"/>
          </w:tcPr>
          <w:p w14:paraId="0C5C9DFE" w14:textId="229F539D"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 xml:space="preserve">Finalisation of FEED (Front-end engineering design) and environmental studies for the measure “Off-shore energy island”. </w:t>
            </w:r>
          </w:p>
        </w:tc>
      </w:tr>
      <w:tr w:rsidR="004868CC" w:rsidRPr="001961AA" w14:paraId="419E0569" w14:textId="77777777" w:rsidTr="00605BB2">
        <w:trPr>
          <w:trHeight w:val="300"/>
        </w:trPr>
        <w:tc>
          <w:tcPr>
            <w:tcW w:w="713" w:type="dxa"/>
            <w:shd w:val="clear" w:color="auto" w:fill="C6EFCE"/>
            <w:tcMar>
              <w:left w:w="108" w:type="dxa"/>
              <w:right w:w="108" w:type="dxa"/>
            </w:tcMar>
            <w:vAlign w:val="center"/>
          </w:tcPr>
          <w:p w14:paraId="3F6B998F"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240</w:t>
            </w:r>
          </w:p>
        </w:tc>
        <w:tc>
          <w:tcPr>
            <w:tcW w:w="1522" w:type="dxa"/>
            <w:shd w:val="clear" w:color="auto" w:fill="C6EFCE"/>
            <w:tcMar>
              <w:left w:w="108" w:type="dxa"/>
              <w:right w:w="108" w:type="dxa"/>
            </w:tcMar>
            <w:vAlign w:val="center"/>
          </w:tcPr>
          <w:p w14:paraId="1DEEC9C2" w14:textId="77777777" w:rsidR="006A41D9" w:rsidRPr="001961AA" w:rsidRDefault="006A41D9" w:rsidP="00BD6DD1">
            <w:pPr>
              <w:spacing w:after="0"/>
              <w:rPr>
                <w:rFonts w:ascii="Times New Roman" w:hAnsi="Times New Roman" w:cs="Times New Roman"/>
                <w:noProof/>
                <w:lang w:val="en-GB"/>
              </w:rPr>
            </w:pPr>
            <w:r w:rsidRPr="001961AA">
              <w:rPr>
                <w:rFonts w:ascii="Times New Roman" w:hAnsi="Times New Roman"/>
                <w:noProof/>
                <w:color w:val="006100"/>
                <w:lang w:val="en-GB"/>
              </w:rPr>
              <w:t>Off-shore energy island (I-1.7.20)</w:t>
            </w:r>
          </w:p>
        </w:tc>
        <w:tc>
          <w:tcPr>
            <w:tcW w:w="756" w:type="dxa"/>
            <w:shd w:val="clear" w:color="auto" w:fill="C6EFCE"/>
            <w:tcMar>
              <w:left w:w="108" w:type="dxa"/>
              <w:right w:w="108" w:type="dxa"/>
            </w:tcMar>
            <w:vAlign w:val="center"/>
          </w:tcPr>
          <w:p w14:paraId="6CBEE3E7" w14:textId="77777777" w:rsidR="006A41D9" w:rsidRPr="001961AA" w:rsidRDefault="006A41D9" w:rsidP="00BD6DD1">
            <w:pPr>
              <w:spacing w:after="0"/>
              <w:jc w:val="center"/>
              <w:rPr>
                <w:rFonts w:ascii="Times New Roman" w:hAnsi="Times New Roman" w:cs="Times New Roman"/>
                <w:noProof/>
                <w:lang w:val="en-GB"/>
              </w:rPr>
            </w:pPr>
            <w:r w:rsidRPr="001961AA">
              <w:rPr>
                <w:rFonts w:ascii="Times New Roman" w:hAnsi="Times New Roman"/>
                <w:noProof/>
                <w:color w:val="006100"/>
                <w:lang w:val="en-GB"/>
              </w:rPr>
              <w:t>M</w:t>
            </w:r>
          </w:p>
        </w:tc>
        <w:tc>
          <w:tcPr>
            <w:tcW w:w="1557" w:type="dxa"/>
            <w:shd w:val="clear" w:color="auto" w:fill="C6EFCE"/>
            <w:tcMar>
              <w:left w:w="108" w:type="dxa"/>
              <w:right w:w="108" w:type="dxa"/>
            </w:tcMar>
            <w:vAlign w:val="center"/>
          </w:tcPr>
          <w:p w14:paraId="7239F93F"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Environmental permits for energy island obtained</w:t>
            </w:r>
          </w:p>
        </w:tc>
        <w:tc>
          <w:tcPr>
            <w:tcW w:w="1680" w:type="dxa"/>
            <w:shd w:val="clear" w:color="auto" w:fill="C6EFCE"/>
            <w:tcMar>
              <w:left w:w="108" w:type="dxa"/>
              <w:right w:w="108" w:type="dxa"/>
            </w:tcMar>
            <w:vAlign w:val="center"/>
          </w:tcPr>
          <w:p w14:paraId="351BC81E"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Environmental permits for energy island obtained</w:t>
            </w:r>
          </w:p>
        </w:tc>
        <w:tc>
          <w:tcPr>
            <w:tcW w:w="1080" w:type="dxa"/>
            <w:shd w:val="clear" w:color="auto" w:fill="C6EFCE"/>
            <w:tcMar>
              <w:left w:w="108" w:type="dxa"/>
              <w:right w:w="108" w:type="dxa"/>
            </w:tcMar>
            <w:vAlign w:val="center"/>
          </w:tcPr>
          <w:p w14:paraId="05D905D6" w14:textId="77777777" w:rsidR="006A41D9" w:rsidRPr="001961AA" w:rsidRDefault="006A41D9" w:rsidP="00BD6DD1">
            <w:pPr>
              <w:spacing w:after="0"/>
              <w:rPr>
                <w:rFonts w:ascii="Times New Roman" w:hAnsi="Times New Roman" w:cs="Times New Roman"/>
                <w:noProof/>
                <w:lang w:val="en-GB"/>
              </w:rPr>
            </w:pPr>
          </w:p>
        </w:tc>
        <w:tc>
          <w:tcPr>
            <w:tcW w:w="1080" w:type="dxa"/>
            <w:shd w:val="clear" w:color="auto" w:fill="C6EFCE"/>
            <w:tcMar>
              <w:left w:w="108" w:type="dxa"/>
              <w:right w:w="108" w:type="dxa"/>
            </w:tcMar>
            <w:vAlign w:val="center"/>
          </w:tcPr>
          <w:p w14:paraId="71C19B89" w14:textId="77777777" w:rsidR="006A41D9" w:rsidRPr="001961AA" w:rsidRDefault="006A41D9" w:rsidP="00BD6DD1">
            <w:pPr>
              <w:spacing w:after="0"/>
              <w:rPr>
                <w:rFonts w:ascii="Times New Roman" w:hAnsi="Times New Roman" w:cs="Times New Roman"/>
                <w:noProof/>
                <w:lang w:val="en-GB"/>
              </w:rPr>
            </w:pPr>
          </w:p>
        </w:tc>
        <w:tc>
          <w:tcPr>
            <w:tcW w:w="720" w:type="dxa"/>
            <w:shd w:val="clear" w:color="auto" w:fill="C6EFCE"/>
            <w:tcMar>
              <w:left w:w="108" w:type="dxa"/>
              <w:right w:w="108" w:type="dxa"/>
            </w:tcMar>
            <w:vAlign w:val="center"/>
          </w:tcPr>
          <w:p w14:paraId="2B78CAD6" w14:textId="77777777" w:rsidR="006A41D9" w:rsidRPr="001961AA" w:rsidRDefault="006A41D9" w:rsidP="00BD6DD1">
            <w:pPr>
              <w:spacing w:after="0"/>
              <w:rPr>
                <w:rFonts w:ascii="Times New Roman" w:hAnsi="Times New Roman" w:cs="Times New Roman"/>
                <w:noProof/>
                <w:lang w:val="en-GB"/>
              </w:rPr>
            </w:pPr>
          </w:p>
        </w:tc>
        <w:tc>
          <w:tcPr>
            <w:tcW w:w="1080" w:type="dxa"/>
            <w:shd w:val="clear" w:color="auto" w:fill="C6EFCE"/>
            <w:tcMar>
              <w:left w:w="108" w:type="dxa"/>
              <w:right w:w="108" w:type="dxa"/>
            </w:tcMar>
            <w:vAlign w:val="center"/>
          </w:tcPr>
          <w:p w14:paraId="540A3527"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Q3</w:t>
            </w:r>
          </w:p>
        </w:tc>
        <w:tc>
          <w:tcPr>
            <w:tcW w:w="835" w:type="dxa"/>
            <w:shd w:val="clear" w:color="auto" w:fill="C6EFCE"/>
            <w:tcMar>
              <w:left w:w="108" w:type="dxa"/>
              <w:right w:w="108" w:type="dxa"/>
            </w:tcMar>
            <w:vAlign w:val="center"/>
          </w:tcPr>
          <w:p w14:paraId="26A608F6"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2023</w:t>
            </w:r>
          </w:p>
        </w:tc>
        <w:tc>
          <w:tcPr>
            <w:tcW w:w="3719" w:type="dxa"/>
            <w:shd w:val="clear" w:color="auto" w:fill="C6EFCE"/>
            <w:tcMar>
              <w:left w:w="108" w:type="dxa"/>
              <w:right w:w="108" w:type="dxa"/>
            </w:tcMar>
            <w:vAlign w:val="center"/>
          </w:tcPr>
          <w:p w14:paraId="4AB29F81"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Environmental permits obtained by the Transmission System Operator for an energy island in the North Sea, comprising five hectares of useful surface and environmental permits for the deployment of offshore connection cables between the shore and the energy island.</w:t>
            </w:r>
          </w:p>
        </w:tc>
      </w:tr>
      <w:tr w:rsidR="004868CC" w:rsidRPr="001961AA" w14:paraId="59616321" w14:textId="77777777" w:rsidTr="00605BB2">
        <w:trPr>
          <w:trHeight w:val="300"/>
        </w:trPr>
        <w:tc>
          <w:tcPr>
            <w:tcW w:w="713" w:type="dxa"/>
            <w:shd w:val="clear" w:color="auto" w:fill="C6EFCE"/>
            <w:tcMar>
              <w:left w:w="108" w:type="dxa"/>
              <w:right w:w="108" w:type="dxa"/>
            </w:tcMar>
            <w:vAlign w:val="center"/>
          </w:tcPr>
          <w:p w14:paraId="6642560C" w14:textId="77777777" w:rsidR="006A41D9" w:rsidRPr="001961AA" w:rsidRDefault="006A41D9" w:rsidP="00BD6DD1">
            <w:pPr>
              <w:spacing w:after="0"/>
              <w:jc w:val="center"/>
              <w:rPr>
                <w:rFonts w:ascii="Times New Roman" w:hAnsi="Times New Roman" w:cs="Times New Roman"/>
                <w:noProof/>
                <w:lang w:val="en-GB"/>
              </w:rPr>
            </w:pPr>
            <w:r w:rsidRPr="001961AA">
              <w:rPr>
                <w:rFonts w:ascii="Times New Roman" w:hAnsi="Times New Roman"/>
                <w:noProof/>
                <w:color w:val="006100"/>
                <w:lang w:val="en-GB"/>
              </w:rPr>
              <w:t>241</w:t>
            </w:r>
          </w:p>
        </w:tc>
        <w:tc>
          <w:tcPr>
            <w:tcW w:w="1522" w:type="dxa"/>
            <w:shd w:val="clear" w:color="auto" w:fill="C6EFCE"/>
            <w:tcMar>
              <w:left w:w="108" w:type="dxa"/>
              <w:right w:w="108" w:type="dxa"/>
            </w:tcMar>
            <w:vAlign w:val="center"/>
          </w:tcPr>
          <w:p w14:paraId="19EC0073" w14:textId="77777777" w:rsidR="006A41D9" w:rsidRPr="001961AA" w:rsidRDefault="006A41D9" w:rsidP="00BD6DD1">
            <w:pPr>
              <w:spacing w:after="0"/>
              <w:rPr>
                <w:rFonts w:ascii="Times New Roman" w:hAnsi="Times New Roman" w:cs="Times New Roman"/>
                <w:noProof/>
                <w:lang w:val="en-GB"/>
              </w:rPr>
            </w:pPr>
            <w:r w:rsidRPr="001961AA">
              <w:rPr>
                <w:rFonts w:ascii="Times New Roman" w:hAnsi="Times New Roman"/>
                <w:noProof/>
                <w:color w:val="006100"/>
                <w:lang w:val="en-GB"/>
              </w:rPr>
              <w:t>Off-shore energy island (I-7.20)</w:t>
            </w:r>
          </w:p>
        </w:tc>
        <w:tc>
          <w:tcPr>
            <w:tcW w:w="756" w:type="dxa"/>
            <w:shd w:val="clear" w:color="auto" w:fill="C6EFCE"/>
            <w:tcMar>
              <w:left w:w="108" w:type="dxa"/>
              <w:right w:w="108" w:type="dxa"/>
            </w:tcMar>
            <w:vAlign w:val="center"/>
          </w:tcPr>
          <w:p w14:paraId="0DD9F972" w14:textId="77777777" w:rsidR="006A41D9" w:rsidRPr="001961AA" w:rsidRDefault="006A41D9" w:rsidP="00BD6DD1">
            <w:pPr>
              <w:spacing w:after="0"/>
              <w:jc w:val="center"/>
              <w:rPr>
                <w:rFonts w:ascii="Times New Roman" w:hAnsi="Times New Roman" w:cs="Times New Roman"/>
                <w:noProof/>
                <w:lang w:val="en-GB"/>
              </w:rPr>
            </w:pPr>
            <w:r w:rsidRPr="001961AA">
              <w:rPr>
                <w:rFonts w:ascii="Times New Roman" w:hAnsi="Times New Roman"/>
                <w:noProof/>
                <w:color w:val="006100"/>
                <w:lang w:val="en-GB"/>
              </w:rPr>
              <w:t>M</w:t>
            </w:r>
          </w:p>
        </w:tc>
        <w:tc>
          <w:tcPr>
            <w:tcW w:w="1557" w:type="dxa"/>
            <w:shd w:val="clear" w:color="auto" w:fill="C6EFCE"/>
            <w:tcMar>
              <w:left w:w="108" w:type="dxa"/>
              <w:right w:w="108" w:type="dxa"/>
            </w:tcMar>
            <w:vAlign w:val="center"/>
          </w:tcPr>
          <w:p w14:paraId="7E4350B1" w14:textId="77777777" w:rsidR="006A41D9" w:rsidRPr="001961AA" w:rsidRDefault="006A41D9" w:rsidP="00BD6DD1">
            <w:pPr>
              <w:spacing w:after="0"/>
              <w:rPr>
                <w:rFonts w:ascii="Times New Roman" w:hAnsi="Times New Roman" w:cs="Times New Roman"/>
                <w:noProof/>
                <w:lang w:val="en-GB"/>
              </w:rPr>
            </w:pPr>
            <w:r w:rsidRPr="001961AA">
              <w:rPr>
                <w:rFonts w:ascii="Times New Roman" w:hAnsi="Times New Roman"/>
                <w:noProof/>
                <w:color w:val="006100"/>
                <w:lang w:val="en-GB"/>
              </w:rPr>
              <w:t>Completion of works related to the energy island</w:t>
            </w:r>
          </w:p>
        </w:tc>
        <w:tc>
          <w:tcPr>
            <w:tcW w:w="1680" w:type="dxa"/>
            <w:shd w:val="clear" w:color="auto" w:fill="C6EFCE"/>
            <w:tcMar>
              <w:left w:w="108" w:type="dxa"/>
              <w:right w:w="108" w:type="dxa"/>
            </w:tcMar>
            <w:vAlign w:val="center"/>
          </w:tcPr>
          <w:p w14:paraId="777BA509" w14:textId="77777777" w:rsidR="006A41D9" w:rsidRPr="001961AA" w:rsidRDefault="006A41D9" w:rsidP="00BD6DD1">
            <w:pPr>
              <w:spacing w:after="0"/>
              <w:rPr>
                <w:rFonts w:ascii="Times New Roman" w:hAnsi="Times New Roman" w:cs="Times New Roman"/>
                <w:noProof/>
                <w:lang w:val="en-GB"/>
              </w:rPr>
            </w:pPr>
            <w:r w:rsidRPr="001961AA">
              <w:rPr>
                <w:rFonts w:ascii="Times New Roman" w:hAnsi="Times New Roman"/>
                <w:noProof/>
                <w:color w:val="006100"/>
                <w:lang w:val="en-GB"/>
              </w:rPr>
              <w:t>Completion of works</w:t>
            </w:r>
          </w:p>
        </w:tc>
        <w:tc>
          <w:tcPr>
            <w:tcW w:w="1080" w:type="dxa"/>
            <w:shd w:val="clear" w:color="auto" w:fill="C6EFCE"/>
            <w:tcMar>
              <w:left w:w="108" w:type="dxa"/>
              <w:right w:w="108" w:type="dxa"/>
            </w:tcMar>
            <w:vAlign w:val="center"/>
          </w:tcPr>
          <w:p w14:paraId="5D774B85" w14:textId="77777777" w:rsidR="006A41D9" w:rsidRPr="001961AA" w:rsidRDefault="006A41D9" w:rsidP="00BD6DD1">
            <w:pPr>
              <w:spacing w:after="0"/>
              <w:rPr>
                <w:rFonts w:ascii="Times New Roman" w:hAnsi="Times New Roman" w:cs="Times New Roman"/>
                <w:noProof/>
                <w:lang w:val="en-GB"/>
              </w:rPr>
            </w:pPr>
          </w:p>
        </w:tc>
        <w:tc>
          <w:tcPr>
            <w:tcW w:w="1080" w:type="dxa"/>
            <w:shd w:val="clear" w:color="auto" w:fill="C6EFCE"/>
            <w:tcMar>
              <w:left w:w="108" w:type="dxa"/>
              <w:right w:w="108" w:type="dxa"/>
            </w:tcMar>
            <w:vAlign w:val="center"/>
          </w:tcPr>
          <w:p w14:paraId="449913E5" w14:textId="77777777" w:rsidR="006A41D9" w:rsidRPr="001961AA" w:rsidRDefault="006A41D9" w:rsidP="00BD6DD1">
            <w:pPr>
              <w:spacing w:after="0"/>
              <w:rPr>
                <w:rFonts w:ascii="Times New Roman" w:hAnsi="Times New Roman" w:cs="Times New Roman"/>
                <w:noProof/>
                <w:lang w:val="en-GB"/>
              </w:rPr>
            </w:pPr>
          </w:p>
        </w:tc>
        <w:tc>
          <w:tcPr>
            <w:tcW w:w="720" w:type="dxa"/>
            <w:shd w:val="clear" w:color="auto" w:fill="C6EFCE"/>
            <w:tcMar>
              <w:left w:w="108" w:type="dxa"/>
              <w:right w:w="108" w:type="dxa"/>
            </w:tcMar>
            <w:vAlign w:val="center"/>
          </w:tcPr>
          <w:p w14:paraId="3F9D0538" w14:textId="77777777" w:rsidR="006A41D9" w:rsidRPr="001961AA" w:rsidRDefault="006A41D9" w:rsidP="00BD6DD1">
            <w:pPr>
              <w:spacing w:after="0"/>
              <w:rPr>
                <w:rFonts w:ascii="Times New Roman" w:hAnsi="Times New Roman" w:cs="Times New Roman"/>
                <w:noProof/>
                <w:lang w:val="en-GB"/>
              </w:rPr>
            </w:pPr>
          </w:p>
        </w:tc>
        <w:tc>
          <w:tcPr>
            <w:tcW w:w="1080" w:type="dxa"/>
            <w:shd w:val="clear" w:color="auto" w:fill="C6EFCE"/>
            <w:tcMar>
              <w:left w:w="108" w:type="dxa"/>
              <w:right w:w="108" w:type="dxa"/>
            </w:tcMar>
            <w:vAlign w:val="center"/>
          </w:tcPr>
          <w:p w14:paraId="05DE04B2"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Q2</w:t>
            </w:r>
          </w:p>
        </w:tc>
        <w:tc>
          <w:tcPr>
            <w:tcW w:w="835" w:type="dxa"/>
            <w:shd w:val="clear" w:color="auto" w:fill="C6EFCE"/>
            <w:tcMar>
              <w:left w:w="108" w:type="dxa"/>
              <w:right w:w="108" w:type="dxa"/>
            </w:tcMar>
            <w:vAlign w:val="center"/>
          </w:tcPr>
          <w:p w14:paraId="3166E1DA" w14:textId="77777777" w:rsidR="006A41D9" w:rsidRPr="001961AA" w:rsidRDefault="006A41D9" w:rsidP="00BD6DD1">
            <w:pPr>
              <w:spacing w:after="0"/>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2026</w:t>
            </w:r>
          </w:p>
        </w:tc>
        <w:tc>
          <w:tcPr>
            <w:tcW w:w="3719" w:type="dxa"/>
            <w:shd w:val="clear" w:color="auto" w:fill="C6EFCE"/>
            <w:tcMar>
              <w:left w:w="108" w:type="dxa"/>
              <w:right w:w="108" w:type="dxa"/>
            </w:tcMar>
            <w:vAlign w:val="center"/>
          </w:tcPr>
          <w:p w14:paraId="52F34315" w14:textId="77777777" w:rsidR="006A41D9" w:rsidRPr="001961AA" w:rsidRDefault="006A41D9" w:rsidP="00BD6DD1">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Completion of the works related to the energy island, comprising five hectares of useful surface and ready for offshore connection cables between the shore and the energy island. Island shall enable future interconnection link with (an)other country(ies).</w:t>
            </w:r>
          </w:p>
        </w:tc>
      </w:tr>
    </w:tbl>
    <w:p w14:paraId="0824D56A" w14:textId="77777777" w:rsidR="006A41D9" w:rsidRPr="001961AA" w:rsidRDefault="006A41D9" w:rsidP="00BD6DD1">
      <w:pPr>
        <w:rPr>
          <w:noProof/>
          <w:lang w:val="en-GB"/>
        </w:rPr>
      </w:pPr>
    </w:p>
    <w:p w14:paraId="081BF09E" w14:textId="77777777" w:rsidR="006A41D9" w:rsidRPr="001961AA" w:rsidRDefault="006A41D9" w:rsidP="00BD6DD1">
      <w:pPr>
        <w:rPr>
          <w:noProof/>
          <w:lang w:val="en-GB"/>
        </w:rPr>
        <w:sectPr w:rsidR="006A41D9" w:rsidRPr="001961AA" w:rsidSect="007F56C3">
          <w:headerReference w:type="even" r:id="rId300"/>
          <w:headerReference w:type="default" r:id="rId301"/>
          <w:footerReference w:type="even" r:id="rId302"/>
          <w:footerReference w:type="default" r:id="rId303"/>
          <w:headerReference w:type="first" r:id="rId304"/>
          <w:footerReference w:type="first" r:id="rId305"/>
          <w:pgSz w:w="16839" w:h="11907" w:orient="landscape"/>
          <w:pgMar w:top="1134" w:right="1134" w:bottom="1134" w:left="1134" w:header="567" w:footer="567" w:gutter="0"/>
          <w:cols w:space="720"/>
          <w:docGrid w:linePitch="360"/>
        </w:sectPr>
      </w:pPr>
    </w:p>
    <w:p w14:paraId="32EA9E36" w14:textId="48432DAC" w:rsidR="006A41D9" w:rsidRPr="001961AA" w:rsidRDefault="00E809EC" w:rsidP="00BB70A9">
      <w:pPr>
        <w:pStyle w:val="ManualHeading1"/>
        <w:spacing w:before="120"/>
        <w:ind w:left="0" w:hanging="130"/>
        <w:rPr>
          <w:smallCaps w:val="0"/>
          <w:noProof/>
          <w:szCs w:val="24"/>
          <w:lang w:val="en-GB"/>
        </w:rPr>
      </w:pPr>
      <w:r w:rsidRPr="001961AA">
        <w:rPr>
          <w:noProof/>
          <w:lang w:val="en-GB"/>
        </w:rPr>
        <w:t>U. COMPONENT 7.4: Mobility</w:t>
      </w:r>
    </w:p>
    <w:p w14:paraId="6DC45C06" w14:textId="77777777" w:rsidR="006A41D9" w:rsidRPr="001961AA" w:rsidRDefault="006A41D9" w:rsidP="00BD6DD1">
      <w:pPr>
        <w:spacing w:before="120" w:after="120" w:line="240" w:lineRule="auto"/>
        <w:jc w:val="both"/>
        <w:rPr>
          <w:rFonts w:ascii="Times New Roman" w:hAnsi="Times New Roman" w:cs="Times New Roman"/>
          <w:noProof/>
          <w:sz w:val="24"/>
          <w:szCs w:val="24"/>
          <w:lang w:val="en-GB"/>
        </w:rPr>
      </w:pPr>
      <w:r w:rsidRPr="001961AA">
        <w:rPr>
          <w:rFonts w:ascii="Times New Roman" w:hAnsi="Times New Roman"/>
          <w:noProof/>
          <w:sz w:val="24"/>
          <w:lang w:val="en-GB"/>
        </w:rPr>
        <w:t>The measures proposed under this component of the Belgian recovery and resilience plan aim to support low-emission road transport and support the modal shift by investing in rail.</w:t>
      </w:r>
    </w:p>
    <w:p w14:paraId="210B4D4A" w14:textId="77777777" w:rsidR="006A41D9" w:rsidRPr="001961AA" w:rsidRDefault="006A41D9" w:rsidP="00BD6DD1">
      <w:pPr>
        <w:spacing w:before="120" w:after="120" w:line="240" w:lineRule="auto"/>
        <w:jc w:val="both"/>
        <w:rPr>
          <w:rFonts w:ascii="Times New Roman" w:eastAsia="Times New Roman" w:hAnsi="Times New Roman" w:cs="Times New Roman"/>
          <w:noProof/>
          <w:sz w:val="24"/>
          <w:szCs w:val="24"/>
          <w:lang w:val="en-GB"/>
        </w:rPr>
      </w:pPr>
      <w:r w:rsidRPr="001961AA">
        <w:rPr>
          <w:rFonts w:ascii="Times New Roman" w:hAnsi="Times New Roman"/>
          <w:noProof/>
          <w:sz w:val="24"/>
          <w:lang w:val="en-GB"/>
        </w:rPr>
        <w:t xml:space="preserve">The component contributes to addressing Country Specific Recommendation 2022.4 and 2023.4 to </w:t>
      </w:r>
      <w:r w:rsidRPr="001961AA">
        <w:rPr>
          <w:rFonts w:ascii="Times New Roman" w:hAnsi="Times New Roman"/>
          <w:i/>
          <w:noProof/>
          <w:sz w:val="24"/>
          <w:lang w:val="en-GB"/>
        </w:rPr>
        <w:t>reduce overall reliance on fossil fuels by promoting the use and supply of public transport as well as soft mobility</w:t>
      </w:r>
      <w:r w:rsidRPr="001961AA">
        <w:rPr>
          <w:rFonts w:ascii="Times New Roman" w:hAnsi="Times New Roman"/>
          <w:noProof/>
          <w:sz w:val="24"/>
          <w:lang w:val="en-GB"/>
        </w:rPr>
        <w:t>.</w:t>
      </w:r>
    </w:p>
    <w:p w14:paraId="49A0D424" w14:textId="77777777" w:rsidR="006A41D9" w:rsidRPr="001961AA" w:rsidRDefault="006A41D9" w:rsidP="00BD6DD1">
      <w:pPr>
        <w:spacing w:before="120" w:after="120" w:line="240" w:lineRule="auto"/>
        <w:jc w:val="both"/>
        <w:rPr>
          <w:rFonts w:ascii="Times New Roman" w:hAnsi="Times New Roman" w:cs="Times New Roman"/>
          <w:noProof/>
          <w:sz w:val="24"/>
          <w:szCs w:val="24"/>
          <w:lang w:val="en-GB"/>
        </w:rPr>
      </w:pPr>
      <w:r w:rsidRPr="001961AA">
        <w:rPr>
          <w:rFonts w:ascii="Times New Roman" w:hAnsi="Times New Roman"/>
          <w:noProof/>
          <w:sz w:val="24"/>
          <w:lang w:val="en-GB"/>
        </w:rPr>
        <w:t>It is expected that no measure in this component does significant harm to environmental objectives within the meaning of Article 17 of Regulation (EU) 2020/852, taking into account the description of the measures and the mitigating steps set out in the recovery and resilience plan in accordance with the DNSH Technical Guidance (2021/C58/01).</w:t>
      </w:r>
    </w:p>
    <w:p w14:paraId="39F75520" w14:textId="31E1C216" w:rsidR="006A41D9" w:rsidRPr="001961AA" w:rsidRDefault="00E809EC" w:rsidP="00BD6DD1">
      <w:pPr>
        <w:pStyle w:val="Jalonsetcibles"/>
        <w:spacing w:before="120" w:after="120" w:line="240" w:lineRule="auto"/>
        <w:rPr>
          <w:rFonts w:eastAsia="Times New Roman"/>
          <w:noProof/>
          <w:color w:val="auto"/>
          <w:sz w:val="24"/>
          <w:szCs w:val="24"/>
          <w:u w:val="single"/>
          <w:lang w:val="en-GB"/>
        </w:rPr>
      </w:pPr>
      <w:r w:rsidRPr="001961AA">
        <w:rPr>
          <w:noProof/>
          <w:color w:val="auto"/>
          <w:sz w:val="24"/>
          <w:u w:val="single"/>
          <w:lang w:val="en-GB"/>
        </w:rPr>
        <w:t>U.1. Description of the reforms and investments for non-repayable financial support</w:t>
      </w:r>
    </w:p>
    <w:p w14:paraId="6089839D" w14:textId="75180DFB" w:rsidR="006A41D9" w:rsidRPr="001961AA" w:rsidRDefault="006A41D9" w:rsidP="00BD6DD1">
      <w:pPr>
        <w:pStyle w:val="Jalonsetcibles"/>
        <w:spacing w:before="120" w:after="120" w:line="240" w:lineRule="auto"/>
        <w:rPr>
          <w:b w:val="0"/>
          <w:noProof/>
          <w:color w:val="auto"/>
          <w:sz w:val="24"/>
          <w:szCs w:val="24"/>
          <w:u w:val="single"/>
          <w:lang w:val="en-GB"/>
        </w:rPr>
      </w:pPr>
      <w:r w:rsidRPr="001961AA">
        <w:rPr>
          <w:b w:val="0"/>
          <w:noProof/>
          <w:color w:val="auto"/>
          <w:sz w:val="24"/>
          <w:u w:val="single"/>
          <w:lang w:val="en-GB"/>
        </w:rPr>
        <w:t>Investment I-7.21: ‘Greening of the bus fleet – RBC’ of the Brussels-Capital Region</w:t>
      </w:r>
    </w:p>
    <w:p w14:paraId="168B19D2" w14:textId="7A849E2A" w:rsidR="006A41D9" w:rsidRPr="001961AA" w:rsidRDefault="006A41D9" w:rsidP="00BD6DD1">
      <w:pPr>
        <w:pStyle w:val="Jalonsetcibles"/>
        <w:spacing w:before="120" w:after="120" w:line="240" w:lineRule="auto"/>
        <w:jc w:val="both"/>
        <w:rPr>
          <w:b w:val="0"/>
          <w:noProof/>
          <w:color w:val="auto"/>
          <w:sz w:val="24"/>
          <w:szCs w:val="24"/>
          <w:lang w:val="en-GB"/>
        </w:rPr>
      </w:pPr>
      <w:r w:rsidRPr="001961AA">
        <w:rPr>
          <w:b w:val="0"/>
          <w:noProof/>
          <w:color w:val="auto"/>
          <w:sz w:val="24"/>
          <w:lang w:val="en-GB"/>
        </w:rPr>
        <w:t>This measure was part of investment I-3.17: ‘Greening of the bus fleet - RBC’</w:t>
      </w:r>
      <w:r w:rsidRPr="001961AA">
        <w:rPr>
          <w:b w:val="0"/>
          <w:i/>
          <w:noProof/>
          <w:color w:val="auto"/>
          <w:sz w:val="24"/>
          <w:lang w:val="en-GB"/>
        </w:rPr>
        <w:t xml:space="preserve">, </w:t>
      </w:r>
      <w:r w:rsidRPr="001961AA">
        <w:rPr>
          <w:b w:val="0"/>
          <w:noProof/>
          <w:color w:val="auto"/>
          <w:sz w:val="24"/>
          <w:lang w:val="en-GB"/>
        </w:rPr>
        <w:t>under component 3.3: Greening Road Transport. The measure consists in the acquisition of additional electric buses: 23 M3 low floor articulated and 24 standard electric buses. The implementation of the measure shall be completed by 30 June 2026.</w:t>
      </w:r>
    </w:p>
    <w:p w14:paraId="716A4376" w14:textId="13DCED87" w:rsidR="006A41D9" w:rsidRPr="001961AA" w:rsidRDefault="006A41D9" w:rsidP="00BD6DD1">
      <w:pPr>
        <w:pStyle w:val="Jalonsetcibles"/>
        <w:spacing w:before="120" w:after="120" w:line="240" w:lineRule="auto"/>
        <w:rPr>
          <w:b w:val="0"/>
          <w:noProof/>
          <w:color w:val="auto"/>
          <w:sz w:val="24"/>
          <w:szCs w:val="24"/>
          <w:u w:val="single"/>
          <w:lang w:val="en-GB"/>
        </w:rPr>
      </w:pPr>
      <w:r w:rsidRPr="001961AA">
        <w:rPr>
          <w:b w:val="0"/>
          <w:noProof/>
          <w:color w:val="auto"/>
          <w:sz w:val="24"/>
          <w:u w:val="single"/>
          <w:lang w:val="en-GB"/>
        </w:rPr>
        <w:t>Investment I-7.22: 'Charging stations - FED' of the Federal State</w:t>
      </w:r>
    </w:p>
    <w:p w14:paraId="14AAEC39" w14:textId="66BCD301" w:rsidR="006A41D9" w:rsidRPr="001961AA" w:rsidRDefault="006A41D9" w:rsidP="00BD6DD1">
      <w:pPr>
        <w:pStyle w:val="Jalonsetcibles"/>
        <w:spacing w:before="120" w:after="120" w:line="240" w:lineRule="auto"/>
        <w:jc w:val="both"/>
        <w:rPr>
          <w:b w:val="0"/>
          <w:noProof/>
          <w:color w:val="auto"/>
          <w:sz w:val="24"/>
          <w:szCs w:val="24"/>
          <w:lang w:val="en-GB"/>
        </w:rPr>
      </w:pPr>
      <w:r w:rsidRPr="001961AA">
        <w:rPr>
          <w:b w:val="0"/>
          <w:noProof/>
          <w:color w:val="auto"/>
          <w:sz w:val="24"/>
          <w:lang w:val="en-GB"/>
        </w:rPr>
        <w:t>This measure was part of investment I-3.18: ‘Charging stations – FED’</w:t>
      </w:r>
      <w:r w:rsidRPr="001961AA">
        <w:rPr>
          <w:b w:val="0"/>
          <w:i/>
          <w:noProof/>
          <w:color w:val="auto"/>
          <w:sz w:val="24"/>
          <w:lang w:val="en-GB"/>
        </w:rPr>
        <w:t xml:space="preserve">, </w:t>
      </w:r>
      <w:r w:rsidRPr="001961AA">
        <w:rPr>
          <w:b w:val="0"/>
          <w:noProof/>
          <w:color w:val="auto"/>
          <w:sz w:val="24"/>
          <w:lang w:val="en-GB"/>
        </w:rPr>
        <w:t>under component 3.3: Greening Road Transport. The investment shall allow for the deployment of 1</w:t>
      </w:r>
      <w:r w:rsidRPr="001961AA">
        <w:rPr>
          <w:noProof/>
          <w:sz w:val="24"/>
          <w:lang w:val="en-GB"/>
        </w:rPr>
        <w:t xml:space="preserve"> </w:t>
      </w:r>
      <w:r w:rsidRPr="001961AA">
        <w:rPr>
          <w:b w:val="0"/>
          <w:noProof/>
          <w:color w:val="auto"/>
          <w:sz w:val="24"/>
          <w:lang w:val="en-GB"/>
        </w:rPr>
        <w:t>832 bidirectional charging stations for electric cars, following the revision of the tax incentive mentioned in investment I-3-18 ‘Charging stations - FED’ to include the deductibility of the costs of these bidirectional charging stations. The implementation of the measure shall be completed by 30 June 2026.</w:t>
      </w:r>
    </w:p>
    <w:p w14:paraId="7C34FEFA" w14:textId="77777777" w:rsidR="006A41D9" w:rsidRPr="001961AA" w:rsidRDefault="006A41D9" w:rsidP="00BD6DD1">
      <w:pPr>
        <w:spacing w:before="120" w:after="120" w:line="240" w:lineRule="auto"/>
        <w:rPr>
          <w:rFonts w:ascii="Times New Roman" w:eastAsia="Yu Gothic" w:hAnsi="Times New Roman" w:cs="Times New Roman"/>
          <w:noProof/>
          <w:sz w:val="24"/>
          <w:szCs w:val="24"/>
          <w:u w:val="single"/>
          <w:lang w:val="en-GB"/>
        </w:rPr>
      </w:pPr>
      <w:r w:rsidRPr="001961AA">
        <w:rPr>
          <w:rFonts w:ascii="Times New Roman" w:hAnsi="Times New Roman"/>
          <w:noProof/>
          <w:sz w:val="24"/>
          <w:u w:val="single"/>
          <w:lang w:val="en-GB"/>
        </w:rPr>
        <w:t>Investment I-7.23: 'Public LED lighting' of the Flemish Region</w:t>
      </w:r>
    </w:p>
    <w:p w14:paraId="1826A679" w14:textId="36A5914B" w:rsidR="006A41D9" w:rsidRPr="001961AA" w:rsidRDefault="006A41D9" w:rsidP="00BD6DD1">
      <w:pPr>
        <w:spacing w:before="120" w:after="120" w:line="240" w:lineRule="auto"/>
        <w:jc w:val="both"/>
        <w:rPr>
          <w:rFonts w:ascii="Times New Roman" w:eastAsia="Yu Gothic" w:hAnsi="Times New Roman" w:cs="Times New Roman"/>
          <w:noProof/>
          <w:sz w:val="24"/>
          <w:szCs w:val="24"/>
          <w:lang w:val="en-GB"/>
        </w:rPr>
      </w:pPr>
      <w:r w:rsidRPr="001961AA">
        <w:rPr>
          <w:rFonts w:ascii="Times New Roman" w:hAnsi="Times New Roman"/>
          <w:noProof/>
          <w:sz w:val="24"/>
          <w:lang w:val="en-GB"/>
        </w:rPr>
        <w:t>This investment consists in replacing old luminaires (equipped with high and low-pressure sodium lamps) with LED luminaires on motorways and in tunnels in the Flemish Region. This investment comprises the installation of 18 500 LED luminaires on motorways and 4 250 of LED luminaires in five tunnels. The implementation of the measure shall be completed by 30 June 2026.</w:t>
      </w:r>
    </w:p>
    <w:p w14:paraId="1DCD27EE" w14:textId="77777777" w:rsidR="006A41D9" w:rsidRPr="001961AA" w:rsidRDefault="006A41D9" w:rsidP="00BD6DD1">
      <w:pPr>
        <w:pStyle w:val="Jalonsetcibles"/>
        <w:spacing w:before="120" w:after="120" w:line="240" w:lineRule="auto"/>
        <w:rPr>
          <w:b w:val="0"/>
          <w:noProof/>
          <w:color w:val="auto"/>
          <w:sz w:val="24"/>
          <w:szCs w:val="24"/>
          <w:u w:val="single"/>
          <w:lang w:val="en-GB"/>
        </w:rPr>
      </w:pPr>
      <w:r w:rsidRPr="001961AA">
        <w:rPr>
          <w:b w:val="0"/>
          <w:noProof/>
          <w:color w:val="auto"/>
          <w:sz w:val="24"/>
          <w:u w:val="single"/>
          <w:lang w:val="en-GB"/>
        </w:rPr>
        <w:t>Investment I-7.24: ‘Rail – efficient network’ of the Federal State</w:t>
      </w:r>
    </w:p>
    <w:p w14:paraId="3508A664" w14:textId="0FD0EF6E" w:rsidR="004440D4" w:rsidRPr="001961AA" w:rsidRDefault="006A41D9" w:rsidP="00BD6DD1">
      <w:pPr>
        <w:pStyle w:val="TitreComposante"/>
        <w:spacing w:before="120" w:after="120" w:line="240" w:lineRule="auto"/>
        <w:jc w:val="both"/>
        <w:rPr>
          <w:b w:val="0"/>
          <w:noProof/>
          <w:color w:val="auto"/>
          <w:sz w:val="24"/>
          <w:szCs w:val="24"/>
          <w:lang w:val="en-GB"/>
        </w:rPr>
        <w:sectPr w:rsidR="004440D4" w:rsidRPr="001961AA" w:rsidSect="004440D4">
          <w:headerReference w:type="even" r:id="rId306"/>
          <w:headerReference w:type="default" r:id="rId307"/>
          <w:footerReference w:type="even" r:id="rId308"/>
          <w:footerReference w:type="default" r:id="rId309"/>
          <w:headerReference w:type="first" r:id="rId310"/>
          <w:footerReference w:type="first" r:id="rId311"/>
          <w:pgSz w:w="11907" w:h="16839"/>
          <w:pgMar w:top="1134" w:right="1134" w:bottom="1134" w:left="1134" w:header="567" w:footer="567" w:gutter="0"/>
          <w:cols w:space="720"/>
          <w:docGrid w:linePitch="360"/>
        </w:sectPr>
      </w:pPr>
      <w:r w:rsidRPr="001961AA">
        <w:rPr>
          <w:b w:val="0"/>
          <w:noProof/>
          <w:color w:val="auto"/>
          <w:sz w:val="24"/>
          <w:lang w:val="en-GB"/>
        </w:rPr>
        <w:t>This measure was part of investment I-3.10: ‘Rail – efficient network’ of the Federal State</w:t>
      </w:r>
      <w:r w:rsidRPr="001961AA">
        <w:rPr>
          <w:b w:val="0"/>
          <w:i/>
          <w:noProof/>
          <w:color w:val="auto"/>
          <w:sz w:val="24"/>
          <w:lang w:val="en-GB"/>
        </w:rPr>
        <w:t>,</w:t>
      </w:r>
      <w:r w:rsidRPr="001961AA">
        <w:rPr>
          <w:b w:val="0"/>
          <w:noProof/>
          <w:color w:val="auto"/>
          <w:sz w:val="24"/>
          <w:lang w:val="en-GB"/>
        </w:rPr>
        <w:t xml:space="preserve"> under component 3.2: Modal Shift. The measure consists in the electrification of rail line 11. The implementation of the measure shall be completed by 30 June 2026</w:t>
      </w:r>
    </w:p>
    <w:p w14:paraId="22602378" w14:textId="77E7B9D4" w:rsidR="006A41D9" w:rsidRPr="001961AA" w:rsidRDefault="004440D4" w:rsidP="00BD6DD1">
      <w:pPr>
        <w:pStyle w:val="Jalonsetcibles"/>
        <w:spacing w:before="120" w:after="120" w:line="240" w:lineRule="auto"/>
        <w:rPr>
          <w:rFonts w:eastAsia="Times New Roman"/>
          <w:noProof/>
          <w:color w:val="000000" w:themeColor="text1"/>
          <w:sz w:val="24"/>
          <w:szCs w:val="24"/>
          <w:u w:val="single"/>
          <w:lang w:val="en-GB"/>
        </w:rPr>
      </w:pPr>
      <w:r w:rsidRPr="001961AA">
        <w:rPr>
          <w:noProof/>
          <w:color w:val="000000" w:themeColor="text1"/>
          <w:sz w:val="24"/>
          <w:u w:val="single"/>
          <w:lang w:val="en-GB"/>
        </w:rPr>
        <w:t>U.2 Milestones, targets, indicators, and timetable for monitoring and implementation for non-repayable financial support</w:t>
      </w:r>
    </w:p>
    <w:tbl>
      <w:tblPr>
        <w:tblW w:w="1542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417"/>
        <w:gridCol w:w="993"/>
        <w:gridCol w:w="1559"/>
        <w:gridCol w:w="1276"/>
        <w:gridCol w:w="992"/>
        <w:gridCol w:w="992"/>
        <w:gridCol w:w="851"/>
        <w:gridCol w:w="992"/>
        <w:gridCol w:w="709"/>
        <w:gridCol w:w="4932"/>
      </w:tblGrid>
      <w:tr w:rsidR="004868CC" w:rsidRPr="001961AA" w14:paraId="6F90191A" w14:textId="77777777" w:rsidTr="00B87EC7">
        <w:trPr>
          <w:trHeight w:val="927"/>
        </w:trPr>
        <w:tc>
          <w:tcPr>
            <w:tcW w:w="710" w:type="dxa"/>
            <w:vMerge w:val="restart"/>
            <w:shd w:val="clear" w:color="auto" w:fill="BDD7EE"/>
            <w:vAlign w:val="center"/>
            <w:hideMark/>
          </w:tcPr>
          <w:p w14:paraId="772DB75A" w14:textId="77777777" w:rsidR="006A41D9" w:rsidRPr="001961AA" w:rsidRDefault="006A41D9" w:rsidP="00BD6DD1">
            <w:pPr>
              <w:spacing w:after="0"/>
              <w:jc w:val="center"/>
              <w:rPr>
                <w:rFonts w:ascii="Times New Roman" w:eastAsia="Times New Roman" w:hAnsi="Times New Roman" w:cs="Times New Roman"/>
                <w:b/>
                <w:noProof/>
                <w:sz w:val="20"/>
                <w:szCs w:val="20"/>
                <w:lang w:val="en-GB"/>
              </w:rPr>
            </w:pPr>
            <w:r w:rsidRPr="001961AA">
              <w:rPr>
                <w:rFonts w:ascii="Times New Roman" w:hAnsi="Times New Roman"/>
                <w:b/>
                <w:noProof/>
                <w:sz w:val="20"/>
                <w:lang w:val="en-GB"/>
              </w:rPr>
              <w:t>Seq. Nb.</w:t>
            </w:r>
          </w:p>
        </w:tc>
        <w:tc>
          <w:tcPr>
            <w:tcW w:w="1417" w:type="dxa"/>
            <w:vMerge w:val="restart"/>
            <w:shd w:val="clear" w:color="auto" w:fill="BDD7EE"/>
            <w:vAlign w:val="center"/>
            <w:hideMark/>
          </w:tcPr>
          <w:p w14:paraId="2FDFDDE6" w14:textId="77777777" w:rsidR="006A41D9" w:rsidRPr="001961AA" w:rsidRDefault="006A41D9" w:rsidP="00BD6DD1">
            <w:pPr>
              <w:spacing w:after="0"/>
              <w:jc w:val="center"/>
              <w:rPr>
                <w:rFonts w:ascii="Times New Roman" w:eastAsia="Times New Roman" w:hAnsi="Times New Roman" w:cs="Times New Roman"/>
                <w:b/>
                <w:noProof/>
                <w:sz w:val="20"/>
                <w:szCs w:val="20"/>
                <w:lang w:val="en-GB"/>
              </w:rPr>
            </w:pPr>
            <w:r w:rsidRPr="001961AA">
              <w:rPr>
                <w:rFonts w:ascii="Times New Roman" w:hAnsi="Times New Roman"/>
                <w:b/>
                <w:noProof/>
                <w:sz w:val="20"/>
                <w:lang w:val="en-GB"/>
              </w:rPr>
              <w:t>Related Measure (Reform or Investment)</w:t>
            </w:r>
          </w:p>
        </w:tc>
        <w:tc>
          <w:tcPr>
            <w:tcW w:w="993" w:type="dxa"/>
            <w:vMerge w:val="restart"/>
            <w:shd w:val="clear" w:color="auto" w:fill="BDD7EE"/>
            <w:vAlign w:val="center"/>
            <w:hideMark/>
          </w:tcPr>
          <w:p w14:paraId="3A50911A" w14:textId="77777777" w:rsidR="006A41D9" w:rsidRPr="001961AA" w:rsidRDefault="006A41D9" w:rsidP="00BD6DD1">
            <w:pPr>
              <w:spacing w:after="0"/>
              <w:jc w:val="center"/>
              <w:rPr>
                <w:rFonts w:ascii="Times New Roman" w:eastAsia="Times New Roman" w:hAnsi="Times New Roman" w:cs="Times New Roman"/>
                <w:b/>
                <w:noProof/>
                <w:sz w:val="20"/>
                <w:szCs w:val="20"/>
                <w:lang w:val="en-GB"/>
              </w:rPr>
            </w:pPr>
            <w:r w:rsidRPr="001961AA">
              <w:rPr>
                <w:rFonts w:ascii="Times New Roman" w:hAnsi="Times New Roman"/>
                <w:b/>
                <w:noProof/>
                <w:sz w:val="20"/>
                <w:lang w:val="en-GB"/>
              </w:rPr>
              <w:t>M/T</w:t>
            </w:r>
          </w:p>
        </w:tc>
        <w:tc>
          <w:tcPr>
            <w:tcW w:w="1559" w:type="dxa"/>
            <w:vMerge w:val="restart"/>
            <w:shd w:val="clear" w:color="auto" w:fill="BDD7EE"/>
            <w:vAlign w:val="center"/>
            <w:hideMark/>
          </w:tcPr>
          <w:p w14:paraId="3FDB7666" w14:textId="77777777" w:rsidR="006A41D9" w:rsidRPr="001961AA" w:rsidRDefault="006A41D9" w:rsidP="00BD6DD1">
            <w:pPr>
              <w:spacing w:after="0"/>
              <w:jc w:val="center"/>
              <w:rPr>
                <w:rFonts w:ascii="Times New Roman" w:eastAsia="Times New Roman" w:hAnsi="Times New Roman" w:cs="Times New Roman"/>
                <w:b/>
                <w:noProof/>
                <w:sz w:val="20"/>
                <w:szCs w:val="20"/>
                <w:lang w:val="en-GB"/>
              </w:rPr>
            </w:pPr>
            <w:r w:rsidRPr="001961AA">
              <w:rPr>
                <w:rFonts w:ascii="Times New Roman" w:hAnsi="Times New Roman"/>
                <w:b/>
                <w:noProof/>
                <w:sz w:val="20"/>
                <w:lang w:val="en-GB"/>
              </w:rPr>
              <w:t>Name</w:t>
            </w:r>
          </w:p>
        </w:tc>
        <w:tc>
          <w:tcPr>
            <w:tcW w:w="1276" w:type="dxa"/>
            <w:vMerge w:val="restart"/>
            <w:shd w:val="clear" w:color="auto" w:fill="BDD7EE"/>
            <w:vAlign w:val="center"/>
            <w:hideMark/>
          </w:tcPr>
          <w:p w14:paraId="615A0CBB" w14:textId="77777777" w:rsidR="006A41D9" w:rsidRPr="001961AA" w:rsidRDefault="006A41D9" w:rsidP="00BD6DD1">
            <w:pPr>
              <w:spacing w:after="0"/>
              <w:jc w:val="center"/>
              <w:rPr>
                <w:rFonts w:ascii="Times New Roman" w:eastAsia="Times New Roman" w:hAnsi="Times New Roman" w:cs="Times New Roman"/>
                <w:b/>
                <w:noProof/>
                <w:sz w:val="20"/>
                <w:szCs w:val="20"/>
                <w:lang w:val="en-GB"/>
              </w:rPr>
            </w:pPr>
            <w:r w:rsidRPr="001961AA">
              <w:rPr>
                <w:rFonts w:ascii="Times New Roman" w:hAnsi="Times New Roman"/>
                <w:b/>
                <w:noProof/>
                <w:sz w:val="20"/>
                <w:lang w:val="en-GB"/>
              </w:rPr>
              <w:t xml:space="preserve">Qualitative indicators </w:t>
            </w:r>
            <w:r w:rsidRPr="001961AA">
              <w:rPr>
                <w:noProof/>
                <w:lang w:val="en-GB"/>
              </w:rPr>
              <w:t xml:space="preserve"> </w:t>
            </w:r>
            <w:r w:rsidRPr="001961AA">
              <w:rPr>
                <w:noProof/>
                <w:lang w:val="en-GB"/>
              </w:rPr>
              <w:br/>
            </w:r>
            <w:r w:rsidRPr="001961AA">
              <w:rPr>
                <w:rFonts w:ascii="Times New Roman" w:hAnsi="Times New Roman"/>
                <w:b/>
                <w:noProof/>
                <w:sz w:val="20"/>
                <w:lang w:val="en-GB"/>
              </w:rPr>
              <w:t>(for milestones)</w:t>
            </w:r>
          </w:p>
        </w:tc>
        <w:tc>
          <w:tcPr>
            <w:tcW w:w="2835" w:type="dxa"/>
            <w:gridSpan w:val="3"/>
            <w:shd w:val="clear" w:color="auto" w:fill="BDD7EE"/>
            <w:vAlign w:val="center"/>
            <w:hideMark/>
          </w:tcPr>
          <w:p w14:paraId="56A74E6E" w14:textId="77777777" w:rsidR="006A41D9" w:rsidRPr="001961AA" w:rsidRDefault="006A41D9" w:rsidP="00BD6DD1">
            <w:pPr>
              <w:spacing w:after="0"/>
              <w:jc w:val="center"/>
              <w:rPr>
                <w:rFonts w:ascii="Times New Roman" w:eastAsia="Times New Roman" w:hAnsi="Times New Roman" w:cs="Times New Roman"/>
                <w:b/>
                <w:noProof/>
                <w:sz w:val="20"/>
                <w:szCs w:val="20"/>
                <w:lang w:val="en-GB"/>
              </w:rPr>
            </w:pPr>
            <w:r w:rsidRPr="001961AA">
              <w:rPr>
                <w:rFonts w:ascii="Times New Roman" w:hAnsi="Times New Roman"/>
                <w:b/>
                <w:noProof/>
                <w:sz w:val="20"/>
                <w:lang w:val="en-GB"/>
              </w:rPr>
              <w:t xml:space="preserve">Quantitative indicators </w:t>
            </w:r>
            <w:r w:rsidRPr="001961AA">
              <w:rPr>
                <w:noProof/>
                <w:lang w:val="en-GB"/>
              </w:rPr>
              <w:t xml:space="preserve"> </w:t>
            </w:r>
            <w:r w:rsidRPr="001961AA">
              <w:rPr>
                <w:noProof/>
                <w:lang w:val="en-GB"/>
              </w:rPr>
              <w:br/>
            </w:r>
            <w:r w:rsidRPr="001961AA">
              <w:rPr>
                <w:rFonts w:ascii="Times New Roman" w:hAnsi="Times New Roman"/>
                <w:b/>
                <w:noProof/>
                <w:sz w:val="20"/>
                <w:lang w:val="en-GB"/>
              </w:rPr>
              <w:t>(for targets)</w:t>
            </w:r>
          </w:p>
        </w:tc>
        <w:tc>
          <w:tcPr>
            <w:tcW w:w="1701" w:type="dxa"/>
            <w:gridSpan w:val="2"/>
            <w:shd w:val="clear" w:color="auto" w:fill="BDD7EE"/>
            <w:vAlign w:val="center"/>
            <w:hideMark/>
          </w:tcPr>
          <w:p w14:paraId="6B78AC66" w14:textId="77777777" w:rsidR="006A41D9" w:rsidRPr="001961AA" w:rsidRDefault="006A41D9" w:rsidP="00BD6DD1">
            <w:pPr>
              <w:spacing w:after="0"/>
              <w:jc w:val="center"/>
              <w:rPr>
                <w:rFonts w:ascii="Times New Roman" w:eastAsia="Times New Roman" w:hAnsi="Times New Roman" w:cs="Times New Roman"/>
                <w:b/>
                <w:noProof/>
                <w:sz w:val="20"/>
                <w:szCs w:val="20"/>
                <w:lang w:val="en-GB"/>
              </w:rPr>
            </w:pPr>
            <w:r w:rsidRPr="001961AA">
              <w:rPr>
                <w:rFonts w:ascii="Times New Roman" w:hAnsi="Times New Roman"/>
                <w:b/>
                <w:noProof/>
                <w:sz w:val="20"/>
                <w:lang w:val="en-GB"/>
              </w:rPr>
              <w:t xml:space="preserve">Indicative timeline for completion </w:t>
            </w:r>
          </w:p>
        </w:tc>
        <w:tc>
          <w:tcPr>
            <w:tcW w:w="4932" w:type="dxa"/>
            <w:vMerge w:val="restart"/>
            <w:shd w:val="clear" w:color="auto" w:fill="BDD7EE"/>
            <w:vAlign w:val="center"/>
            <w:hideMark/>
          </w:tcPr>
          <w:p w14:paraId="0F7AA81D" w14:textId="77777777" w:rsidR="006A41D9" w:rsidRPr="001961AA" w:rsidRDefault="006A41D9" w:rsidP="00BD6DD1">
            <w:pPr>
              <w:spacing w:after="0"/>
              <w:jc w:val="center"/>
              <w:rPr>
                <w:rFonts w:ascii="Times New Roman" w:eastAsia="Times New Roman" w:hAnsi="Times New Roman" w:cs="Times New Roman"/>
                <w:b/>
                <w:noProof/>
                <w:sz w:val="20"/>
                <w:szCs w:val="20"/>
                <w:lang w:val="en-GB"/>
              </w:rPr>
            </w:pPr>
            <w:r w:rsidRPr="001961AA">
              <w:rPr>
                <w:rFonts w:ascii="Times New Roman" w:hAnsi="Times New Roman"/>
                <w:b/>
                <w:noProof/>
                <w:sz w:val="20"/>
                <w:lang w:val="en-GB"/>
              </w:rPr>
              <w:t>Description of each milestone and target</w:t>
            </w:r>
          </w:p>
        </w:tc>
      </w:tr>
      <w:tr w:rsidR="004868CC" w:rsidRPr="001961AA" w14:paraId="409C4F16" w14:textId="77777777" w:rsidTr="00B87EC7">
        <w:trPr>
          <w:trHeight w:val="410"/>
        </w:trPr>
        <w:tc>
          <w:tcPr>
            <w:tcW w:w="710" w:type="dxa"/>
            <w:vMerge/>
            <w:vAlign w:val="center"/>
            <w:hideMark/>
          </w:tcPr>
          <w:p w14:paraId="061FFFF9" w14:textId="77777777" w:rsidR="006A41D9" w:rsidRPr="001961AA" w:rsidRDefault="006A41D9" w:rsidP="00BD6DD1">
            <w:pPr>
              <w:spacing w:after="0"/>
              <w:rPr>
                <w:rFonts w:ascii="Times New Roman" w:eastAsia="Times New Roman" w:hAnsi="Times New Roman" w:cs="Times New Roman"/>
                <w:b/>
                <w:noProof/>
                <w:lang w:val="en-GB" w:eastAsia="en-GB"/>
              </w:rPr>
            </w:pPr>
          </w:p>
        </w:tc>
        <w:tc>
          <w:tcPr>
            <w:tcW w:w="1417" w:type="dxa"/>
            <w:vMerge/>
            <w:vAlign w:val="center"/>
            <w:hideMark/>
          </w:tcPr>
          <w:p w14:paraId="14AB9AF2" w14:textId="77777777" w:rsidR="006A41D9" w:rsidRPr="001961AA" w:rsidRDefault="006A41D9" w:rsidP="00BD6DD1">
            <w:pPr>
              <w:spacing w:after="0"/>
              <w:rPr>
                <w:rFonts w:ascii="Times New Roman" w:eastAsia="Times New Roman" w:hAnsi="Times New Roman" w:cs="Times New Roman"/>
                <w:b/>
                <w:noProof/>
                <w:lang w:val="en-GB" w:eastAsia="en-GB"/>
              </w:rPr>
            </w:pPr>
          </w:p>
        </w:tc>
        <w:tc>
          <w:tcPr>
            <w:tcW w:w="993" w:type="dxa"/>
            <w:vMerge/>
            <w:vAlign w:val="center"/>
            <w:hideMark/>
          </w:tcPr>
          <w:p w14:paraId="16640531" w14:textId="77777777" w:rsidR="006A41D9" w:rsidRPr="001961AA" w:rsidRDefault="006A41D9" w:rsidP="00BD6DD1">
            <w:pPr>
              <w:spacing w:after="0"/>
              <w:rPr>
                <w:rFonts w:ascii="Times New Roman" w:eastAsia="Times New Roman" w:hAnsi="Times New Roman" w:cs="Times New Roman"/>
                <w:b/>
                <w:noProof/>
                <w:lang w:val="en-GB" w:eastAsia="en-GB"/>
              </w:rPr>
            </w:pPr>
          </w:p>
        </w:tc>
        <w:tc>
          <w:tcPr>
            <w:tcW w:w="1559" w:type="dxa"/>
            <w:vMerge/>
            <w:vAlign w:val="center"/>
            <w:hideMark/>
          </w:tcPr>
          <w:p w14:paraId="1627E306" w14:textId="77777777" w:rsidR="006A41D9" w:rsidRPr="001961AA" w:rsidRDefault="006A41D9" w:rsidP="00BD6DD1">
            <w:pPr>
              <w:spacing w:after="0"/>
              <w:rPr>
                <w:rFonts w:ascii="Times New Roman" w:eastAsia="Times New Roman" w:hAnsi="Times New Roman" w:cs="Times New Roman"/>
                <w:b/>
                <w:noProof/>
                <w:lang w:val="en-GB" w:eastAsia="en-GB"/>
              </w:rPr>
            </w:pPr>
          </w:p>
        </w:tc>
        <w:tc>
          <w:tcPr>
            <w:tcW w:w="1276" w:type="dxa"/>
            <w:vMerge/>
            <w:vAlign w:val="center"/>
            <w:hideMark/>
          </w:tcPr>
          <w:p w14:paraId="133D15D4" w14:textId="77777777" w:rsidR="006A41D9" w:rsidRPr="001961AA" w:rsidRDefault="006A41D9" w:rsidP="00BD6DD1">
            <w:pPr>
              <w:spacing w:after="0"/>
              <w:rPr>
                <w:rFonts w:ascii="Times New Roman" w:eastAsia="Times New Roman" w:hAnsi="Times New Roman" w:cs="Times New Roman"/>
                <w:b/>
                <w:noProof/>
                <w:lang w:val="en-GB" w:eastAsia="en-GB"/>
              </w:rPr>
            </w:pPr>
          </w:p>
        </w:tc>
        <w:tc>
          <w:tcPr>
            <w:tcW w:w="992" w:type="dxa"/>
            <w:shd w:val="clear" w:color="auto" w:fill="BDD7EE"/>
            <w:vAlign w:val="center"/>
            <w:hideMark/>
          </w:tcPr>
          <w:p w14:paraId="297B25C8" w14:textId="77777777" w:rsidR="006A41D9" w:rsidRPr="001961AA" w:rsidRDefault="006A41D9" w:rsidP="00BD6DD1">
            <w:pPr>
              <w:spacing w:after="0"/>
              <w:jc w:val="center"/>
              <w:rPr>
                <w:rFonts w:ascii="Times New Roman" w:eastAsia="Times New Roman" w:hAnsi="Times New Roman" w:cs="Times New Roman"/>
                <w:b/>
                <w:noProof/>
                <w:sz w:val="20"/>
                <w:szCs w:val="20"/>
                <w:lang w:val="en-GB"/>
              </w:rPr>
            </w:pPr>
            <w:r w:rsidRPr="001961AA">
              <w:rPr>
                <w:rFonts w:ascii="Times New Roman" w:hAnsi="Times New Roman"/>
                <w:b/>
                <w:noProof/>
                <w:sz w:val="20"/>
                <w:lang w:val="en-GB"/>
              </w:rPr>
              <w:t>Unit of measure</w:t>
            </w:r>
          </w:p>
        </w:tc>
        <w:tc>
          <w:tcPr>
            <w:tcW w:w="992" w:type="dxa"/>
            <w:shd w:val="clear" w:color="auto" w:fill="BDD7EE"/>
            <w:vAlign w:val="center"/>
            <w:hideMark/>
          </w:tcPr>
          <w:p w14:paraId="7465333C" w14:textId="77777777" w:rsidR="006A41D9" w:rsidRPr="001961AA" w:rsidRDefault="006A41D9" w:rsidP="00BD6DD1">
            <w:pPr>
              <w:spacing w:after="0"/>
              <w:jc w:val="center"/>
              <w:rPr>
                <w:rFonts w:ascii="Times New Roman" w:eastAsia="Times New Roman" w:hAnsi="Times New Roman" w:cs="Times New Roman"/>
                <w:b/>
                <w:noProof/>
                <w:sz w:val="20"/>
                <w:szCs w:val="20"/>
                <w:lang w:val="en-GB"/>
              </w:rPr>
            </w:pPr>
            <w:r w:rsidRPr="001961AA">
              <w:rPr>
                <w:rFonts w:ascii="Times New Roman" w:hAnsi="Times New Roman"/>
                <w:b/>
                <w:noProof/>
                <w:sz w:val="20"/>
                <w:lang w:val="en-GB"/>
              </w:rPr>
              <w:t xml:space="preserve">Baseline </w:t>
            </w:r>
          </w:p>
        </w:tc>
        <w:tc>
          <w:tcPr>
            <w:tcW w:w="851" w:type="dxa"/>
            <w:shd w:val="clear" w:color="auto" w:fill="BDD7EE"/>
            <w:vAlign w:val="center"/>
            <w:hideMark/>
          </w:tcPr>
          <w:p w14:paraId="696B6CDF" w14:textId="77777777" w:rsidR="006A41D9" w:rsidRPr="001961AA" w:rsidRDefault="006A41D9" w:rsidP="00BD6DD1">
            <w:pPr>
              <w:spacing w:after="0"/>
              <w:jc w:val="center"/>
              <w:rPr>
                <w:rFonts w:ascii="Times New Roman" w:eastAsia="Times New Roman" w:hAnsi="Times New Roman" w:cs="Times New Roman"/>
                <w:b/>
                <w:noProof/>
                <w:sz w:val="20"/>
                <w:szCs w:val="20"/>
                <w:lang w:val="en-GB"/>
              </w:rPr>
            </w:pPr>
            <w:r w:rsidRPr="001961AA">
              <w:rPr>
                <w:rFonts w:ascii="Times New Roman" w:hAnsi="Times New Roman"/>
                <w:b/>
                <w:noProof/>
                <w:sz w:val="20"/>
                <w:lang w:val="en-GB"/>
              </w:rPr>
              <w:t xml:space="preserve">Goal </w:t>
            </w:r>
          </w:p>
        </w:tc>
        <w:tc>
          <w:tcPr>
            <w:tcW w:w="992" w:type="dxa"/>
            <w:shd w:val="clear" w:color="auto" w:fill="BDD7EE"/>
            <w:vAlign w:val="center"/>
            <w:hideMark/>
          </w:tcPr>
          <w:p w14:paraId="593C8C63" w14:textId="77777777" w:rsidR="006A41D9" w:rsidRPr="001961AA" w:rsidRDefault="006A41D9" w:rsidP="00BD6DD1">
            <w:pPr>
              <w:spacing w:after="0"/>
              <w:jc w:val="center"/>
              <w:rPr>
                <w:rFonts w:ascii="Times New Roman" w:eastAsia="Times New Roman" w:hAnsi="Times New Roman" w:cs="Times New Roman"/>
                <w:b/>
                <w:noProof/>
                <w:sz w:val="20"/>
                <w:szCs w:val="20"/>
                <w:lang w:val="en-GB"/>
              </w:rPr>
            </w:pPr>
            <w:r w:rsidRPr="001961AA">
              <w:rPr>
                <w:rFonts w:ascii="Times New Roman" w:hAnsi="Times New Roman"/>
                <w:b/>
                <w:noProof/>
                <w:sz w:val="20"/>
                <w:lang w:val="en-GB"/>
              </w:rPr>
              <w:t>Quarter</w:t>
            </w:r>
          </w:p>
        </w:tc>
        <w:tc>
          <w:tcPr>
            <w:tcW w:w="709" w:type="dxa"/>
            <w:shd w:val="clear" w:color="auto" w:fill="BDD7EE"/>
            <w:vAlign w:val="center"/>
            <w:hideMark/>
          </w:tcPr>
          <w:p w14:paraId="02E2A8F4" w14:textId="77777777" w:rsidR="006A41D9" w:rsidRPr="001961AA" w:rsidRDefault="006A41D9" w:rsidP="00BD6DD1">
            <w:pPr>
              <w:spacing w:after="0"/>
              <w:jc w:val="center"/>
              <w:rPr>
                <w:rFonts w:ascii="Times New Roman" w:eastAsia="Times New Roman" w:hAnsi="Times New Roman" w:cs="Times New Roman"/>
                <w:b/>
                <w:noProof/>
                <w:sz w:val="20"/>
                <w:szCs w:val="20"/>
                <w:lang w:val="en-GB"/>
              </w:rPr>
            </w:pPr>
            <w:r w:rsidRPr="001961AA">
              <w:rPr>
                <w:rFonts w:ascii="Times New Roman" w:hAnsi="Times New Roman"/>
                <w:b/>
                <w:noProof/>
                <w:sz w:val="20"/>
                <w:lang w:val="en-GB"/>
              </w:rPr>
              <w:t>Year</w:t>
            </w:r>
          </w:p>
        </w:tc>
        <w:tc>
          <w:tcPr>
            <w:tcW w:w="4932" w:type="dxa"/>
            <w:vMerge/>
            <w:vAlign w:val="center"/>
            <w:hideMark/>
          </w:tcPr>
          <w:p w14:paraId="4C785D33" w14:textId="77777777" w:rsidR="006A41D9" w:rsidRPr="001961AA" w:rsidRDefault="006A41D9" w:rsidP="00BD6DD1">
            <w:pPr>
              <w:spacing w:after="0"/>
              <w:rPr>
                <w:rFonts w:ascii="Times New Roman" w:eastAsia="Times New Roman" w:hAnsi="Times New Roman" w:cs="Times New Roman"/>
                <w:b/>
                <w:noProof/>
                <w:lang w:val="en-GB" w:eastAsia="en-GB"/>
              </w:rPr>
            </w:pPr>
          </w:p>
        </w:tc>
      </w:tr>
      <w:tr w:rsidR="004868CC" w:rsidRPr="001961AA" w14:paraId="3217907F" w14:textId="77777777" w:rsidTr="00B87EC7">
        <w:trPr>
          <w:trHeight w:val="309"/>
        </w:trPr>
        <w:tc>
          <w:tcPr>
            <w:tcW w:w="710" w:type="dxa"/>
            <w:shd w:val="clear" w:color="auto" w:fill="C6EFCE"/>
            <w:noWrap/>
            <w:vAlign w:val="center"/>
          </w:tcPr>
          <w:p w14:paraId="4792DC81" w14:textId="77777777" w:rsidR="006A41D9" w:rsidRPr="001961AA" w:rsidRDefault="006A41D9" w:rsidP="00BD6DD1">
            <w:pPr>
              <w:spacing w:after="0" w:line="240" w:lineRule="auto"/>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242</w:t>
            </w:r>
          </w:p>
        </w:tc>
        <w:tc>
          <w:tcPr>
            <w:tcW w:w="1417" w:type="dxa"/>
            <w:shd w:val="clear" w:color="auto" w:fill="C6EFCE"/>
            <w:noWrap/>
            <w:vAlign w:val="center"/>
          </w:tcPr>
          <w:p w14:paraId="68220EB6" w14:textId="491B8C2D" w:rsidR="006A41D9" w:rsidRPr="001961AA" w:rsidRDefault="006A41D9" w:rsidP="00BD6DD1">
            <w:pPr>
              <w:spacing w:after="0" w:line="240" w:lineRule="auto"/>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Greening the bus fleet –BCR (I-7.21)</w:t>
            </w:r>
          </w:p>
        </w:tc>
        <w:tc>
          <w:tcPr>
            <w:tcW w:w="993" w:type="dxa"/>
            <w:shd w:val="clear" w:color="auto" w:fill="C6EFCE"/>
            <w:noWrap/>
            <w:vAlign w:val="center"/>
          </w:tcPr>
          <w:p w14:paraId="7D9B51C0" w14:textId="77777777" w:rsidR="006A41D9" w:rsidRPr="001961AA" w:rsidRDefault="006A41D9" w:rsidP="00BD6DD1">
            <w:pPr>
              <w:spacing w:after="0" w:line="240" w:lineRule="auto"/>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T</w:t>
            </w:r>
          </w:p>
        </w:tc>
        <w:tc>
          <w:tcPr>
            <w:tcW w:w="1559" w:type="dxa"/>
            <w:shd w:val="clear" w:color="auto" w:fill="C6EFCE"/>
            <w:noWrap/>
            <w:vAlign w:val="center"/>
          </w:tcPr>
          <w:p w14:paraId="4A9C39B2" w14:textId="77777777" w:rsidR="006A41D9" w:rsidRPr="001961AA" w:rsidRDefault="006A41D9" w:rsidP="00BD6DD1">
            <w:pPr>
              <w:spacing w:after="0" w:line="240" w:lineRule="auto"/>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Electric buses in service</w:t>
            </w:r>
          </w:p>
        </w:tc>
        <w:tc>
          <w:tcPr>
            <w:tcW w:w="1276" w:type="dxa"/>
            <w:shd w:val="clear" w:color="auto" w:fill="C6EFCE"/>
            <w:noWrap/>
            <w:vAlign w:val="center"/>
          </w:tcPr>
          <w:p w14:paraId="665E40BF" w14:textId="77777777" w:rsidR="006A41D9" w:rsidRPr="001961AA" w:rsidRDefault="006A41D9" w:rsidP="00BD6DD1">
            <w:pPr>
              <w:spacing w:after="0" w:line="240" w:lineRule="auto"/>
              <w:rPr>
                <w:rFonts w:ascii="Times New Roman" w:eastAsia="Times New Roman" w:hAnsi="Times New Roman" w:cs="Times New Roman"/>
                <w:noProof/>
                <w:color w:val="006100"/>
                <w:lang w:val="en-GB" w:eastAsia="en-GB"/>
              </w:rPr>
            </w:pPr>
          </w:p>
        </w:tc>
        <w:tc>
          <w:tcPr>
            <w:tcW w:w="992" w:type="dxa"/>
            <w:shd w:val="clear" w:color="auto" w:fill="C6EFCE"/>
            <w:noWrap/>
            <w:vAlign w:val="center"/>
          </w:tcPr>
          <w:p w14:paraId="48E6CC7B" w14:textId="77777777" w:rsidR="006A41D9" w:rsidRPr="001961AA" w:rsidRDefault="006A41D9" w:rsidP="00BD6DD1">
            <w:pPr>
              <w:spacing w:after="0" w:line="240" w:lineRule="auto"/>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Number</w:t>
            </w:r>
          </w:p>
        </w:tc>
        <w:tc>
          <w:tcPr>
            <w:tcW w:w="992" w:type="dxa"/>
            <w:shd w:val="clear" w:color="auto" w:fill="C6EFCE"/>
            <w:noWrap/>
            <w:vAlign w:val="center"/>
          </w:tcPr>
          <w:p w14:paraId="593F7681" w14:textId="149AEC63" w:rsidR="006A41D9" w:rsidRPr="001961AA" w:rsidRDefault="00665AC9" w:rsidP="00BD6DD1">
            <w:pPr>
              <w:spacing w:after="0" w:line="240" w:lineRule="auto"/>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33</w:t>
            </w:r>
          </w:p>
        </w:tc>
        <w:tc>
          <w:tcPr>
            <w:tcW w:w="851" w:type="dxa"/>
            <w:shd w:val="clear" w:color="auto" w:fill="C6EFCE"/>
            <w:noWrap/>
            <w:vAlign w:val="center"/>
          </w:tcPr>
          <w:p w14:paraId="72B21B50" w14:textId="166B3C74" w:rsidR="006A41D9" w:rsidRPr="001961AA" w:rsidRDefault="00665AC9" w:rsidP="00BD6DD1">
            <w:pPr>
              <w:spacing w:after="0" w:line="240" w:lineRule="auto"/>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80</w:t>
            </w:r>
          </w:p>
        </w:tc>
        <w:tc>
          <w:tcPr>
            <w:tcW w:w="992" w:type="dxa"/>
            <w:shd w:val="clear" w:color="auto" w:fill="C6EFCE"/>
            <w:noWrap/>
            <w:vAlign w:val="center"/>
          </w:tcPr>
          <w:p w14:paraId="35CEADD8" w14:textId="77777777" w:rsidR="006A41D9" w:rsidRPr="001961AA" w:rsidRDefault="006A41D9" w:rsidP="00BD6DD1">
            <w:pPr>
              <w:spacing w:after="0" w:line="240" w:lineRule="auto"/>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Q2</w:t>
            </w:r>
          </w:p>
        </w:tc>
        <w:tc>
          <w:tcPr>
            <w:tcW w:w="709" w:type="dxa"/>
            <w:shd w:val="clear" w:color="auto" w:fill="C6EFCE"/>
            <w:noWrap/>
            <w:vAlign w:val="center"/>
          </w:tcPr>
          <w:p w14:paraId="54F012F5" w14:textId="77777777" w:rsidR="006A41D9" w:rsidRPr="001961AA" w:rsidRDefault="006A41D9" w:rsidP="00BD6DD1">
            <w:pPr>
              <w:spacing w:after="0" w:line="240" w:lineRule="auto"/>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2026</w:t>
            </w:r>
          </w:p>
        </w:tc>
        <w:tc>
          <w:tcPr>
            <w:tcW w:w="4932" w:type="dxa"/>
            <w:shd w:val="clear" w:color="auto" w:fill="C6EFCE"/>
            <w:noWrap/>
            <w:vAlign w:val="center"/>
          </w:tcPr>
          <w:p w14:paraId="19141287" w14:textId="284FCB69" w:rsidR="006A41D9" w:rsidRPr="001961AA" w:rsidRDefault="00B97605" w:rsidP="00BD6DD1">
            <w:pPr>
              <w:spacing w:after="0" w:line="240" w:lineRule="auto"/>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23 M3 low floor articulated electric buses and 24 standard electric buses are delivered and placed in service.</w:t>
            </w:r>
          </w:p>
        </w:tc>
      </w:tr>
      <w:tr w:rsidR="004868CC" w:rsidRPr="001961AA" w14:paraId="59246F35" w14:textId="77777777" w:rsidTr="00B87EC7">
        <w:trPr>
          <w:trHeight w:val="309"/>
        </w:trPr>
        <w:tc>
          <w:tcPr>
            <w:tcW w:w="710" w:type="dxa"/>
            <w:shd w:val="clear" w:color="auto" w:fill="C6EFCE"/>
            <w:noWrap/>
            <w:vAlign w:val="center"/>
          </w:tcPr>
          <w:p w14:paraId="4D0F2E9A" w14:textId="77777777" w:rsidR="006A41D9" w:rsidRPr="001961AA" w:rsidRDefault="006A41D9" w:rsidP="00BD6DD1">
            <w:pPr>
              <w:spacing w:after="0" w:line="240" w:lineRule="auto"/>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243</w:t>
            </w:r>
          </w:p>
        </w:tc>
        <w:tc>
          <w:tcPr>
            <w:tcW w:w="1417" w:type="dxa"/>
            <w:shd w:val="clear" w:color="auto" w:fill="C6EFCE"/>
            <w:noWrap/>
            <w:vAlign w:val="center"/>
          </w:tcPr>
          <w:p w14:paraId="5A7BBB4F" w14:textId="77777777" w:rsidR="006A41D9" w:rsidRPr="001961AA" w:rsidRDefault="006A41D9" w:rsidP="00BD6DD1">
            <w:pPr>
              <w:spacing w:after="0" w:line="240" w:lineRule="auto"/>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Charging Stations – FED (I-7.22)</w:t>
            </w:r>
          </w:p>
        </w:tc>
        <w:tc>
          <w:tcPr>
            <w:tcW w:w="993" w:type="dxa"/>
            <w:shd w:val="clear" w:color="auto" w:fill="C6EFCE"/>
            <w:noWrap/>
            <w:vAlign w:val="center"/>
          </w:tcPr>
          <w:p w14:paraId="57CDBF15" w14:textId="55DB5C06" w:rsidR="006A41D9" w:rsidRPr="001961AA" w:rsidRDefault="00393BDE" w:rsidP="00BD6DD1">
            <w:pPr>
              <w:spacing w:after="0" w:line="240" w:lineRule="auto"/>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T</w:t>
            </w:r>
          </w:p>
        </w:tc>
        <w:tc>
          <w:tcPr>
            <w:tcW w:w="1559" w:type="dxa"/>
            <w:shd w:val="clear" w:color="auto" w:fill="C6EFCE"/>
            <w:noWrap/>
            <w:vAlign w:val="center"/>
          </w:tcPr>
          <w:p w14:paraId="0B286C5D" w14:textId="77777777" w:rsidR="006A41D9" w:rsidRPr="001961AA" w:rsidRDefault="006A41D9" w:rsidP="00BD6DD1">
            <w:pPr>
              <w:spacing w:after="0" w:line="240" w:lineRule="auto"/>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Deployment bidirectional charging stations</w:t>
            </w:r>
          </w:p>
        </w:tc>
        <w:tc>
          <w:tcPr>
            <w:tcW w:w="1276" w:type="dxa"/>
            <w:shd w:val="clear" w:color="auto" w:fill="C6EFCE"/>
            <w:noWrap/>
            <w:vAlign w:val="center"/>
          </w:tcPr>
          <w:p w14:paraId="28D1D632" w14:textId="77777777" w:rsidR="006A41D9" w:rsidRPr="001961AA" w:rsidRDefault="006A41D9" w:rsidP="00BD6DD1">
            <w:pPr>
              <w:spacing w:after="0" w:line="240" w:lineRule="auto"/>
              <w:rPr>
                <w:rFonts w:ascii="Times New Roman" w:eastAsia="Times New Roman" w:hAnsi="Times New Roman" w:cs="Times New Roman"/>
                <w:noProof/>
                <w:color w:val="006100"/>
                <w:lang w:val="en-GB" w:eastAsia="en-GB"/>
              </w:rPr>
            </w:pPr>
          </w:p>
        </w:tc>
        <w:tc>
          <w:tcPr>
            <w:tcW w:w="992" w:type="dxa"/>
            <w:shd w:val="clear" w:color="auto" w:fill="C6EFCE"/>
            <w:noWrap/>
            <w:vAlign w:val="center"/>
          </w:tcPr>
          <w:p w14:paraId="15130EAA" w14:textId="77777777" w:rsidR="006A41D9" w:rsidRPr="001961AA" w:rsidRDefault="006A41D9" w:rsidP="00BD6DD1">
            <w:pPr>
              <w:spacing w:after="0" w:line="240" w:lineRule="auto"/>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Number</w:t>
            </w:r>
          </w:p>
        </w:tc>
        <w:tc>
          <w:tcPr>
            <w:tcW w:w="992" w:type="dxa"/>
            <w:shd w:val="clear" w:color="auto" w:fill="C6EFCE"/>
            <w:noWrap/>
            <w:vAlign w:val="center"/>
          </w:tcPr>
          <w:p w14:paraId="172642B6" w14:textId="77777777" w:rsidR="006A41D9" w:rsidRPr="001961AA" w:rsidRDefault="006A41D9" w:rsidP="00BD6DD1">
            <w:pPr>
              <w:spacing w:after="0" w:line="240" w:lineRule="auto"/>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0</w:t>
            </w:r>
          </w:p>
        </w:tc>
        <w:tc>
          <w:tcPr>
            <w:tcW w:w="851" w:type="dxa"/>
            <w:shd w:val="clear" w:color="auto" w:fill="C6EFCE"/>
            <w:noWrap/>
            <w:vAlign w:val="center"/>
          </w:tcPr>
          <w:p w14:paraId="31DA0760" w14:textId="77777777" w:rsidR="006A41D9" w:rsidRPr="001961AA" w:rsidRDefault="006A41D9" w:rsidP="00BD6DD1">
            <w:pPr>
              <w:spacing w:after="0" w:line="240" w:lineRule="auto"/>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1 832</w:t>
            </w:r>
          </w:p>
        </w:tc>
        <w:tc>
          <w:tcPr>
            <w:tcW w:w="992" w:type="dxa"/>
            <w:shd w:val="clear" w:color="auto" w:fill="C6EFCE"/>
            <w:noWrap/>
            <w:vAlign w:val="center"/>
          </w:tcPr>
          <w:p w14:paraId="1459BDC0" w14:textId="5FD5F456" w:rsidR="006A41D9" w:rsidRPr="001961AA" w:rsidRDefault="006A41D9" w:rsidP="00BD6DD1">
            <w:pPr>
              <w:spacing w:after="0" w:line="240" w:lineRule="auto"/>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Q2</w:t>
            </w:r>
          </w:p>
        </w:tc>
        <w:tc>
          <w:tcPr>
            <w:tcW w:w="709" w:type="dxa"/>
            <w:shd w:val="clear" w:color="auto" w:fill="C6EFCE"/>
            <w:noWrap/>
            <w:vAlign w:val="center"/>
          </w:tcPr>
          <w:p w14:paraId="51D13A5A" w14:textId="77777777" w:rsidR="006A41D9" w:rsidRPr="001961AA" w:rsidRDefault="006A41D9" w:rsidP="00BD6DD1">
            <w:pPr>
              <w:spacing w:after="0" w:line="240" w:lineRule="auto"/>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2026</w:t>
            </w:r>
          </w:p>
        </w:tc>
        <w:tc>
          <w:tcPr>
            <w:tcW w:w="4932" w:type="dxa"/>
            <w:shd w:val="clear" w:color="auto" w:fill="C6EFCE"/>
            <w:noWrap/>
            <w:vAlign w:val="center"/>
          </w:tcPr>
          <w:p w14:paraId="62B87319" w14:textId="5DCD5DC8" w:rsidR="006A41D9" w:rsidRPr="001961AA" w:rsidRDefault="006A41D9" w:rsidP="00BD6DD1">
            <w:pPr>
              <w:spacing w:after="0" w:line="240" w:lineRule="auto"/>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Deployment of 1 832 bidirectional charging stations.</w:t>
            </w:r>
          </w:p>
        </w:tc>
      </w:tr>
      <w:tr w:rsidR="004868CC" w:rsidRPr="001961AA" w14:paraId="35178A11" w14:textId="77777777" w:rsidTr="00B87EC7">
        <w:trPr>
          <w:trHeight w:val="309"/>
        </w:trPr>
        <w:tc>
          <w:tcPr>
            <w:tcW w:w="710" w:type="dxa"/>
            <w:shd w:val="clear" w:color="auto" w:fill="C6EFCE"/>
            <w:noWrap/>
            <w:vAlign w:val="center"/>
          </w:tcPr>
          <w:p w14:paraId="65CB1806" w14:textId="77777777" w:rsidR="006A41D9" w:rsidRPr="001961AA" w:rsidRDefault="006A41D9" w:rsidP="00BD6DD1">
            <w:pPr>
              <w:spacing w:after="0" w:line="240" w:lineRule="auto"/>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244</w:t>
            </w:r>
          </w:p>
        </w:tc>
        <w:tc>
          <w:tcPr>
            <w:tcW w:w="1417" w:type="dxa"/>
            <w:shd w:val="clear" w:color="auto" w:fill="C6EFCE"/>
            <w:noWrap/>
            <w:vAlign w:val="center"/>
          </w:tcPr>
          <w:p w14:paraId="3B657ADE" w14:textId="77777777" w:rsidR="006A41D9" w:rsidRPr="001961AA" w:rsidRDefault="006A41D9" w:rsidP="00BD6DD1">
            <w:pPr>
              <w:spacing w:after="0" w:line="240" w:lineRule="auto"/>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Public LED lighting – VLA (I-7.23)</w:t>
            </w:r>
          </w:p>
        </w:tc>
        <w:tc>
          <w:tcPr>
            <w:tcW w:w="993" w:type="dxa"/>
            <w:shd w:val="clear" w:color="auto" w:fill="C6EFCE"/>
            <w:noWrap/>
            <w:vAlign w:val="center"/>
          </w:tcPr>
          <w:p w14:paraId="3F276493" w14:textId="77777777" w:rsidR="006A41D9" w:rsidRPr="001961AA" w:rsidRDefault="006A41D9" w:rsidP="00BD6DD1">
            <w:pPr>
              <w:spacing w:after="0" w:line="240" w:lineRule="auto"/>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T</w:t>
            </w:r>
          </w:p>
        </w:tc>
        <w:tc>
          <w:tcPr>
            <w:tcW w:w="1559" w:type="dxa"/>
            <w:shd w:val="clear" w:color="auto" w:fill="C6EFCE"/>
            <w:noWrap/>
            <w:vAlign w:val="center"/>
          </w:tcPr>
          <w:p w14:paraId="654A31A5" w14:textId="77777777" w:rsidR="006A41D9" w:rsidRPr="001961AA" w:rsidRDefault="006A41D9" w:rsidP="00BD6DD1">
            <w:pPr>
              <w:spacing w:after="0" w:line="240" w:lineRule="auto"/>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LED lighting installed</w:t>
            </w:r>
          </w:p>
        </w:tc>
        <w:tc>
          <w:tcPr>
            <w:tcW w:w="1276" w:type="dxa"/>
            <w:shd w:val="clear" w:color="auto" w:fill="C6EFCE"/>
            <w:noWrap/>
            <w:vAlign w:val="center"/>
          </w:tcPr>
          <w:p w14:paraId="6A5F6367" w14:textId="77777777" w:rsidR="006A41D9" w:rsidRPr="001961AA" w:rsidRDefault="006A41D9" w:rsidP="00BD6DD1">
            <w:pPr>
              <w:spacing w:after="0" w:line="240" w:lineRule="auto"/>
              <w:rPr>
                <w:rFonts w:ascii="Times New Roman" w:eastAsia="Times New Roman" w:hAnsi="Times New Roman" w:cs="Times New Roman"/>
                <w:noProof/>
                <w:color w:val="006100"/>
                <w:lang w:val="en-GB" w:eastAsia="en-GB"/>
              </w:rPr>
            </w:pPr>
          </w:p>
        </w:tc>
        <w:tc>
          <w:tcPr>
            <w:tcW w:w="992" w:type="dxa"/>
            <w:shd w:val="clear" w:color="auto" w:fill="C6EFCE"/>
            <w:noWrap/>
            <w:vAlign w:val="center"/>
          </w:tcPr>
          <w:p w14:paraId="687545CD" w14:textId="77777777" w:rsidR="006A41D9" w:rsidRPr="001961AA" w:rsidRDefault="006A41D9" w:rsidP="00BD6DD1">
            <w:pPr>
              <w:spacing w:after="0" w:line="240" w:lineRule="auto"/>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Number</w:t>
            </w:r>
          </w:p>
        </w:tc>
        <w:tc>
          <w:tcPr>
            <w:tcW w:w="992" w:type="dxa"/>
            <w:shd w:val="clear" w:color="auto" w:fill="C6EFCE"/>
            <w:noWrap/>
            <w:vAlign w:val="center"/>
          </w:tcPr>
          <w:p w14:paraId="7603AC13" w14:textId="77777777" w:rsidR="006A41D9" w:rsidRPr="001961AA" w:rsidRDefault="006A41D9" w:rsidP="00BD6DD1">
            <w:pPr>
              <w:spacing w:after="0" w:line="240" w:lineRule="auto"/>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0</w:t>
            </w:r>
          </w:p>
        </w:tc>
        <w:tc>
          <w:tcPr>
            <w:tcW w:w="851" w:type="dxa"/>
            <w:shd w:val="clear" w:color="auto" w:fill="C6EFCE"/>
            <w:noWrap/>
            <w:vAlign w:val="center"/>
          </w:tcPr>
          <w:p w14:paraId="05ED569B" w14:textId="77777777" w:rsidR="006A41D9" w:rsidRPr="001961AA" w:rsidRDefault="006A41D9" w:rsidP="00BD6DD1">
            <w:pPr>
              <w:spacing w:after="0" w:line="240" w:lineRule="auto"/>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22 750</w:t>
            </w:r>
          </w:p>
        </w:tc>
        <w:tc>
          <w:tcPr>
            <w:tcW w:w="992" w:type="dxa"/>
            <w:shd w:val="clear" w:color="auto" w:fill="C6EFCE"/>
            <w:noWrap/>
            <w:vAlign w:val="center"/>
          </w:tcPr>
          <w:p w14:paraId="7D203BF7" w14:textId="77777777" w:rsidR="006A41D9" w:rsidRPr="001961AA" w:rsidRDefault="006A41D9" w:rsidP="00BD6DD1">
            <w:pPr>
              <w:spacing w:after="0" w:line="240" w:lineRule="auto"/>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Q2</w:t>
            </w:r>
          </w:p>
        </w:tc>
        <w:tc>
          <w:tcPr>
            <w:tcW w:w="709" w:type="dxa"/>
            <w:shd w:val="clear" w:color="auto" w:fill="C6EFCE"/>
            <w:noWrap/>
            <w:vAlign w:val="center"/>
          </w:tcPr>
          <w:p w14:paraId="58A973C1" w14:textId="77777777" w:rsidR="006A41D9" w:rsidRPr="001961AA" w:rsidRDefault="006A41D9" w:rsidP="00BD6DD1">
            <w:pPr>
              <w:spacing w:after="0" w:line="240" w:lineRule="auto"/>
              <w:jc w:val="center"/>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2026</w:t>
            </w:r>
          </w:p>
        </w:tc>
        <w:tc>
          <w:tcPr>
            <w:tcW w:w="4932" w:type="dxa"/>
            <w:shd w:val="clear" w:color="auto" w:fill="C6EFCE"/>
            <w:noWrap/>
            <w:vAlign w:val="center"/>
          </w:tcPr>
          <w:p w14:paraId="77CAAB38" w14:textId="06A1AEBE" w:rsidR="006A41D9" w:rsidRPr="001961AA" w:rsidRDefault="006A41D9" w:rsidP="00BD6DD1">
            <w:pPr>
              <w:spacing w:after="0" w:line="240" w:lineRule="auto"/>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18 500 LED luminaires installed on motorways and 4 250 LED lamps installed in five tunnels.</w:t>
            </w:r>
          </w:p>
        </w:tc>
      </w:tr>
      <w:tr w:rsidR="004868CC" w:rsidRPr="001961AA" w14:paraId="526635AD" w14:textId="77777777" w:rsidTr="00B87EC7">
        <w:trPr>
          <w:trHeight w:val="309"/>
        </w:trPr>
        <w:tc>
          <w:tcPr>
            <w:tcW w:w="710" w:type="dxa"/>
            <w:shd w:val="clear" w:color="auto" w:fill="C6EFCE"/>
            <w:noWrap/>
            <w:vAlign w:val="center"/>
          </w:tcPr>
          <w:p w14:paraId="6318786E" w14:textId="77777777" w:rsidR="006A41D9" w:rsidRPr="001961AA" w:rsidRDefault="006A41D9" w:rsidP="00BD6DD1">
            <w:pPr>
              <w:spacing w:after="0" w:line="240" w:lineRule="auto"/>
              <w:jc w:val="center"/>
              <w:rPr>
                <w:rFonts w:ascii="Times New Roman" w:eastAsia="Times New Roman" w:hAnsi="Times New Roman" w:cs="Times New Roman"/>
                <w:noProof/>
                <w:color w:val="006100"/>
                <w:lang w:val="en-GB"/>
              </w:rPr>
            </w:pPr>
            <w:r w:rsidRPr="001961AA">
              <w:rPr>
                <w:rStyle w:val="normaltextrun"/>
                <w:rFonts w:ascii="Times New Roman" w:hAnsi="Times New Roman"/>
                <w:noProof/>
                <w:color w:val="006100"/>
                <w:lang w:val="en-GB"/>
              </w:rPr>
              <w:t>245</w:t>
            </w:r>
          </w:p>
        </w:tc>
        <w:tc>
          <w:tcPr>
            <w:tcW w:w="1417" w:type="dxa"/>
            <w:shd w:val="clear" w:color="auto" w:fill="C6EFCE"/>
            <w:noWrap/>
            <w:vAlign w:val="center"/>
          </w:tcPr>
          <w:p w14:paraId="3CD0EE06" w14:textId="77777777" w:rsidR="006A41D9" w:rsidRPr="001961AA" w:rsidRDefault="006A41D9" w:rsidP="00BD6DD1">
            <w:pPr>
              <w:spacing w:after="0" w:line="240" w:lineRule="auto"/>
              <w:rPr>
                <w:rFonts w:ascii="Times New Roman" w:eastAsia="Times New Roman" w:hAnsi="Times New Roman" w:cs="Times New Roman"/>
                <w:noProof/>
                <w:color w:val="006100"/>
                <w:lang w:val="en-GB"/>
              </w:rPr>
            </w:pPr>
            <w:r w:rsidRPr="001961AA">
              <w:rPr>
                <w:rStyle w:val="normaltextrun"/>
                <w:rFonts w:ascii="Times New Roman" w:hAnsi="Times New Roman"/>
                <w:noProof/>
                <w:color w:val="006100"/>
                <w:lang w:val="en-GB"/>
              </w:rPr>
              <w:t xml:space="preserve">Rail efficient network - FED (I-7.24) </w:t>
            </w:r>
          </w:p>
        </w:tc>
        <w:tc>
          <w:tcPr>
            <w:tcW w:w="993" w:type="dxa"/>
            <w:shd w:val="clear" w:color="auto" w:fill="C6EFCE"/>
            <w:noWrap/>
            <w:vAlign w:val="center"/>
          </w:tcPr>
          <w:p w14:paraId="364842C2" w14:textId="77777777" w:rsidR="006A41D9" w:rsidRPr="001961AA" w:rsidRDefault="006A41D9" w:rsidP="00BD6DD1">
            <w:pPr>
              <w:spacing w:after="0" w:line="240" w:lineRule="auto"/>
              <w:jc w:val="center"/>
              <w:rPr>
                <w:rFonts w:ascii="Times New Roman" w:eastAsia="Times New Roman" w:hAnsi="Times New Roman" w:cs="Times New Roman"/>
                <w:noProof/>
                <w:color w:val="006100"/>
                <w:lang w:val="en-GB"/>
              </w:rPr>
            </w:pPr>
            <w:r w:rsidRPr="001961AA">
              <w:rPr>
                <w:rStyle w:val="normaltextrun"/>
                <w:rFonts w:ascii="Times New Roman" w:hAnsi="Times New Roman"/>
                <w:noProof/>
                <w:color w:val="006100"/>
                <w:lang w:val="en-GB"/>
              </w:rPr>
              <w:t>T</w:t>
            </w:r>
          </w:p>
        </w:tc>
        <w:tc>
          <w:tcPr>
            <w:tcW w:w="1559" w:type="dxa"/>
            <w:shd w:val="clear" w:color="auto" w:fill="C6EFCE"/>
            <w:noWrap/>
            <w:vAlign w:val="center"/>
          </w:tcPr>
          <w:p w14:paraId="0D35D982" w14:textId="77777777" w:rsidR="006A41D9" w:rsidRPr="001961AA" w:rsidRDefault="006A41D9" w:rsidP="00BD6DD1">
            <w:pPr>
              <w:spacing w:after="0" w:line="240" w:lineRule="auto"/>
              <w:rPr>
                <w:rFonts w:ascii="Times New Roman" w:eastAsia="Times New Roman" w:hAnsi="Times New Roman" w:cs="Times New Roman"/>
                <w:noProof/>
                <w:color w:val="006100"/>
                <w:lang w:val="en-GB"/>
              </w:rPr>
            </w:pPr>
            <w:r w:rsidRPr="001961AA">
              <w:rPr>
                <w:rStyle w:val="normaltextrun"/>
                <w:rFonts w:ascii="Times New Roman" w:hAnsi="Times New Roman"/>
                <w:noProof/>
                <w:color w:val="006100"/>
                <w:lang w:val="en-GB"/>
              </w:rPr>
              <w:t>Electrification of rail lines</w:t>
            </w:r>
          </w:p>
        </w:tc>
        <w:tc>
          <w:tcPr>
            <w:tcW w:w="1276" w:type="dxa"/>
            <w:shd w:val="clear" w:color="auto" w:fill="C6EFCE"/>
            <w:noWrap/>
            <w:vAlign w:val="center"/>
          </w:tcPr>
          <w:p w14:paraId="65E5F936" w14:textId="77777777" w:rsidR="006A41D9" w:rsidRPr="001961AA" w:rsidRDefault="006A41D9" w:rsidP="00BD6DD1">
            <w:pPr>
              <w:spacing w:after="0" w:line="240" w:lineRule="auto"/>
              <w:rPr>
                <w:rFonts w:ascii="Times New Roman" w:eastAsia="Times New Roman" w:hAnsi="Times New Roman" w:cs="Times New Roman"/>
                <w:noProof/>
                <w:color w:val="006100"/>
                <w:lang w:val="en-GB" w:eastAsia="en-GB"/>
              </w:rPr>
            </w:pPr>
          </w:p>
        </w:tc>
        <w:tc>
          <w:tcPr>
            <w:tcW w:w="992" w:type="dxa"/>
            <w:shd w:val="clear" w:color="auto" w:fill="C6EFCE"/>
            <w:noWrap/>
            <w:vAlign w:val="center"/>
          </w:tcPr>
          <w:p w14:paraId="4296742B" w14:textId="719D136B" w:rsidR="006A41D9" w:rsidRPr="001961AA" w:rsidRDefault="006A41D9" w:rsidP="00BD6DD1">
            <w:pPr>
              <w:spacing w:after="0" w:line="240" w:lineRule="auto"/>
              <w:rPr>
                <w:rFonts w:ascii="Times New Roman" w:eastAsia="Times New Roman" w:hAnsi="Times New Roman" w:cs="Times New Roman"/>
                <w:noProof/>
                <w:color w:val="006100"/>
                <w:lang w:val="en-GB"/>
              </w:rPr>
            </w:pPr>
            <w:r w:rsidRPr="001961AA">
              <w:rPr>
                <w:rStyle w:val="normaltextrun"/>
                <w:rFonts w:ascii="Times New Roman" w:hAnsi="Times New Roman"/>
                <w:noProof/>
                <w:color w:val="006100"/>
                <w:lang w:val="en-GB"/>
              </w:rPr>
              <w:t>Number (or km)</w:t>
            </w:r>
          </w:p>
        </w:tc>
        <w:tc>
          <w:tcPr>
            <w:tcW w:w="992" w:type="dxa"/>
            <w:shd w:val="clear" w:color="auto" w:fill="C6EFCE"/>
            <w:noWrap/>
            <w:vAlign w:val="center"/>
          </w:tcPr>
          <w:p w14:paraId="20F37083" w14:textId="77777777" w:rsidR="006A41D9" w:rsidRPr="001961AA" w:rsidRDefault="006A41D9" w:rsidP="00BD6DD1">
            <w:pPr>
              <w:spacing w:after="0" w:line="240" w:lineRule="auto"/>
              <w:jc w:val="center"/>
              <w:rPr>
                <w:rFonts w:ascii="Times New Roman" w:eastAsia="Times New Roman" w:hAnsi="Times New Roman" w:cs="Times New Roman"/>
                <w:noProof/>
                <w:color w:val="006100"/>
                <w:lang w:val="en-GB"/>
              </w:rPr>
            </w:pPr>
            <w:r w:rsidRPr="001961AA">
              <w:rPr>
                <w:rStyle w:val="normaltextrun"/>
                <w:rFonts w:ascii="Times New Roman" w:hAnsi="Times New Roman"/>
                <w:noProof/>
                <w:color w:val="006100"/>
                <w:lang w:val="en-GB"/>
              </w:rPr>
              <w:t>0</w:t>
            </w:r>
          </w:p>
        </w:tc>
        <w:tc>
          <w:tcPr>
            <w:tcW w:w="851" w:type="dxa"/>
            <w:shd w:val="clear" w:color="auto" w:fill="C6EFCE"/>
            <w:noWrap/>
            <w:vAlign w:val="center"/>
          </w:tcPr>
          <w:p w14:paraId="363011BB" w14:textId="03B95577" w:rsidR="006A41D9" w:rsidRPr="001961AA" w:rsidRDefault="00E5163D" w:rsidP="00BD6DD1">
            <w:pPr>
              <w:spacing w:after="0" w:line="240" w:lineRule="auto"/>
              <w:jc w:val="center"/>
              <w:rPr>
                <w:rFonts w:ascii="Times New Roman" w:eastAsia="Times New Roman" w:hAnsi="Times New Roman" w:cs="Times New Roman"/>
                <w:noProof/>
                <w:color w:val="006100"/>
                <w:lang w:val="en-GB"/>
              </w:rPr>
            </w:pPr>
            <w:r w:rsidRPr="001961AA">
              <w:rPr>
                <w:rStyle w:val="normaltextrun"/>
                <w:rFonts w:ascii="Times New Roman" w:hAnsi="Times New Roman"/>
                <w:noProof/>
                <w:color w:val="006100"/>
                <w:lang w:val="en-GB"/>
              </w:rPr>
              <w:t>13</w:t>
            </w:r>
          </w:p>
        </w:tc>
        <w:tc>
          <w:tcPr>
            <w:tcW w:w="992" w:type="dxa"/>
            <w:shd w:val="clear" w:color="auto" w:fill="C6EFCE"/>
            <w:noWrap/>
            <w:vAlign w:val="center"/>
          </w:tcPr>
          <w:p w14:paraId="6D24F8FD" w14:textId="77777777" w:rsidR="006A41D9" w:rsidRPr="001961AA" w:rsidRDefault="006A41D9" w:rsidP="00BD6DD1">
            <w:pPr>
              <w:spacing w:after="0" w:line="240" w:lineRule="auto"/>
              <w:jc w:val="center"/>
              <w:rPr>
                <w:rFonts w:ascii="Times New Roman" w:eastAsia="Times New Roman" w:hAnsi="Times New Roman" w:cs="Times New Roman"/>
                <w:noProof/>
                <w:color w:val="006100"/>
                <w:lang w:val="en-GB"/>
              </w:rPr>
            </w:pPr>
            <w:r w:rsidRPr="001961AA">
              <w:rPr>
                <w:rStyle w:val="normaltextrun"/>
                <w:rFonts w:ascii="Times New Roman" w:hAnsi="Times New Roman"/>
                <w:noProof/>
                <w:color w:val="006100"/>
                <w:lang w:val="en-GB"/>
              </w:rPr>
              <w:t>Q2</w:t>
            </w:r>
          </w:p>
        </w:tc>
        <w:tc>
          <w:tcPr>
            <w:tcW w:w="709" w:type="dxa"/>
            <w:shd w:val="clear" w:color="auto" w:fill="C6EFCE"/>
            <w:noWrap/>
            <w:vAlign w:val="center"/>
          </w:tcPr>
          <w:p w14:paraId="3E70FBBE" w14:textId="77777777" w:rsidR="006A41D9" w:rsidRPr="001961AA" w:rsidRDefault="006A41D9" w:rsidP="00BD6DD1">
            <w:pPr>
              <w:spacing w:after="0" w:line="240" w:lineRule="auto"/>
              <w:jc w:val="center"/>
              <w:rPr>
                <w:rFonts w:ascii="Times New Roman" w:eastAsia="Times New Roman" w:hAnsi="Times New Roman" w:cs="Times New Roman"/>
                <w:noProof/>
                <w:color w:val="006100"/>
                <w:lang w:val="en-GB"/>
              </w:rPr>
            </w:pPr>
            <w:r w:rsidRPr="001961AA">
              <w:rPr>
                <w:rStyle w:val="normaltextrun"/>
                <w:rFonts w:ascii="Times New Roman" w:hAnsi="Times New Roman"/>
                <w:noProof/>
                <w:color w:val="006100"/>
                <w:lang w:val="en-GB"/>
              </w:rPr>
              <w:t>2026</w:t>
            </w:r>
          </w:p>
        </w:tc>
        <w:tc>
          <w:tcPr>
            <w:tcW w:w="4932" w:type="dxa"/>
            <w:shd w:val="clear" w:color="auto" w:fill="C6EFCE"/>
            <w:noWrap/>
            <w:vAlign w:val="center"/>
          </w:tcPr>
          <w:p w14:paraId="0F768F5A" w14:textId="255A015C" w:rsidR="006A41D9" w:rsidRPr="001961AA" w:rsidRDefault="006A41D9" w:rsidP="00BD6DD1">
            <w:pPr>
              <w:spacing w:after="0" w:line="240" w:lineRule="auto"/>
              <w:rPr>
                <w:rFonts w:ascii="Times New Roman" w:eastAsia="Times New Roman" w:hAnsi="Times New Roman" w:cs="Times New Roman"/>
                <w:noProof/>
                <w:color w:val="006100"/>
                <w:lang w:val="en-GB"/>
              </w:rPr>
            </w:pPr>
            <w:r w:rsidRPr="001961AA">
              <w:rPr>
                <w:rStyle w:val="normaltextrun"/>
                <w:rFonts w:ascii="Times New Roman" w:hAnsi="Times New Roman"/>
                <w:noProof/>
                <w:color w:val="006100"/>
                <w:lang w:val="en-GB"/>
              </w:rPr>
              <w:t>Electrification of 13 km of rail (in both directions) in line 11 completed.</w:t>
            </w:r>
          </w:p>
        </w:tc>
      </w:tr>
    </w:tbl>
    <w:p w14:paraId="362620B7" w14:textId="77777777" w:rsidR="006A41D9" w:rsidRPr="001961AA" w:rsidRDefault="006A41D9" w:rsidP="00BD6DD1">
      <w:pPr>
        <w:rPr>
          <w:rFonts w:ascii="Times New Roman" w:eastAsia="Yu Gothic Light" w:hAnsi="Times New Roman" w:cs="Times New Roman"/>
          <w:b/>
          <w:noProof/>
          <w:sz w:val="24"/>
          <w:szCs w:val="24"/>
          <w:lang w:val="en-GB"/>
        </w:rPr>
      </w:pPr>
    </w:p>
    <w:p w14:paraId="798BAD8A" w14:textId="01443425" w:rsidR="006A41D9" w:rsidRPr="001961AA" w:rsidDel="00CF3BB7" w:rsidRDefault="006A41D9" w:rsidP="00BD6DD1">
      <w:pPr>
        <w:pStyle w:val="Text1"/>
        <w:ind w:left="0"/>
        <w:rPr>
          <w:noProof/>
          <w:lang w:val="en-GB"/>
        </w:rPr>
        <w:sectPr w:rsidR="006A41D9" w:rsidRPr="001961AA" w:rsidDel="00CF3BB7" w:rsidSect="007F56C3">
          <w:headerReference w:type="even" r:id="rId312"/>
          <w:headerReference w:type="default" r:id="rId313"/>
          <w:footerReference w:type="even" r:id="rId314"/>
          <w:footerReference w:type="default" r:id="rId315"/>
          <w:headerReference w:type="first" r:id="rId316"/>
          <w:footerReference w:type="first" r:id="rId317"/>
          <w:pgSz w:w="16839" w:h="11907" w:orient="landscape"/>
          <w:pgMar w:top="1134" w:right="1134" w:bottom="1134" w:left="1134" w:header="567" w:footer="567" w:gutter="0"/>
          <w:cols w:space="720"/>
          <w:docGrid w:linePitch="360"/>
        </w:sectPr>
      </w:pPr>
    </w:p>
    <w:p w14:paraId="2A295511" w14:textId="1940B90A" w:rsidR="006A41D9" w:rsidRPr="001961AA" w:rsidRDefault="006A41D9" w:rsidP="00BD6DD1">
      <w:pPr>
        <w:pStyle w:val="Text1"/>
        <w:ind w:left="0"/>
        <w:rPr>
          <w:noProof/>
          <w:lang w:val="en-GB"/>
        </w:rPr>
      </w:pPr>
    </w:p>
    <w:p w14:paraId="5EC3B7F8" w14:textId="300FA281" w:rsidR="00275C49" w:rsidRPr="001961AA" w:rsidRDefault="00E809EC" w:rsidP="00275C49">
      <w:pPr>
        <w:pStyle w:val="ManualHeading1"/>
        <w:spacing w:before="120"/>
        <w:ind w:left="0" w:hanging="130"/>
        <w:rPr>
          <w:smallCaps w:val="0"/>
          <w:noProof/>
          <w:lang w:val="en-GB"/>
        </w:rPr>
      </w:pPr>
      <w:r w:rsidRPr="001961AA">
        <w:rPr>
          <w:noProof/>
          <w:lang w:val="en-GB"/>
        </w:rPr>
        <w:t xml:space="preserve">V. </w:t>
      </w:r>
      <w:r w:rsidRPr="001961AA">
        <w:rPr>
          <w:caps/>
          <w:smallCaps w:val="0"/>
          <w:noProof/>
          <w:lang w:val="en-GB"/>
        </w:rPr>
        <w:t>AUDIT AND CONTROL</w:t>
      </w:r>
    </w:p>
    <w:p w14:paraId="3602E3A5" w14:textId="77777777" w:rsidR="00F0144A" w:rsidRPr="001961AA" w:rsidRDefault="00F0144A" w:rsidP="00275C49">
      <w:pPr>
        <w:pStyle w:val="Text1"/>
        <w:ind w:left="0"/>
        <w:rPr>
          <w:b/>
          <w:bCs/>
          <w:noProof/>
          <w:lang w:val="en-GB"/>
        </w:rPr>
      </w:pPr>
    </w:p>
    <w:p w14:paraId="15759C15" w14:textId="30A75C13" w:rsidR="00275C49" w:rsidRPr="001961AA" w:rsidRDefault="00F0144A" w:rsidP="00275C49">
      <w:pPr>
        <w:pStyle w:val="Text1"/>
        <w:ind w:left="0"/>
        <w:rPr>
          <w:b/>
          <w:bCs/>
          <w:noProof/>
          <w:u w:val="single"/>
          <w:lang w:val="en-GB"/>
        </w:rPr>
      </w:pPr>
      <w:r w:rsidRPr="001961AA">
        <w:rPr>
          <w:b/>
          <w:noProof/>
          <w:u w:val="single"/>
          <w:lang w:val="en-GB"/>
        </w:rPr>
        <w:t xml:space="preserve">V.1. </w:t>
      </w:r>
      <w:r w:rsidRPr="001961AA">
        <w:rPr>
          <w:noProof/>
          <w:lang w:val="en-GB"/>
        </w:rPr>
        <w:tab/>
      </w:r>
      <w:r w:rsidRPr="001961AA">
        <w:rPr>
          <w:b/>
          <w:noProof/>
          <w:u w:val="single"/>
          <w:lang w:val="en-GB"/>
        </w:rPr>
        <w:t>Description of the reforms and investments for non-repayable financial support</w:t>
      </w:r>
    </w:p>
    <w:p w14:paraId="5BF1A1A7" w14:textId="6BCD90AD" w:rsidR="00275C49" w:rsidRPr="001961AA" w:rsidRDefault="00275C49" w:rsidP="00275C49">
      <w:pPr>
        <w:pStyle w:val="Text1"/>
        <w:ind w:left="0"/>
        <w:rPr>
          <w:noProof/>
          <w:lang w:val="en-GB"/>
        </w:rPr>
      </w:pPr>
      <w:r w:rsidRPr="001961AA">
        <w:rPr>
          <w:noProof/>
          <w:lang w:val="en-GB"/>
        </w:rPr>
        <w:t>A repository system for recording and storing all relevant data related to the implementation of the recovery and resilience plan - the achievement of milestones and targets, data on final recipient, contractors, subcontractors and beneficial owners - shall be operational before the first payment request is submitted. Belgium shall submit a dedicated audit report before the first payment request confirming the effectiveness of the functionalities of the repository system.</w:t>
      </w:r>
    </w:p>
    <w:p w14:paraId="5FD35D35" w14:textId="562FCCB3" w:rsidR="00275C49" w:rsidRPr="001961AA" w:rsidRDefault="00275C49" w:rsidP="00275C49">
      <w:pPr>
        <w:pStyle w:val="Text1"/>
        <w:ind w:left="0"/>
        <w:rPr>
          <w:noProof/>
          <w:lang w:val="en-GB"/>
        </w:rPr>
      </w:pPr>
      <w:r w:rsidRPr="001961AA">
        <w:rPr>
          <w:noProof/>
          <w:lang w:val="en-GB"/>
        </w:rPr>
        <w:t>In addition, as well before making the first payment request under the Recovery and Resilience Facility, Belgium will ensure that the implementation of adequate coordination arrangements, including cross-checks, shall be put in place at the level of the coordinating body at inter-federal level allowing to avoid double funding from the Facility and other Union programmes in accordance with the principle of sound financial management.</w:t>
      </w:r>
    </w:p>
    <w:p w14:paraId="35291914" w14:textId="05AF5190" w:rsidR="00F42859" w:rsidRPr="001961AA" w:rsidRDefault="00F42859" w:rsidP="00F42859">
      <w:pPr>
        <w:pStyle w:val="Text1"/>
        <w:ind w:left="0"/>
        <w:rPr>
          <w:noProof/>
          <w:lang w:val="en-GB"/>
        </w:rPr>
      </w:pPr>
      <w:r w:rsidRPr="001961AA">
        <w:rPr>
          <w:noProof/>
          <w:lang w:val="en-GB"/>
        </w:rPr>
        <w:t>In order to ensure robust internal control systems adequate to Belgium's specific setup, the coordinating bodies, in collaboration with the implementing bodies if necessary, shall adapt their manual of procedures describing the management and control system and issue instructions to the implementing bodies. The manuals/documents shall include procedures in relation to obtaining assurance for the signature of the management declarations accompanying the payment request submitted to the Commission.</w:t>
      </w:r>
    </w:p>
    <w:p w14:paraId="04B3ED0F" w14:textId="5A44E16F" w:rsidR="00F42859" w:rsidRPr="001961AA" w:rsidRDefault="00F42859" w:rsidP="00F42859">
      <w:pPr>
        <w:pStyle w:val="Text1"/>
        <w:ind w:left="0"/>
        <w:rPr>
          <w:noProof/>
          <w:lang w:val="en-GB"/>
        </w:rPr>
      </w:pPr>
      <w:r w:rsidRPr="001961AA">
        <w:rPr>
          <w:noProof/>
          <w:lang w:val="en-GB"/>
        </w:rPr>
        <w:t>In addition, where the Inspectorate of Finance has been tasked with responsibility for such controls, the coordinating bodies shall adopt and send a communication to the Inspectorate of Finance concerning the ex-ante verification of compliance with Union and national law and the protection of financial interest of the Union to be carried out in line with Regulation (EU) 2021/241.</w:t>
      </w:r>
    </w:p>
    <w:p w14:paraId="059A154B" w14:textId="6E899A6F" w:rsidR="00F42859" w:rsidRPr="001961AA" w:rsidRDefault="00F42859" w:rsidP="00F42859">
      <w:pPr>
        <w:pStyle w:val="Text1"/>
        <w:ind w:left="0"/>
        <w:rPr>
          <w:noProof/>
          <w:lang w:val="en-GB"/>
        </w:rPr>
      </w:pPr>
      <w:r w:rsidRPr="001961AA">
        <w:rPr>
          <w:noProof/>
          <w:lang w:val="en-GB"/>
        </w:rPr>
        <w:t>Finally, the coordinating bodies shall issue instructions to all implementing bodies regarding the ex-ante verification of the risk of conflict of interest in the implementation of RRF measures before the signature of contracts or award of grants. This shall include mandatory declarations of absence of conflict of interest by the persons involved at all stages of the selection procedures for both calls for tenders and calls for projects, and, on a risk basis, the use of an appropriate risk assessment tool to carry out the conflict of interest checks set out in the instructions.</w:t>
      </w:r>
    </w:p>
    <w:p w14:paraId="28E391C9" w14:textId="77777777" w:rsidR="004440D4" w:rsidRPr="001961AA" w:rsidRDefault="4AA04BC0" w:rsidP="004440D4">
      <w:pPr>
        <w:pStyle w:val="Text1"/>
        <w:ind w:left="0"/>
        <w:rPr>
          <w:rFonts w:eastAsia="Calibri"/>
          <w:noProof/>
          <w:lang w:val="en-GB"/>
        </w:rPr>
      </w:pPr>
      <w:r w:rsidRPr="001961AA">
        <w:rPr>
          <w:noProof/>
          <w:lang w:val="en-GB"/>
        </w:rPr>
        <w:t>The milestones 250 and 251 under this measure shall be fulfilled by the time of submission of the next payment request to the Commission following the adoption of this Implementing Decision and shall be a prerequisite for any future payment.</w:t>
      </w:r>
    </w:p>
    <w:p w14:paraId="7C82D65E" w14:textId="77777777" w:rsidR="004440D4" w:rsidRPr="001961AA" w:rsidDel="00275329" w:rsidRDefault="004440D4" w:rsidP="004440D4">
      <w:pPr>
        <w:pStyle w:val="Text1"/>
        <w:ind w:left="0"/>
        <w:rPr>
          <w:b/>
          <w:bCs/>
          <w:noProof/>
          <w:u w:val="single"/>
          <w:lang w:val="en-GB"/>
        </w:rPr>
      </w:pPr>
      <w:r w:rsidRPr="001961AA">
        <w:rPr>
          <w:b/>
          <w:noProof/>
          <w:lang w:val="en-GB"/>
        </w:rPr>
        <w:t>V</w:t>
      </w:r>
      <w:r w:rsidRPr="001961AA">
        <w:rPr>
          <w:b/>
          <w:noProof/>
          <w:u w:val="single"/>
          <w:lang w:val="en-GB"/>
        </w:rPr>
        <w:t xml:space="preserve">.2. </w:t>
      </w:r>
      <w:r w:rsidRPr="001961AA">
        <w:rPr>
          <w:noProof/>
          <w:lang w:val="en-GB"/>
        </w:rPr>
        <w:tab/>
      </w:r>
      <w:r w:rsidRPr="001961AA">
        <w:rPr>
          <w:b/>
          <w:noProof/>
          <w:u w:val="single"/>
          <w:lang w:val="en-GB"/>
        </w:rPr>
        <w:t>Milestones, targets, indicators, and timetable for monitoring and implementation for non-repayable financial support</w:t>
      </w:r>
    </w:p>
    <w:p w14:paraId="6C430B4B" w14:textId="77777777" w:rsidR="004440D4" w:rsidRPr="001961AA" w:rsidRDefault="004440D4" w:rsidP="004440D4">
      <w:pPr>
        <w:pStyle w:val="Text1"/>
        <w:ind w:left="0"/>
        <w:rPr>
          <w:rFonts w:eastAsia="Calibri"/>
          <w:noProof/>
          <w:lang w:val="en-GB"/>
        </w:rPr>
      </w:pPr>
    </w:p>
    <w:p w14:paraId="41553298" w14:textId="77777777" w:rsidR="004440D4" w:rsidRPr="001961AA" w:rsidRDefault="004440D4" w:rsidP="004440D4">
      <w:pPr>
        <w:pStyle w:val="Text1"/>
        <w:ind w:left="0"/>
        <w:rPr>
          <w:rFonts w:eastAsia="Calibri"/>
          <w:noProof/>
          <w:lang w:val="en-GB"/>
        </w:rPr>
      </w:pPr>
    </w:p>
    <w:p w14:paraId="3B77F2CE" w14:textId="1859437E" w:rsidR="004440D4" w:rsidRPr="001961AA" w:rsidRDefault="004440D4" w:rsidP="004440D4">
      <w:pPr>
        <w:pStyle w:val="Text1"/>
        <w:ind w:left="0"/>
        <w:rPr>
          <w:rFonts w:eastAsia="Calibri"/>
          <w:noProof/>
          <w:lang w:val="en-GB"/>
        </w:rPr>
        <w:sectPr w:rsidR="004440D4" w:rsidRPr="001961AA">
          <w:headerReference w:type="even" r:id="rId318"/>
          <w:headerReference w:type="default" r:id="rId319"/>
          <w:footerReference w:type="even" r:id="rId320"/>
          <w:footerReference w:type="default" r:id="rId321"/>
          <w:headerReference w:type="first" r:id="rId322"/>
          <w:footerReference w:type="first" r:id="rId323"/>
          <w:pgSz w:w="11907" w:h="16839"/>
          <w:pgMar w:top="1134" w:right="1134" w:bottom="1134" w:left="1134" w:header="567" w:footer="567" w:gutter="0"/>
          <w:cols w:space="720"/>
          <w:docGrid w:linePitch="360"/>
        </w:sectPr>
      </w:pPr>
    </w:p>
    <w:tbl>
      <w:tblPr>
        <w:tblpPr w:leftFromText="141" w:rightFromText="141" w:vertAnchor="text" w:horzAnchor="margin" w:tblpXSpec="center" w:tblpY="293"/>
        <w:tblW w:w="15559" w:type="dxa"/>
        <w:shd w:val="clear" w:color="auto" w:fill="C6EFCE"/>
        <w:tblLayout w:type="fixed"/>
        <w:tblLook w:val="04A0" w:firstRow="1" w:lastRow="0" w:firstColumn="1" w:lastColumn="0" w:noHBand="0" w:noVBand="1"/>
      </w:tblPr>
      <w:tblGrid>
        <w:gridCol w:w="704"/>
        <w:gridCol w:w="1691"/>
        <w:gridCol w:w="435"/>
        <w:gridCol w:w="1701"/>
        <w:gridCol w:w="2184"/>
        <w:gridCol w:w="1080"/>
        <w:gridCol w:w="1080"/>
        <w:gridCol w:w="840"/>
        <w:gridCol w:w="1080"/>
        <w:gridCol w:w="1080"/>
        <w:gridCol w:w="3684"/>
      </w:tblGrid>
      <w:tr w:rsidR="00825B54" w:rsidRPr="001961AA" w14:paraId="15A2CF49" w14:textId="77777777" w:rsidTr="009E3581">
        <w:trPr>
          <w:trHeight w:val="927"/>
          <w:tblHeader/>
        </w:trPr>
        <w:tc>
          <w:tcPr>
            <w:tcW w:w="704" w:type="dxa"/>
            <w:vMerge w:val="restart"/>
            <w:tcBorders>
              <w:top w:val="single" w:sz="4" w:space="0" w:color="auto"/>
              <w:left w:val="single" w:sz="4" w:space="0" w:color="auto"/>
              <w:right w:val="single" w:sz="4" w:space="0" w:color="auto"/>
            </w:tcBorders>
            <w:shd w:val="clear" w:color="auto" w:fill="BDD7EE"/>
            <w:vAlign w:val="center"/>
            <w:hideMark/>
          </w:tcPr>
          <w:p w14:paraId="452C8D24" w14:textId="27D48710" w:rsidR="00275C49" w:rsidRPr="001961AA" w:rsidRDefault="00275C49">
            <w:pPr>
              <w:spacing w:after="0"/>
              <w:jc w:val="center"/>
              <w:rPr>
                <w:rFonts w:ascii="Times New Roman" w:eastAsia="Times New Roman" w:hAnsi="Times New Roman" w:cs="Times New Roman"/>
                <w:b/>
                <w:noProof/>
                <w:lang w:val="en-GB"/>
              </w:rPr>
            </w:pPr>
            <w:r w:rsidRPr="001961AA">
              <w:rPr>
                <w:rFonts w:ascii="Times New Roman" w:hAnsi="Times New Roman"/>
                <w:b/>
                <w:noProof/>
                <w:lang w:val="en-GB"/>
              </w:rPr>
              <w:t>Seq Nb.</w:t>
            </w:r>
          </w:p>
        </w:tc>
        <w:tc>
          <w:tcPr>
            <w:tcW w:w="1691" w:type="dxa"/>
            <w:vMerge w:val="restart"/>
            <w:tcBorders>
              <w:top w:val="single" w:sz="4" w:space="0" w:color="auto"/>
              <w:left w:val="single" w:sz="4" w:space="0" w:color="auto"/>
              <w:right w:val="single" w:sz="4" w:space="0" w:color="auto"/>
            </w:tcBorders>
            <w:shd w:val="clear" w:color="auto" w:fill="BDD7EE"/>
            <w:vAlign w:val="center"/>
            <w:hideMark/>
          </w:tcPr>
          <w:p w14:paraId="592F6615" w14:textId="77777777" w:rsidR="00275C49" w:rsidRPr="001961AA" w:rsidRDefault="00275C49">
            <w:pPr>
              <w:spacing w:after="0"/>
              <w:jc w:val="center"/>
              <w:rPr>
                <w:rFonts w:ascii="Times New Roman" w:eastAsia="Times New Roman" w:hAnsi="Times New Roman" w:cs="Times New Roman"/>
                <w:b/>
                <w:noProof/>
                <w:lang w:val="en-GB"/>
              </w:rPr>
            </w:pPr>
            <w:r w:rsidRPr="001961AA">
              <w:rPr>
                <w:rFonts w:ascii="Times New Roman" w:hAnsi="Times New Roman"/>
                <w:b/>
                <w:noProof/>
                <w:lang w:val="en-GB"/>
              </w:rPr>
              <w:t>Related Measure (Reform or Investment)</w:t>
            </w:r>
          </w:p>
        </w:tc>
        <w:tc>
          <w:tcPr>
            <w:tcW w:w="435" w:type="dxa"/>
            <w:vMerge w:val="restart"/>
            <w:tcBorders>
              <w:top w:val="single" w:sz="4" w:space="0" w:color="auto"/>
              <w:left w:val="single" w:sz="4" w:space="0" w:color="auto"/>
              <w:right w:val="single" w:sz="4" w:space="0" w:color="auto"/>
            </w:tcBorders>
            <w:shd w:val="clear" w:color="auto" w:fill="BDD7EE"/>
            <w:vAlign w:val="center"/>
            <w:hideMark/>
          </w:tcPr>
          <w:p w14:paraId="0A6C22D3" w14:textId="05E4B016" w:rsidR="00275C49" w:rsidRPr="001961AA" w:rsidRDefault="009E3581">
            <w:pPr>
              <w:spacing w:after="0"/>
              <w:jc w:val="center"/>
              <w:rPr>
                <w:rFonts w:ascii="Times New Roman" w:eastAsia="Times New Roman" w:hAnsi="Times New Roman" w:cs="Times New Roman"/>
                <w:b/>
                <w:noProof/>
                <w:lang w:val="en-GB"/>
              </w:rPr>
            </w:pPr>
            <w:r w:rsidRPr="001961AA">
              <w:rPr>
                <w:rFonts w:ascii="Times New Roman" w:hAnsi="Times New Roman"/>
                <w:b/>
                <w:noProof/>
                <w:lang w:val="en-GB"/>
              </w:rPr>
              <w:t>M/T</w:t>
            </w:r>
          </w:p>
        </w:tc>
        <w:tc>
          <w:tcPr>
            <w:tcW w:w="1701" w:type="dxa"/>
            <w:vMerge w:val="restart"/>
            <w:tcBorders>
              <w:top w:val="single" w:sz="4" w:space="0" w:color="auto"/>
              <w:left w:val="nil"/>
              <w:right w:val="single" w:sz="4" w:space="0" w:color="auto"/>
            </w:tcBorders>
            <w:shd w:val="clear" w:color="auto" w:fill="BDD7EE"/>
            <w:vAlign w:val="center"/>
            <w:hideMark/>
          </w:tcPr>
          <w:p w14:paraId="7180C168" w14:textId="77777777" w:rsidR="00275C49" w:rsidRPr="001961AA" w:rsidRDefault="00275C49">
            <w:pPr>
              <w:spacing w:after="0"/>
              <w:jc w:val="center"/>
              <w:rPr>
                <w:rFonts w:ascii="Times New Roman" w:eastAsia="Times New Roman" w:hAnsi="Times New Roman" w:cs="Times New Roman"/>
                <w:b/>
                <w:noProof/>
                <w:lang w:val="en-GB"/>
              </w:rPr>
            </w:pPr>
            <w:r w:rsidRPr="001961AA">
              <w:rPr>
                <w:rFonts w:ascii="Times New Roman" w:hAnsi="Times New Roman"/>
                <w:b/>
                <w:noProof/>
                <w:lang w:val="en-GB"/>
              </w:rPr>
              <w:t>Name</w:t>
            </w:r>
          </w:p>
        </w:tc>
        <w:tc>
          <w:tcPr>
            <w:tcW w:w="2184" w:type="dxa"/>
            <w:vMerge w:val="restart"/>
            <w:tcBorders>
              <w:top w:val="single" w:sz="4" w:space="0" w:color="auto"/>
              <w:left w:val="single" w:sz="4" w:space="0" w:color="auto"/>
              <w:right w:val="single" w:sz="4" w:space="0" w:color="auto"/>
            </w:tcBorders>
            <w:shd w:val="clear" w:color="auto" w:fill="BDD7EE"/>
            <w:vAlign w:val="center"/>
            <w:hideMark/>
          </w:tcPr>
          <w:p w14:paraId="73889AEE" w14:textId="77777777" w:rsidR="00275C49" w:rsidRPr="001961AA" w:rsidRDefault="00275C49">
            <w:pPr>
              <w:spacing w:after="0"/>
              <w:jc w:val="center"/>
              <w:rPr>
                <w:rFonts w:ascii="Times New Roman" w:eastAsia="Times New Roman" w:hAnsi="Times New Roman" w:cs="Times New Roman"/>
                <w:b/>
                <w:noProof/>
                <w:lang w:val="en-GB"/>
              </w:rPr>
            </w:pPr>
            <w:r w:rsidRPr="001961AA">
              <w:rPr>
                <w:rFonts w:ascii="Times New Roman" w:hAnsi="Times New Roman"/>
                <w:b/>
                <w:noProof/>
                <w:lang w:val="en-GB"/>
              </w:rPr>
              <w:t xml:space="preserve">Qualitative indicators </w:t>
            </w:r>
            <w:r w:rsidRPr="001961AA">
              <w:rPr>
                <w:noProof/>
                <w:lang w:val="en-GB"/>
              </w:rPr>
              <w:t xml:space="preserve"> </w:t>
            </w:r>
            <w:r w:rsidRPr="001961AA">
              <w:rPr>
                <w:noProof/>
                <w:lang w:val="en-GB"/>
              </w:rPr>
              <w:br/>
            </w:r>
            <w:r w:rsidRPr="001961AA">
              <w:rPr>
                <w:rFonts w:ascii="Times New Roman" w:hAnsi="Times New Roman"/>
                <w:b/>
                <w:noProof/>
                <w:lang w:val="en-GB"/>
              </w:rPr>
              <w:t>(for milestones)</w:t>
            </w:r>
          </w:p>
        </w:tc>
        <w:tc>
          <w:tcPr>
            <w:tcW w:w="3000" w:type="dxa"/>
            <w:gridSpan w:val="3"/>
            <w:tcBorders>
              <w:top w:val="single" w:sz="4" w:space="0" w:color="auto"/>
              <w:left w:val="nil"/>
              <w:bottom w:val="single" w:sz="4" w:space="0" w:color="auto"/>
              <w:right w:val="single" w:sz="4" w:space="0" w:color="auto"/>
            </w:tcBorders>
            <w:shd w:val="clear" w:color="auto" w:fill="BDD7EE"/>
            <w:vAlign w:val="center"/>
            <w:hideMark/>
          </w:tcPr>
          <w:p w14:paraId="5AAC88E2" w14:textId="77777777" w:rsidR="00275C49" w:rsidRPr="001961AA" w:rsidRDefault="00275C49">
            <w:pPr>
              <w:spacing w:after="0"/>
              <w:jc w:val="center"/>
              <w:rPr>
                <w:rFonts w:ascii="Times New Roman" w:eastAsia="Times New Roman" w:hAnsi="Times New Roman" w:cs="Times New Roman"/>
                <w:b/>
                <w:noProof/>
                <w:lang w:val="en-GB"/>
              </w:rPr>
            </w:pPr>
            <w:r w:rsidRPr="001961AA">
              <w:rPr>
                <w:rFonts w:ascii="Times New Roman" w:hAnsi="Times New Roman"/>
                <w:b/>
                <w:noProof/>
                <w:lang w:val="en-GB"/>
              </w:rPr>
              <w:t xml:space="preserve">Quantitative indicators </w:t>
            </w:r>
            <w:r w:rsidRPr="001961AA">
              <w:rPr>
                <w:noProof/>
                <w:lang w:val="en-GB"/>
              </w:rPr>
              <w:t xml:space="preserve"> </w:t>
            </w:r>
            <w:r w:rsidRPr="001961AA">
              <w:rPr>
                <w:noProof/>
                <w:lang w:val="en-GB"/>
              </w:rPr>
              <w:br/>
            </w:r>
            <w:r w:rsidRPr="001961AA">
              <w:rPr>
                <w:rFonts w:ascii="Times New Roman" w:hAnsi="Times New Roman"/>
                <w:b/>
                <w:noProof/>
                <w:lang w:val="en-GB"/>
              </w:rPr>
              <w:t>(for targets)</w:t>
            </w:r>
          </w:p>
        </w:tc>
        <w:tc>
          <w:tcPr>
            <w:tcW w:w="2160" w:type="dxa"/>
            <w:gridSpan w:val="2"/>
            <w:tcBorders>
              <w:top w:val="single" w:sz="4" w:space="0" w:color="auto"/>
              <w:left w:val="nil"/>
              <w:bottom w:val="single" w:sz="4" w:space="0" w:color="auto"/>
              <w:right w:val="single" w:sz="4" w:space="0" w:color="auto"/>
            </w:tcBorders>
            <w:shd w:val="clear" w:color="auto" w:fill="BDD7EE"/>
            <w:vAlign w:val="center"/>
            <w:hideMark/>
          </w:tcPr>
          <w:p w14:paraId="280C19A6" w14:textId="77777777" w:rsidR="00275C49" w:rsidRPr="001961AA" w:rsidRDefault="00275C49">
            <w:pPr>
              <w:spacing w:after="0"/>
              <w:jc w:val="center"/>
              <w:rPr>
                <w:rFonts w:ascii="Times New Roman" w:eastAsia="Times New Roman" w:hAnsi="Times New Roman" w:cs="Times New Roman"/>
                <w:b/>
                <w:noProof/>
                <w:lang w:val="en-GB"/>
              </w:rPr>
            </w:pPr>
            <w:r w:rsidRPr="001961AA">
              <w:rPr>
                <w:rFonts w:ascii="Times New Roman" w:hAnsi="Times New Roman"/>
                <w:b/>
                <w:noProof/>
                <w:lang w:val="en-GB"/>
              </w:rPr>
              <w:t xml:space="preserve">Indicative timeline for completion </w:t>
            </w:r>
          </w:p>
        </w:tc>
        <w:tc>
          <w:tcPr>
            <w:tcW w:w="3684" w:type="dxa"/>
            <w:vMerge w:val="restart"/>
            <w:tcBorders>
              <w:top w:val="single" w:sz="4" w:space="0" w:color="auto"/>
              <w:left w:val="single" w:sz="4" w:space="0" w:color="auto"/>
              <w:right w:val="single" w:sz="4" w:space="0" w:color="auto"/>
            </w:tcBorders>
            <w:shd w:val="clear" w:color="auto" w:fill="BDD7EE"/>
            <w:vAlign w:val="center"/>
            <w:hideMark/>
          </w:tcPr>
          <w:p w14:paraId="7340BD15" w14:textId="77777777" w:rsidR="00275C49" w:rsidRPr="001961AA" w:rsidRDefault="00275C49">
            <w:pPr>
              <w:spacing w:after="0"/>
              <w:jc w:val="center"/>
              <w:rPr>
                <w:rFonts w:ascii="Times New Roman" w:eastAsia="Times New Roman" w:hAnsi="Times New Roman" w:cs="Times New Roman"/>
                <w:b/>
                <w:noProof/>
                <w:lang w:val="en-GB"/>
              </w:rPr>
            </w:pPr>
            <w:r w:rsidRPr="001961AA">
              <w:rPr>
                <w:rFonts w:ascii="Times New Roman" w:hAnsi="Times New Roman"/>
                <w:b/>
                <w:noProof/>
                <w:lang w:val="en-GB"/>
              </w:rPr>
              <w:t>Description of each milestone and target</w:t>
            </w:r>
          </w:p>
        </w:tc>
      </w:tr>
      <w:tr w:rsidR="0091520C" w:rsidRPr="001961AA" w14:paraId="74A49CD7" w14:textId="77777777" w:rsidTr="009E3581">
        <w:trPr>
          <w:trHeight w:val="1013"/>
        </w:trPr>
        <w:tc>
          <w:tcPr>
            <w:tcW w:w="704" w:type="dxa"/>
            <w:vMerge/>
            <w:tcBorders>
              <w:left w:val="single" w:sz="4" w:space="0" w:color="auto"/>
              <w:bottom w:val="single" w:sz="4" w:space="0" w:color="auto"/>
              <w:right w:val="single" w:sz="4" w:space="0" w:color="auto"/>
            </w:tcBorders>
            <w:shd w:val="clear" w:color="auto" w:fill="C6EFCE"/>
            <w:vAlign w:val="center"/>
            <w:hideMark/>
          </w:tcPr>
          <w:p w14:paraId="21F6D25A" w14:textId="77777777" w:rsidR="00275C49" w:rsidRPr="001961AA" w:rsidRDefault="00275C49">
            <w:pPr>
              <w:spacing w:after="0"/>
              <w:rPr>
                <w:rFonts w:ascii="Times New Roman" w:eastAsia="Times New Roman" w:hAnsi="Times New Roman" w:cs="Times New Roman"/>
                <w:b/>
                <w:noProof/>
                <w:lang w:val="en-GB" w:eastAsia="en-GB"/>
              </w:rPr>
            </w:pPr>
          </w:p>
        </w:tc>
        <w:tc>
          <w:tcPr>
            <w:tcW w:w="1691" w:type="dxa"/>
            <w:vMerge/>
            <w:tcBorders>
              <w:left w:val="single" w:sz="4" w:space="0" w:color="auto"/>
              <w:bottom w:val="single" w:sz="4" w:space="0" w:color="auto"/>
              <w:right w:val="single" w:sz="4" w:space="0" w:color="auto"/>
            </w:tcBorders>
            <w:shd w:val="clear" w:color="auto" w:fill="C6EFCE"/>
            <w:vAlign w:val="center"/>
            <w:hideMark/>
          </w:tcPr>
          <w:p w14:paraId="14F08E54" w14:textId="77777777" w:rsidR="00275C49" w:rsidRPr="001961AA" w:rsidRDefault="00275C49">
            <w:pPr>
              <w:spacing w:after="0"/>
              <w:rPr>
                <w:rFonts w:ascii="Times New Roman" w:eastAsia="Times New Roman" w:hAnsi="Times New Roman" w:cs="Times New Roman"/>
                <w:b/>
                <w:noProof/>
                <w:lang w:val="en-GB" w:eastAsia="en-GB"/>
              </w:rPr>
            </w:pPr>
          </w:p>
        </w:tc>
        <w:tc>
          <w:tcPr>
            <w:tcW w:w="435" w:type="dxa"/>
            <w:vMerge/>
            <w:tcBorders>
              <w:left w:val="single" w:sz="4" w:space="0" w:color="auto"/>
              <w:bottom w:val="single" w:sz="4" w:space="0" w:color="auto"/>
              <w:right w:val="single" w:sz="4" w:space="0" w:color="auto"/>
            </w:tcBorders>
            <w:shd w:val="clear" w:color="auto" w:fill="C6EFCE"/>
            <w:vAlign w:val="center"/>
            <w:hideMark/>
          </w:tcPr>
          <w:p w14:paraId="6B90F8DD" w14:textId="77777777" w:rsidR="00275C49" w:rsidRPr="001961AA" w:rsidRDefault="00275C49">
            <w:pPr>
              <w:spacing w:after="0"/>
              <w:rPr>
                <w:rFonts w:ascii="Times New Roman" w:eastAsia="Times New Roman" w:hAnsi="Times New Roman" w:cs="Times New Roman"/>
                <w:b/>
                <w:noProof/>
                <w:lang w:val="en-GB" w:eastAsia="en-GB"/>
              </w:rPr>
            </w:pPr>
          </w:p>
        </w:tc>
        <w:tc>
          <w:tcPr>
            <w:tcW w:w="1701" w:type="dxa"/>
            <w:vMerge/>
            <w:tcBorders>
              <w:left w:val="nil"/>
              <w:bottom w:val="single" w:sz="4" w:space="0" w:color="auto"/>
              <w:right w:val="single" w:sz="4" w:space="0" w:color="auto"/>
            </w:tcBorders>
            <w:shd w:val="clear" w:color="auto" w:fill="C6EFCE"/>
            <w:vAlign w:val="center"/>
            <w:hideMark/>
          </w:tcPr>
          <w:p w14:paraId="33A83A03" w14:textId="77777777" w:rsidR="00275C49" w:rsidRPr="001961AA" w:rsidRDefault="00275C49">
            <w:pPr>
              <w:spacing w:after="0"/>
              <w:rPr>
                <w:rFonts w:ascii="Times New Roman" w:eastAsia="Times New Roman" w:hAnsi="Times New Roman" w:cs="Times New Roman"/>
                <w:b/>
                <w:noProof/>
                <w:lang w:val="en-GB" w:eastAsia="en-GB"/>
              </w:rPr>
            </w:pPr>
          </w:p>
        </w:tc>
        <w:tc>
          <w:tcPr>
            <w:tcW w:w="2184" w:type="dxa"/>
            <w:vMerge/>
            <w:tcBorders>
              <w:left w:val="single" w:sz="4" w:space="0" w:color="auto"/>
              <w:bottom w:val="single" w:sz="4" w:space="0" w:color="auto"/>
              <w:right w:val="single" w:sz="4" w:space="0" w:color="auto"/>
            </w:tcBorders>
            <w:shd w:val="clear" w:color="auto" w:fill="C6EFCE"/>
            <w:vAlign w:val="center"/>
            <w:hideMark/>
          </w:tcPr>
          <w:p w14:paraId="57C64527" w14:textId="77777777" w:rsidR="00275C49" w:rsidRPr="001961AA" w:rsidRDefault="00275C49">
            <w:pPr>
              <w:spacing w:after="0"/>
              <w:rPr>
                <w:rFonts w:ascii="Times New Roman" w:eastAsia="Times New Roman" w:hAnsi="Times New Roman" w:cs="Times New Roman"/>
                <w:b/>
                <w:noProof/>
                <w:lang w:val="en-GB" w:eastAsia="en-GB"/>
              </w:rPr>
            </w:pPr>
          </w:p>
        </w:tc>
        <w:tc>
          <w:tcPr>
            <w:tcW w:w="1080" w:type="dxa"/>
            <w:tcBorders>
              <w:top w:val="single" w:sz="4" w:space="0" w:color="auto"/>
              <w:left w:val="nil"/>
              <w:bottom w:val="single" w:sz="4" w:space="0" w:color="auto"/>
              <w:right w:val="single" w:sz="4" w:space="0" w:color="auto"/>
            </w:tcBorders>
            <w:shd w:val="clear" w:color="auto" w:fill="BDD7EE"/>
            <w:vAlign w:val="center"/>
            <w:hideMark/>
          </w:tcPr>
          <w:p w14:paraId="6C57CE9E" w14:textId="77777777" w:rsidR="00275C49" w:rsidRPr="001961AA" w:rsidRDefault="00275C49">
            <w:pPr>
              <w:spacing w:after="0"/>
              <w:jc w:val="center"/>
              <w:rPr>
                <w:rFonts w:ascii="Times New Roman" w:eastAsia="Times New Roman" w:hAnsi="Times New Roman" w:cs="Times New Roman"/>
                <w:b/>
                <w:noProof/>
                <w:lang w:val="en-GB"/>
              </w:rPr>
            </w:pPr>
            <w:r w:rsidRPr="001961AA">
              <w:rPr>
                <w:rFonts w:ascii="Times New Roman" w:hAnsi="Times New Roman"/>
                <w:b/>
                <w:noProof/>
                <w:lang w:val="en-GB"/>
              </w:rPr>
              <w:t>Unit of measure</w:t>
            </w:r>
          </w:p>
        </w:tc>
        <w:tc>
          <w:tcPr>
            <w:tcW w:w="1080" w:type="dxa"/>
            <w:tcBorders>
              <w:top w:val="single" w:sz="4" w:space="0" w:color="auto"/>
              <w:left w:val="nil"/>
              <w:bottom w:val="single" w:sz="4" w:space="0" w:color="auto"/>
              <w:right w:val="single" w:sz="4" w:space="0" w:color="auto"/>
            </w:tcBorders>
            <w:shd w:val="clear" w:color="auto" w:fill="BDD7EE"/>
            <w:vAlign w:val="center"/>
            <w:hideMark/>
          </w:tcPr>
          <w:p w14:paraId="7F9E8159" w14:textId="77777777" w:rsidR="00275C49" w:rsidRPr="001961AA" w:rsidRDefault="00275C49">
            <w:pPr>
              <w:spacing w:after="0"/>
              <w:jc w:val="center"/>
              <w:rPr>
                <w:rFonts w:ascii="Times New Roman" w:eastAsia="Times New Roman" w:hAnsi="Times New Roman" w:cs="Times New Roman"/>
                <w:b/>
                <w:noProof/>
                <w:lang w:val="en-GB"/>
              </w:rPr>
            </w:pPr>
            <w:r w:rsidRPr="001961AA">
              <w:rPr>
                <w:rFonts w:ascii="Times New Roman" w:hAnsi="Times New Roman"/>
                <w:b/>
                <w:noProof/>
                <w:lang w:val="en-GB"/>
              </w:rPr>
              <w:t xml:space="preserve">Baseline </w:t>
            </w:r>
          </w:p>
        </w:tc>
        <w:tc>
          <w:tcPr>
            <w:tcW w:w="840" w:type="dxa"/>
            <w:tcBorders>
              <w:top w:val="single" w:sz="4" w:space="0" w:color="auto"/>
              <w:left w:val="nil"/>
              <w:bottom w:val="single" w:sz="4" w:space="0" w:color="auto"/>
              <w:right w:val="single" w:sz="4" w:space="0" w:color="auto"/>
            </w:tcBorders>
            <w:shd w:val="clear" w:color="auto" w:fill="BDD7EE"/>
            <w:vAlign w:val="center"/>
            <w:hideMark/>
          </w:tcPr>
          <w:p w14:paraId="7ED54091" w14:textId="77777777" w:rsidR="00275C49" w:rsidRPr="001961AA" w:rsidRDefault="00275C49">
            <w:pPr>
              <w:spacing w:after="0"/>
              <w:jc w:val="center"/>
              <w:rPr>
                <w:rFonts w:ascii="Times New Roman" w:eastAsia="Times New Roman" w:hAnsi="Times New Roman" w:cs="Times New Roman"/>
                <w:b/>
                <w:noProof/>
                <w:lang w:val="en-GB"/>
              </w:rPr>
            </w:pPr>
            <w:r w:rsidRPr="001961AA">
              <w:rPr>
                <w:rFonts w:ascii="Times New Roman" w:hAnsi="Times New Roman"/>
                <w:b/>
                <w:noProof/>
                <w:lang w:val="en-GB"/>
              </w:rPr>
              <w:t xml:space="preserve">Goal </w:t>
            </w:r>
          </w:p>
        </w:tc>
        <w:tc>
          <w:tcPr>
            <w:tcW w:w="1080" w:type="dxa"/>
            <w:tcBorders>
              <w:top w:val="single" w:sz="4" w:space="0" w:color="auto"/>
              <w:left w:val="nil"/>
              <w:bottom w:val="single" w:sz="4" w:space="0" w:color="auto"/>
              <w:right w:val="single" w:sz="4" w:space="0" w:color="auto"/>
            </w:tcBorders>
            <w:shd w:val="clear" w:color="auto" w:fill="BDD7EE"/>
            <w:vAlign w:val="center"/>
            <w:hideMark/>
          </w:tcPr>
          <w:p w14:paraId="561B0A03" w14:textId="77777777" w:rsidR="00275C49" w:rsidRPr="001961AA" w:rsidRDefault="00275C49">
            <w:pPr>
              <w:spacing w:after="0"/>
              <w:jc w:val="center"/>
              <w:rPr>
                <w:rFonts w:ascii="Times New Roman" w:eastAsia="Times New Roman" w:hAnsi="Times New Roman" w:cs="Times New Roman"/>
                <w:b/>
                <w:noProof/>
                <w:lang w:val="en-GB"/>
              </w:rPr>
            </w:pPr>
            <w:r w:rsidRPr="001961AA">
              <w:rPr>
                <w:rFonts w:ascii="Times New Roman" w:hAnsi="Times New Roman"/>
                <w:b/>
                <w:noProof/>
                <w:lang w:val="en-GB"/>
              </w:rPr>
              <w:t>Quarter</w:t>
            </w:r>
          </w:p>
        </w:tc>
        <w:tc>
          <w:tcPr>
            <w:tcW w:w="1080" w:type="dxa"/>
            <w:tcBorders>
              <w:top w:val="single" w:sz="4" w:space="0" w:color="auto"/>
              <w:left w:val="nil"/>
              <w:bottom w:val="single" w:sz="4" w:space="0" w:color="auto"/>
              <w:right w:val="single" w:sz="4" w:space="0" w:color="auto"/>
            </w:tcBorders>
            <w:shd w:val="clear" w:color="auto" w:fill="BDD7EE"/>
            <w:vAlign w:val="center"/>
            <w:hideMark/>
          </w:tcPr>
          <w:p w14:paraId="665C015C" w14:textId="77777777" w:rsidR="00275C49" w:rsidRPr="001961AA" w:rsidRDefault="00275C49">
            <w:pPr>
              <w:spacing w:after="0"/>
              <w:jc w:val="center"/>
              <w:rPr>
                <w:rFonts w:ascii="Times New Roman" w:eastAsia="Times New Roman" w:hAnsi="Times New Roman" w:cs="Times New Roman"/>
                <w:b/>
                <w:noProof/>
                <w:lang w:val="en-GB"/>
              </w:rPr>
            </w:pPr>
            <w:r w:rsidRPr="001961AA">
              <w:rPr>
                <w:rFonts w:ascii="Times New Roman" w:hAnsi="Times New Roman"/>
                <w:b/>
                <w:noProof/>
                <w:lang w:val="en-GB"/>
              </w:rPr>
              <w:t>Year</w:t>
            </w:r>
          </w:p>
        </w:tc>
        <w:tc>
          <w:tcPr>
            <w:tcW w:w="3684" w:type="dxa"/>
            <w:vMerge/>
            <w:tcBorders>
              <w:left w:val="single" w:sz="4" w:space="0" w:color="auto"/>
              <w:bottom w:val="single" w:sz="4" w:space="0" w:color="auto"/>
              <w:right w:val="single" w:sz="4" w:space="0" w:color="auto"/>
            </w:tcBorders>
            <w:shd w:val="clear" w:color="auto" w:fill="C6EFCE"/>
            <w:vAlign w:val="center"/>
            <w:hideMark/>
          </w:tcPr>
          <w:p w14:paraId="72AD1251" w14:textId="77777777" w:rsidR="00275C49" w:rsidRPr="001961AA" w:rsidRDefault="00275C49">
            <w:pPr>
              <w:spacing w:after="0"/>
              <w:rPr>
                <w:rFonts w:ascii="Times New Roman" w:eastAsia="Times New Roman" w:hAnsi="Times New Roman" w:cs="Times New Roman"/>
                <w:b/>
                <w:noProof/>
                <w:lang w:val="en-GB" w:eastAsia="en-GB"/>
              </w:rPr>
            </w:pPr>
          </w:p>
        </w:tc>
      </w:tr>
      <w:tr w:rsidR="00FB3CA6" w:rsidRPr="001961AA" w14:paraId="51884D4C" w14:textId="77777777" w:rsidTr="009E3581">
        <w:trPr>
          <w:trHeight w:val="309"/>
        </w:trPr>
        <w:tc>
          <w:tcPr>
            <w:tcW w:w="70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A21E834" w14:textId="77777777" w:rsidR="00275C49" w:rsidRPr="001961AA" w:rsidRDefault="00275C49">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209</w:t>
            </w:r>
          </w:p>
        </w:tc>
        <w:tc>
          <w:tcPr>
            <w:tcW w:w="1691" w:type="dxa"/>
            <w:tcBorders>
              <w:top w:val="single" w:sz="4" w:space="0" w:color="auto"/>
              <w:left w:val="nil"/>
              <w:bottom w:val="single" w:sz="4" w:space="0" w:color="auto"/>
              <w:right w:val="single" w:sz="4" w:space="0" w:color="auto"/>
            </w:tcBorders>
            <w:shd w:val="clear" w:color="auto" w:fill="C6EFCE"/>
            <w:noWrap/>
            <w:vAlign w:val="center"/>
          </w:tcPr>
          <w:p w14:paraId="31D5F5B9" w14:textId="77777777" w:rsidR="00275C49" w:rsidRPr="001961AA" w:rsidRDefault="00275C49">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Monitoring and implementation of the plan</w:t>
            </w:r>
          </w:p>
        </w:tc>
        <w:tc>
          <w:tcPr>
            <w:tcW w:w="435" w:type="dxa"/>
            <w:tcBorders>
              <w:top w:val="single" w:sz="4" w:space="0" w:color="auto"/>
              <w:left w:val="nil"/>
              <w:bottom w:val="single" w:sz="4" w:space="0" w:color="auto"/>
              <w:right w:val="single" w:sz="4" w:space="0" w:color="auto"/>
            </w:tcBorders>
            <w:shd w:val="clear" w:color="auto" w:fill="C6EFCE"/>
            <w:noWrap/>
            <w:vAlign w:val="center"/>
          </w:tcPr>
          <w:p w14:paraId="78408415" w14:textId="77777777" w:rsidR="00275C49" w:rsidRPr="001961AA" w:rsidRDefault="00275C49">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M</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14:paraId="5E181D93" w14:textId="77777777" w:rsidR="00275C49" w:rsidRPr="001961AA" w:rsidRDefault="00275C49">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Repository system for Audit and Controls: information for monitoring implementation of RRF</w:t>
            </w:r>
          </w:p>
        </w:tc>
        <w:tc>
          <w:tcPr>
            <w:tcW w:w="2184" w:type="dxa"/>
            <w:tcBorders>
              <w:top w:val="single" w:sz="4" w:space="0" w:color="auto"/>
              <w:left w:val="nil"/>
              <w:bottom w:val="single" w:sz="4" w:space="0" w:color="auto"/>
              <w:right w:val="single" w:sz="4" w:space="0" w:color="auto"/>
            </w:tcBorders>
            <w:shd w:val="clear" w:color="auto" w:fill="C6EFCE"/>
            <w:noWrap/>
            <w:vAlign w:val="center"/>
          </w:tcPr>
          <w:p w14:paraId="5E338BA8" w14:textId="06C4E33E" w:rsidR="00275C49" w:rsidRPr="001961AA" w:rsidRDefault="00275C49">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Audit report confirming repository system functionalities</w:t>
            </w:r>
          </w:p>
        </w:tc>
        <w:tc>
          <w:tcPr>
            <w:tcW w:w="1080" w:type="dxa"/>
            <w:tcBorders>
              <w:top w:val="single" w:sz="4" w:space="0" w:color="auto"/>
              <w:left w:val="nil"/>
              <w:bottom w:val="single" w:sz="4" w:space="0" w:color="auto"/>
              <w:right w:val="single" w:sz="4" w:space="0" w:color="auto"/>
            </w:tcBorders>
            <w:shd w:val="clear" w:color="auto" w:fill="C6EFCE"/>
            <w:noWrap/>
            <w:vAlign w:val="center"/>
          </w:tcPr>
          <w:p w14:paraId="7A81A483" w14:textId="77777777" w:rsidR="00275C49" w:rsidRPr="001961AA" w:rsidRDefault="00275C49">
            <w:pPr>
              <w:spacing w:after="0"/>
              <w:rPr>
                <w:rFonts w:ascii="Times New Roman" w:eastAsia="Times New Roman" w:hAnsi="Times New Roman" w:cs="Times New Roman"/>
                <w:noProof/>
                <w:color w:val="006100"/>
                <w:lang w:val="en-GB" w:eastAsia="en-GB"/>
              </w:rPr>
            </w:pPr>
          </w:p>
        </w:tc>
        <w:tc>
          <w:tcPr>
            <w:tcW w:w="1080" w:type="dxa"/>
            <w:tcBorders>
              <w:top w:val="single" w:sz="4" w:space="0" w:color="auto"/>
              <w:left w:val="nil"/>
              <w:bottom w:val="single" w:sz="4" w:space="0" w:color="auto"/>
              <w:right w:val="single" w:sz="4" w:space="0" w:color="auto"/>
            </w:tcBorders>
            <w:shd w:val="clear" w:color="auto" w:fill="C6EFCE"/>
            <w:noWrap/>
            <w:vAlign w:val="center"/>
          </w:tcPr>
          <w:p w14:paraId="5A9138CA" w14:textId="77777777" w:rsidR="00275C49" w:rsidRPr="001961AA" w:rsidRDefault="00275C49">
            <w:pPr>
              <w:spacing w:after="0"/>
              <w:rPr>
                <w:rFonts w:ascii="Times New Roman" w:eastAsia="Times New Roman" w:hAnsi="Times New Roman" w:cs="Times New Roman"/>
                <w:noProof/>
                <w:color w:val="006100"/>
                <w:lang w:val="en-GB" w:eastAsia="en-GB"/>
              </w:rPr>
            </w:pPr>
          </w:p>
        </w:tc>
        <w:tc>
          <w:tcPr>
            <w:tcW w:w="840" w:type="dxa"/>
            <w:tcBorders>
              <w:top w:val="single" w:sz="4" w:space="0" w:color="auto"/>
              <w:left w:val="nil"/>
              <w:bottom w:val="single" w:sz="4" w:space="0" w:color="auto"/>
              <w:right w:val="single" w:sz="4" w:space="0" w:color="auto"/>
            </w:tcBorders>
            <w:shd w:val="clear" w:color="auto" w:fill="C6EFCE"/>
            <w:noWrap/>
            <w:vAlign w:val="center"/>
          </w:tcPr>
          <w:p w14:paraId="103C7953" w14:textId="77777777" w:rsidR="00275C49" w:rsidRPr="001961AA" w:rsidRDefault="00275C49">
            <w:pPr>
              <w:spacing w:after="0"/>
              <w:rPr>
                <w:rFonts w:ascii="Times New Roman" w:eastAsia="Times New Roman" w:hAnsi="Times New Roman" w:cs="Times New Roman"/>
                <w:noProof/>
                <w:color w:val="006100"/>
                <w:lang w:val="en-GB" w:eastAsia="en-GB"/>
              </w:rPr>
            </w:pPr>
          </w:p>
        </w:tc>
        <w:tc>
          <w:tcPr>
            <w:tcW w:w="1080" w:type="dxa"/>
            <w:tcBorders>
              <w:top w:val="single" w:sz="4" w:space="0" w:color="auto"/>
              <w:left w:val="nil"/>
              <w:bottom w:val="single" w:sz="4" w:space="0" w:color="auto"/>
              <w:right w:val="single" w:sz="4" w:space="0" w:color="auto"/>
            </w:tcBorders>
            <w:shd w:val="clear" w:color="auto" w:fill="C6EFCE"/>
            <w:noWrap/>
            <w:vAlign w:val="center"/>
          </w:tcPr>
          <w:p w14:paraId="7B0713C1" w14:textId="77777777" w:rsidR="00275C49" w:rsidRPr="001961AA" w:rsidRDefault="00275C49">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Before the first payment request</w:t>
            </w:r>
          </w:p>
        </w:tc>
        <w:tc>
          <w:tcPr>
            <w:tcW w:w="1080" w:type="dxa"/>
            <w:tcBorders>
              <w:top w:val="single" w:sz="4" w:space="0" w:color="auto"/>
              <w:left w:val="nil"/>
              <w:bottom w:val="single" w:sz="4" w:space="0" w:color="auto"/>
              <w:right w:val="single" w:sz="4" w:space="0" w:color="auto"/>
            </w:tcBorders>
            <w:shd w:val="clear" w:color="auto" w:fill="C6EFCE"/>
            <w:noWrap/>
            <w:vAlign w:val="center"/>
          </w:tcPr>
          <w:p w14:paraId="598DD291" w14:textId="77777777" w:rsidR="00275C49" w:rsidRPr="001961AA" w:rsidRDefault="00275C49">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Before the first payment request</w:t>
            </w:r>
          </w:p>
        </w:tc>
        <w:tc>
          <w:tcPr>
            <w:tcW w:w="3684" w:type="dxa"/>
            <w:tcBorders>
              <w:top w:val="single" w:sz="4" w:space="0" w:color="auto"/>
              <w:left w:val="nil"/>
              <w:bottom w:val="single" w:sz="4" w:space="0" w:color="auto"/>
              <w:right w:val="single" w:sz="4" w:space="0" w:color="auto"/>
            </w:tcBorders>
            <w:shd w:val="clear" w:color="auto" w:fill="C6EFCE"/>
            <w:noWrap/>
            <w:vAlign w:val="center"/>
          </w:tcPr>
          <w:p w14:paraId="30D3DD78" w14:textId="77777777" w:rsidR="00275C49" w:rsidRPr="001961AA" w:rsidRDefault="00275C49" w:rsidP="003670DE">
            <w:pPr>
              <w:spacing w:after="120"/>
              <w:rPr>
                <w:rFonts w:ascii="Times New Roman" w:hAnsi="Times New Roman" w:cs="Times New Roman"/>
                <w:noProof/>
                <w:color w:val="006100"/>
                <w:lang w:val="en-GB"/>
              </w:rPr>
            </w:pPr>
            <w:r w:rsidRPr="001961AA">
              <w:rPr>
                <w:rFonts w:ascii="Times New Roman" w:hAnsi="Times New Roman"/>
                <w:noProof/>
                <w:color w:val="006100"/>
                <w:lang w:val="en-GB"/>
              </w:rPr>
              <w:t>A repository system for monitoring the implementation of the RRF shall be in place and operational.</w:t>
            </w:r>
          </w:p>
          <w:p w14:paraId="4AE4016F" w14:textId="0E0C7242" w:rsidR="00275C49" w:rsidRPr="001961AA" w:rsidRDefault="00275C49" w:rsidP="00B87EC7">
            <w:pPr>
              <w:spacing w:after="0"/>
              <w:rPr>
                <w:rFonts w:ascii="Times New Roman" w:hAnsi="Times New Roman" w:cs="Times New Roman"/>
                <w:noProof/>
                <w:color w:val="006100"/>
                <w:lang w:val="en-GB"/>
              </w:rPr>
            </w:pPr>
            <w:r w:rsidRPr="001961AA">
              <w:rPr>
                <w:rFonts w:ascii="Times New Roman" w:hAnsi="Times New Roman"/>
                <w:noProof/>
                <w:color w:val="006100"/>
                <w:lang w:val="en-GB"/>
              </w:rPr>
              <w:t>The system shall include, as a minimum, the following functionalities:</w:t>
            </w:r>
          </w:p>
          <w:p w14:paraId="2817EC0C" w14:textId="77777777" w:rsidR="00275C49" w:rsidRPr="001961AA" w:rsidRDefault="00275C49" w:rsidP="003670DE">
            <w:pPr>
              <w:spacing w:after="0"/>
              <w:rPr>
                <w:rFonts w:ascii="Times New Roman" w:hAnsi="Times New Roman" w:cs="Times New Roman"/>
                <w:noProof/>
                <w:color w:val="006100"/>
                <w:lang w:val="en-GB"/>
              </w:rPr>
            </w:pPr>
            <w:r w:rsidRPr="001961AA">
              <w:rPr>
                <w:rFonts w:ascii="Times New Roman" w:hAnsi="Times New Roman"/>
                <w:noProof/>
                <w:color w:val="006100"/>
                <w:lang w:val="en-GB"/>
              </w:rPr>
              <w:t>(a) collection of data and monitoring of the achievement of milestones and targets;</w:t>
            </w:r>
          </w:p>
          <w:p w14:paraId="38C75157" w14:textId="77777777" w:rsidR="00275C49" w:rsidRPr="001961AA" w:rsidRDefault="00275C49">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(b)</w:t>
            </w:r>
            <w:r w:rsidRPr="001961AA">
              <w:rPr>
                <w:rFonts w:ascii="Times New Roman" w:hAnsi="Times New Roman"/>
                <w:noProof/>
                <w:lang w:val="en-GB"/>
              </w:rPr>
              <w:t xml:space="preserve"> </w:t>
            </w:r>
            <w:r w:rsidRPr="001961AA">
              <w:rPr>
                <w:rFonts w:ascii="Times New Roman" w:hAnsi="Times New Roman"/>
                <w:noProof/>
                <w:color w:val="006100"/>
                <w:lang w:val="en-GB"/>
              </w:rPr>
              <w:t>collect, store and ensure access to the data required by Article 22(2)(d)(i) to (iii) of the RRF Regulation.</w:t>
            </w:r>
          </w:p>
        </w:tc>
      </w:tr>
      <w:tr w:rsidR="00FB3CA6" w:rsidRPr="001961AA" w14:paraId="3C84D225" w14:textId="77777777" w:rsidTr="009E3581">
        <w:trPr>
          <w:trHeight w:val="309"/>
        </w:trPr>
        <w:tc>
          <w:tcPr>
            <w:tcW w:w="70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50A3C84" w14:textId="77777777" w:rsidR="00275C49" w:rsidRPr="001961AA" w:rsidRDefault="00275C49">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210</w:t>
            </w:r>
          </w:p>
        </w:tc>
        <w:tc>
          <w:tcPr>
            <w:tcW w:w="1691" w:type="dxa"/>
            <w:tcBorders>
              <w:top w:val="single" w:sz="4" w:space="0" w:color="auto"/>
              <w:left w:val="nil"/>
              <w:bottom w:val="single" w:sz="4" w:space="0" w:color="auto"/>
              <w:right w:val="single" w:sz="4" w:space="0" w:color="auto"/>
            </w:tcBorders>
            <w:shd w:val="clear" w:color="auto" w:fill="C6EFCE"/>
            <w:noWrap/>
            <w:vAlign w:val="center"/>
          </w:tcPr>
          <w:p w14:paraId="24C080FA" w14:textId="77777777" w:rsidR="00275C49" w:rsidRPr="001961AA" w:rsidRDefault="00275C49">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Monitoring and implementation of the plan</w:t>
            </w:r>
          </w:p>
        </w:tc>
        <w:tc>
          <w:tcPr>
            <w:tcW w:w="435" w:type="dxa"/>
            <w:tcBorders>
              <w:top w:val="single" w:sz="4" w:space="0" w:color="auto"/>
              <w:left w:val="nil"/>
              <w:bottom w:val="single" w:sz="4" w:space="0" w:color="auto"/>
              <w:right w:val="single" w:sz="4" w:space="0" w:color="auto"/>
            </w:tcBorders>
            <w:shd w:val="clear" w:color="auto" w:fill="C6EFCE"/>
            <w:noWrap/>
            <w:vAlign w:val="center"/>
          </w:tcPr>
          <w:p w14:paraId="0820B564" w14:textId="77777777" w:rsidR="00275C49" w:rsidRPr="001961AA" w:rsidRDefault="00275C49">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M</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14:paraId="69DB6424" w14:textId="77777777" w:rsidR="00275C49" w:rsidRPr="001961AA" w:rsidRDefault="00275C49">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Protection of EU financial interest</w:t>
            </w:r>
          </w:p>
        </w:tc>
        <w:tc>
          <w:tcPr>
            <w:tcW w:w="2184" w:type="dxa"/>
            <w:tcBorders>
              <w:top w:val="single" w:sz="4" w:space="0" w:color="auto"/>
              <w:left w:val="nil"/>
              <w:bottom w:val="single" w:sz="4" w:space="0" w:color="auto"/>
              <w:right w:val="single" w:sz="4" w:space="0" w:color="auto"/>
            </w:tcBorders>
            <w:shd w:val="clear" w:color="auto" w:fill="C6EFCE"/>
            <w:noWrap/>
            <w:vAlign w:val="center"/>
          </w:tcPr>
          <w:p w14:paraId="209D965E" w14:textId="77777777" w:rsidR="00275C49" w:rsidRPr="001961AA" w:rsidRDefault="00275C49">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Implementation of arrangements</w:t>
            </w:r>
          </w:p>
        </w:tc>
        <w:tc>
          <w:tcPr>
            <w:tcW w:w="1080" w:type="dxa"/>
            <w:tcBorders>
              <w:top w:val="single" w:sz="4" w:space="0" w:color="auto"/>
              <w:left w:val="nil"/>
              <w:bottom w:val="single" w:sz="4" w:space="0" w:color="auto"/>
              <w:right w:val="single" w:sz="4" w:space="0" w:color="auto"/>
            </w:tcBorders>
            <w:shd w:val="clear" w:color="auto" w:fill="C6EFCE"/>
            <w:noWrap/>
            <w:vAlign w:val="center"/>
          </w:tcPr>
          <w:p w14:paraId="589E4D18" w14:textId="77777777" w:rsidR="00275C49" w:rsidRPr="001961AA" w:rsidRDefault="00275C49">
            <w:pPr>
              <w:spacing w:after="0"/>
              <w:rPr>
                <w:rFonts w:ascii="Times New Roman" w:eastAsia="Times New Roman" w:hAnsi="Times New Roman" w:cs="Times New Roman"/>
                <w:noProof/>
                <w:color w:val="006100"/>
                <w:lang w:val="en-GB" w:eastAsia="en-GB"/>
              </w:rPr>
            </w:pPr>
          </w:p>
        </w:tc>
        <w:tc>
          <w:tcPr>
            <w:tcW w:w="1080" w:type="dxa"/>
            <w:tcBorders>
              <w:top w:val="single" w:sz="4" w:space="0" w:color="auto"/>
              <w:left w:val="nil"/>
              <w:bottom w:val="single" w:sz="4" w:space="0" w:color="auto"/>
              <w:right w:val="single" w:sz="4" w:space="0" w:color="auto"/>
            </w:tcBorders>
            <w:shd w:val="clear" w:color="auto" w:fill="C6EFCE"/>
            <w:noWrap/>
            <w:vAlign w:val="center"/>
          </w:tcPr>
          <w:p w14:paraId="4C006D5B" w14:textId="77777777" w:rsidR="00275C49" w:rsidRPr="001961AA" w:rsidRDefault="00275C49">
            <w:pPr>
              <w:spacing w:after="0"/>
              <w:rPr>
                <w:rFonts w:ascii="Times New Roman" w:eastAsia="Times New Roman" w:hAnsi="Times New Roman" w:cs="Times New Roman"/>
                <w:noProof/>
                <w:color w:val="006100"/>
                <w:lang w:val="en-GB" w:eastAsia="en-GB"/>
              </w:rPr>
            </w:pPr>
          </w:p>
        </w:tc>
        <w:tc>
          <w:tcPr>
            <w:tcW w:w="840" w:type="dxa"/>
            <w:tcBorders>
              <w:top w:val="single" w:sz="4" w:space="0" w:color="auto"/>
              <w:left w:val="nil"/>
              <w:bottom w:val="single" w:sz="4" w:space="0" w:color="auto"/>
              <w:right w:val="single" w:sz="4" w:space="0" w:color="auto"/>
            </w:tcBorders>
            <w:shd w:val="clear" w:color="auto" w:fill="C6EFCE"/>
            <w:noWrap/>
            <w:vAlign w:val="center"/>
          </w:tcPr>
          <w:p w14:paraId="47701B84" w14:textId="77777777" w:rsidR="00275C49" w:rsidRPr="001961AA" w:rsidRDefault="00275C49">
            <w:pPr>
              <w:spacing w:after="0"/>
              <w:rPr>
                <w:rFonts w:ascii="Times New Roman" w:eastAsia="Times New Roman" w:hAnsi="Times New Roman" w:cs="Times New Roman"/>
                <w:noProof/>
                <w:color w:val="006100"/>
                <w:lang w:val="en-GB" w:eastAsia="en-GB"/>
              </w:rPr>
            </w:pPr>
          </w:p>
        </w:tc>
        <w:tc>
          <w:tcPr>
            <w:tcW w:w="1080" w:type="dxa"/>
            <w:tcBorders>
              <w:top w:val="single" w:sz="4" w:space="0" w:color="auto"/>
              <w:left w:val="nil"/>
              <w:bottom w:val="single" w:sz="4" w:space="0" w:color="auto"/>
              <w:right w:val="single" w:sz="4" w:space="0" w:color="auto"/>
            </w:tcBorders>
            <w:shd w:val="clear" w:color="auto" w:fill="C6EFCE"/>
            <w:noWrap/>
            <w:vAlign w:val="center"/>
          </w:tcPr>
          <w:p w14:paraId="32DC8087" w14:textId="77777777" w:rsidR="00275C49" w:rsidRPr="001961AA" w:rsidRDefault="00275C49">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Before the first payment request</w:t>
            </w:r>
          </w:p>
        </w:tc>
        <w:tc>
          <w:tcPr>
            <w:tcW w:w="1080" w:type="dxa"/>
            <w:tcBorders>
              <w:top w:val="single" w:sz="4" w:space="0" w:color="auto"/>
              <w:left w:val="nil"/>
              <w:bottom w:val="single" w:sz="4" w:space="0" w:color="auto"/>
              <w:right w:val="single" w:sz="4" w:space="0" w:color="auto"/>
            </w:tcBorders>
            <w:shd w:val="clear" w:color="auto" w:fill="C6EFCE"/>
            <w:noWrap/>
            <w:vAlign w:val="center"/>
          </w:tcPr>
          <w:p w14:paraId="503B9242" w14:textId="77777777" w:rsidR="00275C49" w:rsidRPr="001961AA" w:rsidRDefault="00275C49">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Before the first payment request</w:t>
            </w:r>
          </w:p>
        </w:tc>
        <w:tc>
          <w:tcPr>
            <w:tcW w:w="3684" w:type="dxa"/>
            <w:tcBorders>
              <w:top w:val="single" w:sz="4" w:space="0" w:color="auto"/>
              <w:left w:val="nil"/>
              <w:bottom w:val="single" w:sz="4" w:space="0" w:color="auto"/>
              <w:right w:val="single" w:sz="4" w:space="0" w:color="auto"/>
            </w:tcBorders>
            <w:shd w:val="clear" w:color="auto" w:fill="C6EFCE"/>
            <w:noWrap/>
            <w:vAlign w:val="center"/>
          </w:tcPr>
          <w:p w14:paraId="1866D84D" w14:textId="66471B21" w:rsidR="00275C49" w:rsidRPr="001961AA" w:rsidRDefault="00275C49">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The implementation of adequate coordination arrangements, including cross-checks, shall be put in place at the level of the coordinating body at inter-federal level allowing to avoid double funding from the Facility and other Union programmes in accordance with the principle of sound financial management.</w:t>
            </w:r>
          </w:p>
        </w:tc>
      </w:tr>
      <w:tr w:rsidR="00FB3CA6" w:rsidRPr="001961AA" w14:paraId="156E067D" w14:textId="77777777" w:rsidTr="009E3581">
        <w:trPr>
          <w:trHeight w:val="309"/>
        </w:trPr>
        <w:tc>
          <w:tcPr>
            <w:tcW w:w="70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EF08FF6" w14:textId="64C51F1C" w:rsidR="000D6D75" w:rsidRPr="001961AA" w:rsidRDefault="000D6D75">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250</w:t>
            </w:r>
          </w:p>
        </w:tc>
        <w:tc>
          <w:tcPr>
            <w:tcW w:w="1691" w:type="dxa"/>
            <w:tcBorders>
              <w:top w:val="single" w:sz="4" w:space="0" w:color="auto"/>
              <w:left w:val="nil"/>
              <w:bottom w:val="single" w:sz="4" w:space="0" w:color="auto"/>
              <w:right w:val="single" w:sz="4" w:space="0" w:color="auto"/>
            </w:tcBorders>
            <w:shd w:val="clear" w:color="auto" w:fill="C6EFCE"/>
            <w:noWrap/>
            <w:vAlign w:val="center"/>
          </w:tcPr>
          <w:p w14:paraId="2DCFA82F" w14:textId="2284924F" w:rsidR="000D6D75" w:rsidRPr="001961AA" w:rsidRDefault="000D6D75">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Monitoring and implementation of the plan</w:t>
            </w:r>
          </w:p>
        </w:tc>
        <w:tc>
          <w:tcPr>
            <w:tcW w:w="435" w:type="dxa"/>
            <w:tcBorders>
              <w:top w:val="single" w:sz="4" w:space="0" w:color="auto"/>
              <w:left w:val="nil"/>
              <w:bottom w:val="single" w:sz="4" w:space="0" w:color="auto"/>
              <w:right w:val="single" w:sz="4" w:space="0" w:color="auto"/>
            </w:tcBorders>
            <w:shd w:val="clear" w:color="auto" w:fill="C6EFCE"/>
            <w:noWrap/>
            <w:vAlign w:val="center"/>
          </w:tcPr>
          <w:p w14:paraId="1273E86C" w14:textId="3FFB6090" w:rsidR="000D6D75" w:rsidRPr="001961AA" w:rsidRDefault="000D6D75">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M</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14:paraId="03A82671" w14:textId="071F108C" w:rsidR="000D6D75" w:rsidRPr="001961AA" w:rsidRDefault="000D6D75">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Adaptation of the management and control system for the Recovery and Resilience Plan</w:t>
            </w:r>
          </w:p>
        </w:tc>
        <w:tc>
          <w:tcPr>
            <w:tcW w:w="2184" w:type="dxa"/>
            <w:tcBorders>
              <w:top w:val="single" w:sz="4" w:space="0" w:color="auto"/>
              <w:left w:val="nil"/>
              <w:bottom w:val="single" w:sz="4" w:space="0" w:color="auto"/>
              <w:right w:val="single" w:sz="4" w:space="0" w:color="auto"/>
            </w:tcBorders>
            <w:shd w:val="clear" w:color="auto" w:fill="C6EFCE"/>
            <w:noWrap/>
            <w:vAlign w:val="center"/>
          </w:tcPr>
          <w:p w14:paraId="64D78129" w14:textId="32468167" w:rsidR="000D6D75" w:rsidRPr="001961AA" w:rsidRDefault="00B81A93">
            <w:pPr>
              <w:spacing w:after="0"/>
              <w:rPr>
                <w:rFonts w:ascii="Times New Roman" w:eastAsia="Times New Roman" w:hAnsi="Times New Roman" w:cs="Times New Roman"/>
                <w:noProof/>
                <w:color w:val="C45911" w:themeColor="accent2" w:themeShade="BF"/>
                <w:lang w:val="en-GB"/>
              </w:rPr>
            </w:pPr>
            <w:r w:rsidRPr="001961AA">
              <w:rPr>
                <w:rFonts w:ascii="Times New Roman" w:hAnsi="Times New Roman"/>
                <w:noProof/>
                <w:color w:val="006100"/>
                <w:lang w:val="en-GB"/>
              </w:rPr>
              <w:t>Adapted manual of procedures and instructions to the implementing bodies. Adoption and</w:t>
            </w:r>
            <w:r w:rsidRPr="001961AA">
              <w:rPr>
                <w:rFonts w:ascii="Times New Roman" w:hAnsi="Times New Roman"/>
                <w:noProof/>
                <w:color w:val="C45911" w:themeColor="accent2" w:themeShade="BF"/>
                <w:lang w:val="en-GB"/>
              </w:rPr>
              <w:t xml:space="preserve"> </w:t>
            </w:r>
            <w:r w:rsidRPr="001961AA">
              <w:rPr>
                <w:rFonts w:ascii="Times New Roman" w:hAnsi="Times New Roman"/>
                <w:noProof/>
                <w:color w:val="006100"/>
                <w:lang w:val="en-GB"/>
              </w:rPr>
              <w:t>sending of a communication to the Inspectorate of Finance, where relevant.</w:t>
            </w:r>
          </w:p>
        </w:tc>
        <w:tc>
          <w:tcPr>
            <w:tcW w:w="1080" w:type="dxa"/>
            <w:tcBorders>
              <w:top w:val="single" w:sz="4" w:space="0" w:color="auto"/>
              <w:left w:val="nil"/>
              <w:bottom w:val="single" w:sz="4" w:space="0" w:color="auto"/>
              <w:right w:val="single" w:sz="4" w:space="0" w:color="auto"/>
            </w:tcBorders>
            <w:shd w:val="clear" w:color="auto" w:fill="C6EFCE"/>
            <w:noWrap/>
            <w:vAlign w:val="center"/>
          </w:tcPr>
          <w:p w14:paraId="3A82E001" w14:textId="77777777" w:rsidR="000D6D75" w:rsidRPr="001961AA" w:rsidRDefault="000D6D75">
            <w:pPr>
              <w:spacing w:after="0"/>
              <w:rPr>
                <w:rFonts w:ascii="Times New Roman" w:eastAsia="Times New Roman" w:hAnsi="Times New Roman" w:cs="Times New Roman"/>
                <w:noProof/>
                <w:color w:val="C45911" w:themeColor="accent2" w:themeShade="BF"/>
                <w:lang w:val="en-GB" w:eastAsia="en-GB"/>
              </w:rPr>
            </w:pPr>
          </w:p>
        </w:tc>
        <w:tc>
          <w:tcPr>
            <w:tcW w:w="1080" w:type="dxa"/>
            <w:tcBorders>
              <w:top w:val="single" w:sz="4" w:space="0" w:color="auto"/>
              <w:left w:val="nil"/>
              <w:bottom w:val="single" w:sz="4" w:space="0" w:color="auto"/>
              <w:right w:val="single" w:sz="4" w:space="0" w:color="auto"/>
            </w:tcBorders>
            <w:shd w:val="clear" w:color="auto" w:fill="C6EFCE"/>
            <w:noWrap/>
            <w:vAlign w:val="center"/>
          </w:tcPr>
          <w:p w14:paraId="49D86599" w14:textId="77777777" w:rsidR="000D6D75" w:rsidRPr="001961AA" w:rsidRDefault="000D6D75">
            <w:pPr>
              <w:spacing w:after="0"/>
              <w:rPr>
                <w:rFonts w:ascii="Times New Roman" w:eastAsia="Times New Roman" w:hAnsi="Times New Roman" w:cs="Times New Roman"/>
                <w:noProof/>
                <w:color w:val="C45911" w:themeColor="accent2" w:themeShade="BF"/>
                <w:lang w:val="en-GB" w:eastAsia="en-GB"/>
              </w:rPr>
            </w:pPr>
          </w:p>
        </w:tc>
        <w:tc>
          <w:tcPr>
            <w:tcW w:w="840" w:type="dxa"/>
            <w:tcBorders>
              <w:top w:val="single" w:sz="4" w:space="0" w:color="auto"/>
              <w:left w:val="nil"/>
              <w:bottom w:val="single" w:sz="4" w:space="0" w:color="auto"/>
              <w:right w:val="single" w:sz="4" w:space="0" w:color="auto"/>
            </w:tcBorders>
            <w:shd w:val="clear" w:color="auto" w:fill="C6EFCE"/>
            <w:noWrap/>
            <w:vAlign w:val="center"/>
          </w:tcPr>
          <w:p w14:paraId="0DBE7341" w14:textId="77777777" w:rsidR="000D6D75" w:rsidRPr="001961AA" w:rsidRDefault="000D6D75">
            <w:pPr>
              <w:spacing w:after="0"/>
              <w:rPr>
                <w:rFonts w:ascii="Times New Roman" w:eastAsia="Times New Roman" w:hAnsi="Times New Roman" w:cs="Times New Roman"/>
                <w:noProof/>
                <w:color w:val="C45911" w:themeColor="accent2" w:themeShade="BF"/>
                <w:lang w:val="en-GB" w:eastAsia="en-GB"/>
              </w:rPr>
            </w:pPr>
          </w:p>
        </w:tc>
        <w:tc>
          <w:tcPr>
            <w:tcW w:w="1080" w:type="dxa"/>
            <w:tcBorders>
              <w:top w:val="single" w:sz="4" w:space="0" w:color="auto"/>
              <w:left w:val="nil"/>
              <w:bottom w:val="single" w:sz="4" w:space="0" w:color="auto"/>
              <w:right w:val="single" w:sz="4" w:space="0" w:color="auto"/>
            </w:tcBorders>
            <w:shd w:val="clear" w:color="auto" w:fill="C6EFCE"/>
            <w:noWrap/>
            <w:vAlign w:val="center"/>
          </w:tcPr>
          <w:p w14:paraId="5E5841D4" w14:textId="030DADDC" w:rsidR="000D6D75" w:rsidRPr="001961AA" w:rsidRDefault="00B81A93">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Before the second payment request</w:t>
            </w:r>
          </w:p>
        </w:tc>
        <w:tc>
          <w:tcPr>
            <w:tcW w:w="1080" w:type="dxa"/>
            <w:tcBorders>
              <w:top w:val="single" w:sz="4" w:space="0" w:color="auto"/>
              <w:left w:val="nil"/>
              <w:bottom w:val="single" w:sz="4" w:space="0" w:color="auto"/>
              <w:right w:val="single" w:sz="4" w:space="0" w:color="auto"/>
            </w:tcBorders>
            <w:shd w:val="clear" w:color="auto" w:fill="C6EFCE"/>
            <w:noWrap/>
            <w:vAlign w:val="center"/>
          </w:tcPr>
          <w:p w14:paraId="7AE24B36" w14:textId="285FD573" w:rsidR="000D6D75" w:rsidRPr="001961AA" w:rsidRDefault="00B81A93">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Before the second payment request</w:t>
            </w:r>
          </w:p>
        </w:tc>
        <w:tc>
          <w:tcPr>
            <w:tcW w:w="3684" w:type="dxa"/>
            <w:tcBorders>
              <w:top w:val="single" w:sz="4" w:space="0" w:color="auto"/>
              <w:left w:val="nil"/>
              <w:bottom w:val="single" w:sz="4" w:space="0" w:color="auto"/>
              <w:right w:val="single" w:sz="4" w:space="0" w:color="auto"/>
            </w:tcBorders>
            <w:shd w:val="clear" w:color="auto" w:fill="C6EFCE"/>
            <w:noWrap/>
            <w:vAlign w:val="center"/>
          </w:tcPr>
          <w:p w14:paraId="14423FE2" w14:textId="16FA3587" w:rsidR="00DA1C37" w:rsidRPr="001961AA" w:rsidRDefault="00DA1C37" w:rsidP="00DA1C37">
            <w:pPr>
              <w:spacing w:after="0"/>
              <w:rPr>
                <w:rFonts w:ascii="Times New Roman" w:eastAsia="Times New Roman" w:hAnsi="Times New Roman" w:cs="Times New Roman"/>
                <w:noProof/>
                <w:color w:val="006100"/>
                <w:lang w:val="en-GB"/>
              </w:rPr>
            </w:pPr>
            <w:bookmarkStart w:id="8" w:name="_Hlk148685805"/>
            <w:r w:rsidRPr="001961AA">
              <w:rPr>
                <w:rFonts w:ascii="Times New Roman" w:hAnsi="Times New Roman"/>
                <w:noProof/>
                <w:color w:val="006100"/>
                <w:lang w:val="en-GB"/>
              </w:rPr>
              <w:t xml:space="preserve">The coordinating bodies in the Belgian Recovery and Resilience Plan, in collaboration with the implementing bodies if necessary, shall adapt their manual of procedures/documents outlining their management and control system and issue related instructions to the implementing bodies with the objective to strengthen the framework to prevent, detect, and correct any serious irregularities such as fraud, conflict of interest, corruption and double funding. </w:t>
            </w:r>
            <w:bookmarkEnd w:id="8"/>
            <w:r w:rsidRPr="001961AA">
              <w:rPr>
                <w:rFonts w:ascii="Times New Roman" w:hAnsi="Times New Roman"/>
                <w:noProof/>
                <w:color w:val="006100"/>
                <w:lang w:val="en-GB"/>
              </w:rPr>
              <w:t>The updated manual of procedures and related instructions shall include, as a minimum:</w:t>
            </w:r>
          </w:p>
          <w:p w14:paraId="4C9980A4" w14:textId="1F894E4C" w:rsidR="00DA1C37" w:rsidRPr="001961AA" w:rsidRDefault="00DA1C37" w:rsidP="00DA1C37">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 xml:space="preserve">(a) Provisions for anti-fraud and anti-corruption strategies/policies in all implementing bodies taking into consideration all the elements outlined in the Guidance Note on Fraud Risk Assessment and Effective and Proportionate Anti-Fraud Measures for ESIF 2014-2020; </w:t>
            </w:r>
          </w:p>
          <w:p w14:paraId="2344C57D" w14:textId="6CED3F7C" w:rsidR="000C4DB1" w:rsidRPr="001961AA" w:rsidRDefault="000C4DB1" w:rsidP="00DA1C37">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(b) Procedures ensuring that persons signing the management declaration(s) to the Commission obtain assurance about the satisfactorily fulfilment of the milestones and targets set in the RRP, that the funds were managed in accordance with all applicable rules, in particular rules on avoidance of conflicts of interest, fraud, prevention of corruption and double funding;</w:t>
            </w:r>
          </w:p>
          <w:p w14:paraId="37E8EE9E" w14:textId="0177C93A" w:rsidR="00DA1C37" w:rsidRPr="001961AA" w:rsidRDefault="00DA1C37" w:rsidP="00DA1C37">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(c) Provisions requiring functional internal and external whistleblowing channels within all bodies;</w:t>
            </w:r>
          </w:p>
          <w:p w14:paraId="7E16F178" w14:textId="2A2C0474" w:rsidR="00DA1C37" w:rsidRPr="001961AA" w:rsidRDefault="00DA1C37" w:rsidP="00DA1C37">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 xml:space="preserve">(d) Provisions requiring on-the spot verifications by the implementing bodies or the coordinating body (Brussels-Capital Region), with particular focus to the protection of the financial interests of the Union; </w:t>
            </w:r>
          </w:p>
          <w:p w14:paraId="513A9323" w14:textId="4D68ED6C" w:rsidR="00DA1C37" w:rsidRPr="001961AA" w:rsidRDefault="00DA1C37" w:rsidP="00DA1C37">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 xml:space="preserve">(e) Procedures on the reporting of irregularities to OLAF and other competent authorities within all bodies; </w:t>
            </w:r>
          </w:p>
          <w:p w14:paraId="4F2B7A02" w14:textId="50559766" w:rsidR="00DA1C37" w:rsidRPr="001961AA" w:rsidRDefault="00DA1C37" w:rsidP="00C34762">
            <w:pPr>
              <w:spacing w:after="12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(f) Procedures with regard to the verification of compliance with Union and national law, in particular concerning public procurement and State aid, within the implementing bodies.</w:t>
            </w:r>
          </w:p>
          <w:p w14:paraId="566C57B8" w14:textId="4316F683" w:rsidR="000D6D75" w:rsidRPr="001961AA" w:rsidRDefault="00DA1C37" w:rsidP="00DA1C37">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In addition, where the Inspectorate of Finance has been tasked with responsibility for such controls, the relevant coordinating body shall adopt and send a communication to the Inspectorate of Finance with regard to the ex-ante verifications on compliance with Union and national law and on the protection of the financial interests of the Union to be conducted in line with Regulation (EU) 2021/241.</w:t>
            </w:r>
          </w:p>
        </w:tc>
      </w:tr>
      <w:tr w:rsidR="00FB3CA6" w:rsidRPr="001961AA" w14:paraId="2B14C96F" w14:textId="77777777" w:rsidTr="009E3581">
        <w:trPr>
          <w:trHeight w:val="309"/>
        </w:trPr>
        <w:tc>
          <w:tcPr>
            <w:tcW w:w="70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8E849E1" w14:textId="2DDF578B" w:rsidR="00A379CE" w:rsidRPr="001961AA" w:rsidRDefault="00A379CE">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251</w:t>
            </w:r>
          </w:p>
        </w:tc>
        <w:tc>
          <w:tcPr>
            <w:tcW w:w="1691" w:type="dxa"/>
            <w:tcBorders>
              <w:top w:val="single" w:sz="4" w:space="0" w:color="auto"/>
              <w:left w:val="nil"/>
              <w:bottom w:val="single" w:sz="4" w:space="0" w:color="auto"/>
              <w:right w:val="single" w:sz="4" w:space="0" w:color="auto"/>
            </w:tcBorders>
            <w:shd w:val="clear" w:color="auto" w:fill="C6EFCE"/>
            <w:noWrap/>
            <w:vAlign w:val="center"/>
          </w:tcPr>
          <w:p w14:paraId="32672F9B" w14:textId="73D183D1" w:rsidR="00A379CE" w:rsidRPr="001961AA" w:rsidRDefault="00A379CE">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Monitoring and implementation of the plan</w:t>
            </w:r>
          </w:p>
        </w:tc>
        <w:tc>
          <w:tcPr>
            <w:tcW w:w="435" w:type="dxa"/>
            <w:tcBorders>
              <w:top w:val="single" w:sz="4" w:space="0" w:color="auto"/>
              <w:left w:val="nil"/>
              <w:bottom w:val="single" w:sz="4" w:space="0" w:color="auto"/>
              <w:right w:val="single" w:sz="4" w:space="0" w:color="auto"/>
            </w:tcBorders>
            <w:shd w:val="clear" w:color="auto" w:fill="C6EFCE"/>
            <w:noWrap/>
            <w:vAlign w:val="center"/>
          </w:tcPr>
          <w:p w14:paraId="3B9A293F" w14:textId="6FA9DA59" w:rsidR="00A379CE" w:rsidRPr="001961AA" w:rsidRDefault="009314A0">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M</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14:paraId="242D2ADC" w14:textId="3252765B" w:rsidR="00A379CE" w:rsidRPr="001961AA" w:rsidRDefault="009314A0">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Prevention, detection and deterrence of conflict of interest</w:t>
            </w:r>
          </w:p>
        </w:tc>
        <w:tc>
          <w:tcPr>
            <w:tcW w:w="2184" w:type="dxa"/>
            <w:tcBorders>
              <w:top w:val="single" w:sz="4" w:space="0" w:color="auto"/>
              <w:left w:val="nil"/>
              <w:bottom w:val="single" w:sz="4" w:space="0" w:color="auto"/>
              <w:right w:val="single" w:sz="4" w:space="0" w:color="auto"/>
            </w:tcBorders>
            <w:shd w:val="clear" w:color="auto" w:fill="C6EFCE"/>
            <w:noWrap/>
            <w:vAlign w:val="center"/>
          </w:tcPr>
          <w:p w14:paraId="73D1ECA5" w14:textId="525300E4" w:rsidR="00A379CE" w:rsidRPr="001961AA" w:rsidRDefault="009314A0">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Issued instructions</w:t>
            </w:r>
          </w:p>
        </w:tc>
        <w:tc>
          <w:tcPr>
            <w:tcW w:w="1080" w:type="dxa"/>
            <w:tcBorders>
              <w:top w:val="single" w:sz="4" w:space="0" w:color="auto"/>
              <w:left w:val="nil"/>
              <w:bottom w:val="single" w:sz="4" w:space="0" w:color="auto"/>
              <w:right w:val="single" w:sz="4" w:space="0" w:color="auto"/>
            </w:tcBorders>
            <w:shd w:val="clear" w:color="auto" w:fill="C6EFCE"/>
            <w:noWrap/>
            <w:vAlign w:val="center"/>
          </w:tcPr>
          <w:p w14:paraId="57707505" w14:textId="77777777" w:rsidR="00A379CE" w:rsidRPr="001961AA" w:rsidRDefault="00A379CE">
            <w:pPr>
              <w:spacing w:after="0"/>
              <w:rPr>
                <w:rFonts w:ascii="Times New Roman" w:eastAsia="Times New Roman" w:hAnsi="Times New Roman" w:cs="Times New Roman"/>
                <w:noProof/>
                <w:color w:val="006100"/>
                <w:lang w:val="en-GB" w:eastAsia="en-GB"/>
              </w:rPr>
            </w:pPr>
          </w:p>
        </w:tc>
        <w:tc>
          <w:tcPr>
            <w:tcW w:w="1080" w:type="dxa"/>
            <w:tcBorders>
              <w:top w:val="single" w:sz="4" w:space="0" w:color="auto"/>
              <w:left w:val="nil"/>
              <w:bottom w:val="single" w:sz="4" w:space="0" w:color="auto"/>
              <w:right w:val="single" w:sz="4" w:space="0" w:color="auto"/>
            </w:tcBorders>
            <w:shd w:val="clear" w:color="auto" w:fill="C6EFCE"/>
            <w:noWrap/>
            <w:vAlign w:val="center"/>
          </w:tcPr>
          <w:p w14:paraId="10461D0E" w14:textId="77777777" w:rsidR="00A379CE" w:rsidRPr="001961AA" w:rsidRDefault="00A379CE">
            <w:pPr>
              <w:spacing w:after="0"/>
              <w:rPr>
                <w:rFonts w:ascii="Times New Roman" w:eastAsia="Times New Roman" w:hAnsi="Times New Roman" w:cs="Times New Roman"/>
                <w:noProof/>
                <w:color w:val="006100"/>
                <w:lang w:val="en-GB" w:eastAsia="en-GB"/>
              </w:rPr>
            </w:pPr>
          </w:p>
        </w:tc>
        <w:tc>
          <w:tcPr>
            <w:tcW w:w="840" w:type="dxa"/>
            <w:tcBorders>
              <w:top w:val="single" w:sz="4" w:space="0" w:color="auto"/>
              <w:left w:val="nil"/>
              <w:bottom w:val="single" w:sz="4" w:space="0" w:color="auto"/>
              <w:right w:val="single" w:sz="4" w:space="0" w:color="auto"/>
            </w:tcBorders>
            <w:shd w:val="clear" w:color="auto" w:fill="C6EFCE"/>
            <w:noWrap/>
            <w:vAlign w:val="center"/>
          </w:tcPr>
          <w:p w14:paraId="6CD56C90" w14:textId="77777777" w:rsidR="00A379CE" w:rsidRPr="001961AA" w:rsidRDefault="00A379CE">
            <w:pPr>
              <w:spacing w:after="0"/>
              <w:rPr>
                <w:rFonts w:ascii="Times New Roman" w:eastAsia="Times New Roman" w:hAnsi="Times New Roman" w:cs="Times New Roman"/>
                <w:noProof/>
                <w:color w:val="006100"/>
                <w:lang w:val="en-GB" w:eastAsia="en-GB"/>
              </w:rPr>
            </w:pPr>
          </w:p>
        </w:tc>
        <w:tc>
          <w:tcPr>
            <w:tcW w:w="1080" w:type="dxa"/>
            <w:tcBorders>
              <w:top w:val="single" w:sz="4" w:space="0" w:color="auto"/>
              <w:left w:val="nil"/>
              <w:bottom w:val="single" w:sz="4" w:space="0" w:color="auto"/>
              <w:right w:val="single" w:sz="4" w:space="0" w:color="auto"/>
            </w:tcBorders>
            <w:shd w:val="clear" w:color="auto" w:fill="C6EFCE"/>
            <w:noWrap/>
            <w:vAlign w:val="center"/>
          </w:tcPr>
          <w:p w14:paraId="52B2BF48" w14:textId="069F7D18" w:rsidR="00A379CE" w:rsidRPr="001961AA" w:rsidRDefault="009314A0">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Before the second payment request</w:t>
            </w:r>
          </w:p>
        </w:tc>
        <w:tc>
          <w:tcPr>
            <w:tcW w:w="1080" w:type="dxa"/>
            <w:tcBorders>
              <w:top w:val="single" w:sz="4" w:space="0" w:color="auto"/>
              <w:left w:val="nil"/>
              <w:bottom w:val="single" w:sz="4" w:space="0" w:color="auto"/>
              <w:right w:val="single" w:sz="4" w:space="0" w:color="auto"/>
            </w:tcBorders>
            <w:shd w:val="clear" w:color="auto" w:fill="C6EFCE"/>
            <w:noWrap/>
            <w:vAlign w:val="center"/>
          </w:tcPr>
          <w:p w14:paraId="2E610772" w14:textId="003DDA98" w:rsidR="00A379CE" w:rsidRPr="001961AA" w:rsidRDefault="009314A0">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Before the second payment request</w:t>
            </w:r>
          </w:p>
        </w:tc>
        <w:tc>
          <w:tcPr>
            <w:tcW w:w="3684" w:type="dxa"/>
            <w:tcBorders>
              <w:top w:val="single" w:sz="4" w:space="0" w:color="auto"/>
              <w:left w:val="nil"/>
              <w:bottom w:val="single" w:sz="4" w:space="0" w:color="auto"/>
              <w:right w:val="single" w:sz="4" w:space="0" w:color="auto"/>
            </w:tcBorders>
            <w:shd w:val="clear" w:color="auto" w:fill="C6EFCE"/>
            <w:noWrap/>
            <w:vAlign w:val="center"/>
          </w:tcPr>
          <w:p w14:paraId="5B677588" w14:textId="3D2F9391" w:rsidR="00A379CE" w:rsidRPr="001961AA" w:rsidRDefault="005061C5" w:rsidP="00DA1C37">
            <w:pPr>
              <w:spacing w:after="0"/>
              <w:rPr>
                <w:rFonts w:ascii="Times New Roman" w:eastAsia="Times New Roman" w:hAnsi="Times New Roman" w:cs="Times New Roman"/>
                <w:noProof/>
                <w:color w:val="006100"/>
                <w:lang w:val="en-GB"/>
              </w:rPr>
            </w:pPr>
            <w:r w:rsidRPr="001961AA">
              <w:rPr>
                <w:rFonts w:ascii="Times New Roman" w:hAnsi="Times New Roman"/>
                <w:noProof/>
                <w:color w:val="006100"/>
                <w:lang w:val="en-GB"/>
              </w:rPr>
              <w:t>The coordinating bodies in the Belgian Recovery and Resilience Plan shall issue instructions to all implementing bodies with regard to ex-ante verifications before the signature of the contract or the award of the grant, of the risk for conflict of interest in the implementation of RRF measures. This shall include (i) mandatory declarations on the absence of conflict of interest from the persons involved at all stages of the selection procedures for both calls for tenders and calls for projects and (ii) on a risk basis, the use of an appropriate risk-scoring tool in view of performing the checks on conflict of interest outlined in the instructions. The instructions shall define conflict of interest in line with Article 61 of the Financial Regulation.</w:t>
            </w:r>
          </w:p>
        </w:tc>
      </w:tr>
    </w:tbl>
    <w:p w14:paraId="60CAE1F6" w14:textId="77777777" w:rsidR="00275C49" w:rsidRPr="001961AA" w:rsidRDefault="00275C49" w:rsidP="00275C49">
      <w:pPr>
        <w:pStyle w:val="Text1"/>
        <w:ind w:left="709"/>
        <w:rPr>
          <w:noProof/>
          <w:lang w:val="en-GB"/>
        </w:rPr>
      </w:pPr>
    </w:p>
    <w:p w14:paraId="624B84EA" w14:textId="77777777" w:rsidR="00275C49" w:rsidRPr="001961AA" w:rsidRDefault="00275C49" w:rsidP="00275C49">
      <w:pPr>
        <w:pStyle w:val="Text1"/>
        <w:ind w:left="709"/>
        <w:rPr>
          <w:noProof/>
          <w:lang w:val="en-GB"/>
        </w:rPr>
        <w:sectPr w:rsidR="00275C49" w:rsidRPr="001961AA" w:rsidSect="00594BF3">
          <w:headerReference w:type="even" r:id="rId324"/>
          <w:headerReference w:type="default" r:id="rId325"/>
          <w:footerReference w:type="even" r:id="rId326"/>
          <w:footerReference w:type="default" r:id="rId327"/>
          <w:headerReference w:type="first" r:id="rId328"/>
          <w:footerReference w:type="first" r:id="rId329"/>
          <w:pgSz w:w="16839" w:h="11907" w:orient="landscape"/>
          <w:pgMar w:top="1134" w:right="1134" w:bottom="1134" w:left="1134" w:header="567" w:footer="567" w:gutter="0"/>
          <w:cols w:space="720"/>
          <w:docGrid w:linePitch="360"/>
        </w:sectPr>
      </w:pPr>
    </w:p>
    <w:p w14:paraId="59C51A1A" w14:textId="77777777" w:rsidR="00686D52" w:rsidRPr="001961AA" w:rsidRDefault="00686D52" w:rsidP="009E6286">
      <w:pPr>
        <w:pStyle w:val="Heading1"/>
        <w:numPr>
          <w:ilvl w:val="0"/>
          <w:numId w:val="35"/>
        </w:numPr>
        <w:tabs>
          <w:tab w:val="clear" w:pos="850"/>
          <w:tab w:val="num" w:pos="1417"/>
        </w:tabs>
        <w:ind w:left="1417" w:hanging="567"/>
        <w:rPr>
          <w:noProof/>
          <w:lang w:val="en-GB"/>
        </w:rPr>
      </w:pPr>
      <w:r w:rsidRPr="001961AA">
        <w:rPr>
          <w:noProof/>
          <w:lang w:val="en-GB"/>
        </w:rPr>
        <w:t>Estimated total cost of the recovery and resilience plan</w:t>
      </w:r>
    </w:p>
    <w:p w14:paraId="798746DC" w14:textId="37B95476" w:rsidR="00686D52" w:rsidRPr="001961AA" w:rsidRDefault="00686D52" w:rsidP="009E3581">
      <w:pPr>
        <w:pStyle w:val="Text1"/>
        <w:ind w:left="0"/>
        <w:rPr>
          <w:noProof/>
          <w:lang w:val="en-GB"/>
        </w:rPr>
      </w:pPr>
      <w:r w:rsidRPr="001961AA">
        <w:rPr>
          <w:noProof/>
          <w:lang w:val="en-GB"/>
        </w:rPr>
        <w:t xml:space="preserve">The estimated total cost of the modified recovery and resilience plan including the REPowerEU chapter of Belgium is EUR </w:t>
      </w:r>
      <w:r w:rsidRPr="001961AA">
        <w:rPr>
          <w:noProof/>
          <w:color w:val="000000"/>
          <w:lang w:val="en-GB"/>
        </w:rPr>
        <w:t>5</w:t>
      </w:r>
      <w:r w:rsidRPr="001961AA">
        <w:rPr>
          <w:noProof/>
          <w:lang w:val="en-GB"/>
        </w:rPr>
        <w:t xml:space="preserve"> </w:t>
      </w:r>
      <w:r w:rsidRPr="001961AA">
        <w:rPr>
          <w:noProof/>
          <w:color w:val="000000"/>
          <w:lang w:val="en-GB"/>
        </w:rPr>
        <w:t>299</w:t>
      </w:r>
      <w:r w:rsidRPr="001961AA">
        <w:rPr>
          <w:noProof/>
          <w:lang w:val="en-GB"/>
        </w:rPr>
        <w:t xml:space="preserve"> </w:t>
      </w:r>
      <w:r w:rsidRPr="001961AA">
        <w:rPr>
          <w:noProof/>
          <w:color w:val="000000"/>
          <w:lang w:val="en-GB"/>
        </w:rPr>
        <w:t>439 854</w:t>
      </w:r>
      <w:r w:rsidRPr="001961AA">
        <w:rPr>
          <w:noProof/>
          <w:lang w:val="en-GB"/>
        </w:rPr>
        <w:t>. The estimated total cost of the REPowerEU chapter is EUR 725 603 658. In particular, the estimated total cost of the measures referred to in Article 21c(3), point (a) of Regulation (EU) 2023/435 is EUR 0 whilst the cost of the other measures in the REPowerEU chapter is EUR 725 603 658.</w:t>
      </w:r>
    </w:p>
    <w:p w14:paraId="55B669F2" w14:textId="77777777" w:rsidR="00686D52" w:rsidRPr="001961AA" w:rsidRDefault="00686D52" w:rsidP="00686D52">
      <w:pPr>
        <w:rPr>
          <w:rFonts w:ascii="Times New Roman" w:hAnsi="Times New Roman" w:cs="Times New Roman"/>
          <w:noProof/>
          <w:lang w:val="en-GB"/>
        </w:rPr>
      </w:pPr>
    </w:p>
    <w:p w14:paraId="520B44DA" w14:textId="77777777" w:rsidR="00686D52" w:rsidRPr="001961AA" w:rsidRDefault="00686D52" w:rsidP="00686D52">
      <w:pPr>
        <w:pStyle w:val="Heading1"/>
        <w:tabs>
          <w:tab w:val="clear" w:pos="850"/>
        </w:tabs>
        <w:spacing w:before="120" w:after="240"/>
        <w:ind w:left="0" w:firstLine="0"/>
        <w:rPr>
          <w:noProof/>
          <w:lang w:val="en-GB"/>
        </w:rPr>
      </w:pPr>
      <w:r w:rsidRPr="001961AA">
        <w:rPr>
          <w:noProof/>
          <w:lang w:val="en-GB"/>
        </w:rPr>
        <w:t xml:space="preserve">SECTION 2: FINANCIAL SUPPORT </w:t>
      </w:r>
    </w:p>
    <w:p w14:paraId="155D342B" w14:textId="2EFF5F13" w:rsidR="00686D52" w:rsidRPr="001961AA" w:rsidRDefault="00686D52" w:rsidP="009E6286">
      <w:pPr>
        <w:pStyle w:val="ManualHeading2"/>
        <w:numPr>
          <w:ilvl w:val="0"/>
          <w:numId w:val="44"/>
        </w:numPr>
        <w:ind w:left="851" w:hanging="851"/>
        <w:rPr>
          <w:noProof/>
          <w:lang w:val="en-GB"/>
        </w:rPr>
      </w:pPr>
      <w:r w:rsidRPr="001961AA">
        <w:rPr>
          <w:noProof/>
          <w:lang w:val="en-GB"/>
        </w:rPr>
        <w:t>Financial contribution</w:t>
      </w:r>
    </w:p>
    <w:p w14:paraId="33A70859" w14:textId="77777777" w:rsidR="00686D52" w:rsidRPr="001961AA" w:rsidRDefault="00686D52" w:rsidP="00420B74">
      <w:pPr>
        <w:pStyle w:val="Text1"/>
        <w:spacing w:after="240"/>
        <w:ind w:left="851"/>
        <w:rPr>
          <w:noProof/>
          <w:lang w:val="en-GB"/>
        </w:rPr>
      </w:pPr>
      <w:r w:rsidRPr="001961AA">
        <w:rPr>
          <w:noProof/>
          <w:lang w:val="en-GB"/>
        </w:rPr>
        <w:t>The instalments referred to in Article 2(2) shall be organised in the following manner:</w:t>
      </w:r>
    </w:p>
    <w:p w14:paraId="2D990399" w14:textId="531FCE63" w:rsidR="00686D52" w:rsidRPr="001961AA" w:rsidRDefault="00686D52" w:rsidP="009E5F57">
      <w:pPr>
        <w:pStyle w:val="ManualNumPar1"/>
        <w:rPr>
          <w:noProof/>
          <w:lang w:val="en-GB"/>
        </w:rPr>
      </w:pPr>
      <w:r w:rsidRPr="001961AA">
        <w:rPr>
          <w:noProof/>
          <w:lang w:val="en-GB"/>
        </w:rPr>
        <w:t>First Instalment (non-repayable support):</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111"/>
        <w:gridCol w:w="851"/>
        <w:gridCol w:w="4427"/>
      </w:tblGrid>
      <w:tr w:rsidR="00232882" w:rsidRPr="001961AA" w14:paraId="12405036" w14:textId="77777777" w:rsidTr="001A4297">
        <w:trPr>
          <w:trHeight w:val="300"/>
          <w:tblHeader/>
        </w:trPr>
        <w:tc>
          <w:tcPr>
            <w:tcW w:w="400" w:type="pct"/>
            <w:shd w:val="clear" w:color="auto" w:fill="BDD7EE"/>
            <w:noWrap/>
            <w:vAlign w:val="center"/>
            <w:hideMark/>
          </w:tcPr>
          <w:p w14:paraId="1FFD1738" w14:textId="77777777" w:rsidR="00232882" w:rsidRPr="001961AA" w:rsidRDefault="00232882">
            <w:pPr>
              <w:spacing w:before="120" w:after="120"/>
              <w:jc w:val="center"/>
              <w:rPr>
                <w:rFonts w:ascii="Times New Roman" w:eastAsia="Times New Roman" w:hAnsi="Times New Roman" w:cs="Times New Roman"/>
                <w:b/>
                <w:bCs/>
                <w:noProof/>
                <w:color w:val="000000"/>
                <w:sz w:val="20"/>
                <w:szCs w:val="20"/>
                <w:lang w:val="en-GB"/>
              </w:rPr>
            </w:pPr>
            <w:r w:rsidRPr="001961AA">
              <w:rPr>
                <w:rFonts w:ascii="Times New Roman" w:hAnsi="Times New Roman"/>
                <w:b/>
                <w:noProof/>
                <w:color w:val="000000"/>
                <w:sz w:val="20"/>
                <w:lang w:val="en-GB"/>
              </w:rPr>
              <w:t>Seq. nb</w:t>
            </w:r>
          </w:p>
        </w:tc>
        <w:tc>
          <w:tcPr>
            <w:tcW w:w="2014" w:type="pct"/>
            <w:shd w:val="clear" w:color="auto" w:fill="BDD7EE"/>
            <w:noWrap/>
            <w:vAlign w:val="center"/>
            <w:hideMark/>
          </w:tcPr>
          <w:p w14:paraId="4B707B23" w14:textId="77777777" w:rsidR="00232882" w:rsidRPr="001961AA" w:rsidRDefault="00232882">
            <w:pPr>
              <w:spacing w:before="120" w:after="120"/>
              <w:jc w:val="center"/>
              <w:rPr>
                <w:rFonts w:ascii="Times New Roman" w:eastAsia="Times New Roman" w:hAnsi="Times New Roman" w:cs="Times New Roman"/>
                <w:b/>
                <w:bCs/>
                <w:noProof/>
                <w:color w:val="000000"/>
                <w:sz w:val="20"/>
                <w:szCs w:val="20"/>
                <w:lang w:val="en-GB"/>
              </w:rPr>
            </w:pPr>
            <w:r w:rsidRPr="001961AA">
              <w:rPr>
                <w:rFonts w:ascii="Times New Roman" w:hAnsi="Times New Roman"/>
                <w:b/>
                <w:noProof/>
                <w:color w:val="000000"/>
                <w:sz w:val="20"/>
                <w:lang w:val="en-GB"/>
              </w:rPr>
              <w:t>Name of the measure</w:t>
            </w:r>
          </w:p>
        </w:tc>
        <w:tc>
          <w:tcPr>
            <w:tcW w:w="417" w:type="pct"/>
            <w:shd w:val="clear" w:color="auto" w:fill="BDD7EE"/>
            <w:noWrap/>
            <w:vAlign w:val="center"/>
            <w:hideMark/>
          </w:tcPr>
          <w:p w14:paraId="3530C59B" w14:textId="77777777" w:rsidR="00232882" w:rsidRPr="001961AA" w:rsidRDefault="00232882">
            <w:pPr>
              <w:spacing w:before="120" w:after="120"/>
              <w:jc w:val="center"/>
              <w:rPr>
                <w:rFonts w:ascii="Times New Roman" w:eastAsia="Times New Roman" w:hAnsi="Times New Roman" w:cs="Times New Roman"/>
                <w:b/>
                <w:bCs/>
                <w:noProof/>
                <w:color w:val="000000"/>
                <w:sz w:val="20"/>
                <w:szCs w:val="20"/>
                <w:lang w:val="en-GB"/>
              </w:rPr>
            </w:pPr>
            <w:r w:rsidRPr="001961AA">
              <w:rPr>
                <w:rFonts w:ascii="Times New Roman" w:hAnsi="Times New Roman"/>
                <w:b/>
                <w:noProof/>
                <w:color w:val="000000"/>
                <w:sz w:val="20"/>
                <w:lang w:val="en-GB"/>
              </w:rPr>
              <w:t>M/T</w:t>
            </w:r>
          </w:p>
        </w:tc>
        <w:tc>
          <w:tcPr>
            <w:tcW w:w="2169" w:type="pct"/>
            <w:shd w:val="clear" w:color="auto" w:fill="BDD7EE"/>
            <w:noWrap/>
            <w:vAlign w:val="center"/>
            <w:hideMark/>
          </w:tcPr>
          <w:p w14:paraId="2B19A79F" w14:textId="77777777" w:rsidR="00232882" w:rsidRPr="001961AA" w:rsidRDefault="00232882">
            <w:pPr>
              <w:spacing w:before="120" w:after="120"/>
              <w:jc w:val="center"/>
              <w:rPr>
                <w:rFonts w:ascii="Times New Roman" w:eastAsia="Times New Roman" w:hAnsi="Times New Roman" w:cs="Times New Roman"/>
                <w:b/>
                <w:bCs/>
                <w:noProof/>
                <w:color w:val="000000"/>
                <w:sz w:val="20"/>
                <w:szCs w:val="20"/>
                <w:lang w:val="en-GB"/>
              </w:rPr>
            </w:pPr>
            <w:r w:rsidRPr="001961AA">
              <w:rPr>
                <w:rFonts w:ascii="Times New Roman" w:hAnsi="Times New Roman"/>
                <w:b/>
                <w:noProof/>
                <w:color w:val="000000"/>
                <w:sz w:val="20"/>
                <w:lang w:val="en-GB"/>
              </w:rPr>
              <w:t>Name</w:t>
            </w:r>
          </w:p>
        </w:tc>
      </w:tr>
      <w:tr w:rsidR="00232882" w:rsidRPr="001961AA" w14:paraId="29EDCE0E" w14:textId="77777777" w:rsidTr="00DF5893">
        <w:trPr>
          <w:trHeight w:val="315"/>
        </w:trPr>
        <w:tc>
          <w:tcPr>
            <w:tcW w:w="400" w:type="pct"/>
            <w:shd w:val="clear" w:color="000000" w:fill="C6EFCE"/>
            <w:noWrap/>
            <w:vAlign w:val="center"/>
            <w:hideMark/>
          </w:tcPr>
          <w:p w14:paraId="4851EC1A"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56</w:t>
            </w:r>
          </w:p>
        </w:tc>
        <w:tc>
          <w:tcPr>
            <w:tcW w:w="2014" w:type="pct"/>
            <w:shd w:val="clear" w:color="000000" w:fill="C6EFCE"/>
            <w:noWrap/>
            <w:vAlign w:val="center"/>
            <w:hideMark/>
          </w:tcPr>
          <w:p w14:paraId="09DB7C0A"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Digitalisation SPF (I-2.05) (Sub-measure 1: Digital transformation of Justice)</w:t>
            </w:r>
          </w:p>
        </w:tc>
        <w:tc>
          <w:tcPr>
            <w:tcW w:w="417" w:type="pct"/>
            <w:shd w:val="clear" w:color="000000" w:fill="C6EFCE"/>
            <w:noWrap/>
            <w:vAlign w:val="center"/>
            <w:hideMark/>
          </w:tcPr>
          <w:p w14:paraId="44322FE6"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w:t>
            </w:r>
          </w:p>
        </w:tc>
        <w:tc>
          <w:tcPr>
            <w:tcW w:w="2169" w:type="pct"/>
            <w:shd w:val="clear" w:color="000000" w:fill="C6EFCE"/>
            <w:noWrap/>
            <w:vAlign w:val="center"/>
            <w:hideMark/>
          </w:tcPr>
          <w:p w14:paraId="54646119"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Project management in place for the digital transformation of justice following the adoption of a decree</w:t>
            </w:r>
          </w:p>
        </w:tc>
      </w:tr>
      <w:tr w:rsidR="00232882" w:rsidRPr="001961AA" w14:paraId="781ADF76" w14:textId="77777777" w:rsidTr="00DF5893">
        <w:trPr>
          <w:trHeight w:val="315"/>
        </w:trPr>
        <w:tc>
          <w:tcPr>
            <w:tcW w:w="400" w:type="pct"/>
            <w:shd w:val="clear" w:color="000000" w:fill="C6EFCE"/>
            <w:noWrap/>
            <w:vAlign w:val="center"/>
            <w:hideMark/>
          </w:tcPr>
          <w:p w14:paraId="2306BDFD"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70</w:t>
            </w:r>
          </w:p>
        </w:tc>
        <w:tc>
          <w:tcPr>
            <w:tcW w:w="2014" w:type="pct"/>
            <w:shd w:val="clear" w:color="000000" w:fill="C6EFCE"/>
            <w:noWrap/>
            <w:vAlign w:val="center"/>
            <w:hideMark/>
          </w:tcPr>
          <w:p w14:paraId="54B350A6"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Regional data exchange platform (I-2.10)</w:t>
            </w:r>
          </w:p>
        </w:tc>
        <w:tc>
          <w:tcPr>
            <w:tcW w:w="417" w:type="pct"/>
            <w:shd w:val="clear" w:color="000000" w:fill="C6EFCE"/>
            <w:noWrap/>
            <w:vAlign w:val="center"/>
            <w:hideMark/>
          </w:tcPr>
          <w:p w14:paraId="7E29E3EA"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w:t>
            </w:r>
          </w:p>
        </w:tc>
        <w:tc>
          <w:tcPr>
            <w:tcW w:w="2169" w:type="pct"/>
            <w:shd w:val="clear" w:color="000000" w:fill="C6EFCE"/>
            <w:noWrap/>
            <w:vAlign w:val="center"/>
            <w:hideMark/>
          </w:tcPr>
          <w:p w14:paraId="281992A0"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Award of the public contract</w:t>
            </w:r>
          </w:p>
        </w:tc>
      </w:tr>
      <w:tr w:rsidR="00232882" w:rsidRPr="001961AA" w14:paraId="0CB4B149" w14:textId="77777777" w:rsidTr="00DF5893">
        <w:trPr>
          <w:trHeight w:val="315"/>
        </w:trPr>
        <w:tc>
          <w:tcPr>
            <w:tcW w:w="400" w:type="pct"/>
            <w:shd w:val="clear" w:color="000000" w:fill="C6EFCE"/>
            <w:noWrap/>
            <w:vAlign w:val="center"/>
            <w:hideMark/>
          </w:tcPr>
          <w:p w14:paraId="39FB9BD1"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72</w:t>
            </w:r>
          </w:p>
        </w:tc>
        <w:tc>
          <w:tcPr>
            <w:tcW w:w="2014" w:type="pct"/>
            <w:shd w:val="clear" w:color="000000" w:fill="C6EFCE"/>
            <w:noWrap/>
            <w:vAlign w:val="center"/>
            <w:hideMark/>
          </w:tcPr>
          <w:p w14:paraId="049574C6"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Digitalisation of citizen-business processes (I-2.11)</w:t>
            </w:r>
          </w:p>
        </w:tc>
        <w:tc>
          <w:tcPr>
            <w:tcW w:w="417" w:type="pct"/>
            <w:shd w:val="clear" w:color="000000" w:fill="C6EFCE"/>
            <w:noWrap/>
            <w:vAlign w:val="center"/>
            <w:hideMark/>
          </w:tcPr>
          <w:p w14:paraId="74AD8D38"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w:t>
            </w:r>
          </w:p>
        </w:tc>
        <w:tc>
          <w:tcPr>
            <w:tcW w:w="2169" w:type="pct"/>
            <w:shd w:val="clear" w:color="000000" w:fill="C6EFCE"/>
            <w:noWrap/>
            <w:vAlign w:val="center"/>
            <w:hideMark/>
          </w:tcPr>
          <w:p w14:paraId="410F8D83"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Entry in operation of new digital platforms</w:t>
            </w:r>
          </w:p>
        </w:tc>
      </w:tr>
      <w:tr w:rsidR="00232882" w:rsidRPr="001961AA" w14:paraId="0524CCC6" w14:textId="77777777" w:rsidTr="00DF5893">
        <w:trPr>
          <w:trHeight w:val="315"/>
        </w:trPr>
        <w:tc>
          <w:tcPr>
            <w:tcW w:w="400" w:type="pct"/>
            <w:shd w:val="clear" w:color="000000" w:fill="C6EFCE"/>
            <w:noWrap/>
            <w:vAlign w:val="center"/>
            <w:hideMark/>
          </w:tcPr>
          <w:p w14:paraId="0B01F711"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89</w:t>
            </w:r>
          </w:p>
        </w:tc>
        <w:tc>
          <w:tcPr>
            <w:tcW w:w="2014" w:type="pct"/>
            <w:shd w:val="clear" w:color="000000" w:fill="C6EFCE"/>
            <w:noWrap/>
            <w:vAlign w:val="center"/>
            <w:hideMark/>
          </w:tcPr>
          <w:p w14:paraId="65700DD5"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Introduction of 5G – National fixed and mobile broadband plan (R-2.03)</w:t>
            </w:r>
          </w:p>
        </w:tc>
        <w:tc>
          <w:tcPr>
            <w:tcW w:w="417" w:type="pct"/>
            <w:shd w:val="clear" w:color="000000" w:fill="C6EFCE"/>
            <w:noWrap/>
            <w:vAlign w:val="center"/>
            <w:hideMark/>
          </w:tcPr>
          <w:p w14:paraId="16CF893C"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w:t>
            </w:r>
          </w:p>
        </w:tc>
        <w:tc>
          <w:tcPr>
            <w:tcW w:w="2169" w:type="pct"/>
            <w:shd w:val="clear" w:color="000000" w:fill="C6EFCE"/>
            <w:noWrap/>
            <w:vAlign w:val="center"/>
            <w:hideMark/>
          </w:tcPr>
          <w:p w14:paraId="32D08901"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EU Connectivity Toolbox</w:t>
            </w:r>
          </w:p>
        </w:tc>
      </w:tr>
      <w:tr w:rsidR="00232882" w:rsidRPr="001961AA" w14:paraId="4B75EFA0" w14:textId="77777777" w:rsidTr="00DF5893">
        <w:trPr>
          <w:trHeight w:val="315"/>
        </w:trPr>
        <w:tc>
          <w:tcPr>
            <w:tcW w:w="400" w:type="pct"/>
            <w:shd w:val="clear" w:color="000000" w:fill="C6EFCE"/>
            <w:noWrap/>
            <w:vAlign w:val="center"/>
            <w:hideMark/>
          </w:tcPr>
          <w:p w14:paraId="6FD0807F"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90</w:t>
            </w:r>
          </w:p>
        </w:tc>
        <w:tc>
          <w:tcPr>
            <w:tcW w:w="2014" w:type="pct"/>
            <w:shd w:val="clear" w:color="000000" w:fill="C6EFCE"/>
            <w:noWrap/>
            <w:vAlign w:val="center"/>
            <w:hideMark/>
          </w:tcPr>
          <w:p w14:paraId="2CDE8DA9"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Introduction of 5G – National fixed and mobile broadband plan (R-2.03)</w:t>
            </w:r>
          </w:p>
        </w:tc>
        <w:tc>
          <w:tcPr>
            <w:tcW w:w="417" w:type="pct"/>
            <w:shd w:val="clear" w:color="000000" w:fill="C6EFCE"/>
            <w:noWrap/>
            <w:vAlign w:val="center"/>
            <w:hideMark/>
          </w:tcPr>
          <w:p w14:paraId="70ED5A3E"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w:t>
            </w:r>
          </w:p>
        </w:tc>
        <w:tc>
          <w:tcPr>
            <w:tcW w:w="2169" w:type="pct"/>
            <w:shd w:val="clear" w:color="000000" w:fill="C6EFCE"/>
            <w:noWrap/>
            <w:vAlign w:val="center"/>
            <w:hideMark/>
          </w:tcPr>
          <w:p w14:paraId="5CABF229"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Publication of 5G spectrum assignment legislative framework</w:t>
            </w:r>
          </w:p>
        </w:tc>
      </w:tr>
      <w:tr w:rsidR="00232882" w:rsidRPr="001961AA" w14:paraId="40F68672" w14:textId="77777777" w:rsidTr="00DF5893">
        <w:trPr>
          <w:trHeight w:val="315"/>
        </w:trPr>
        <w:tc>
          <w:tcPr>
            <w:tcW w:w="400" w:type="pct"/>
            <w:shd w:val="clear" w:color="000000" w:fill="C6EFCE"/>
            <w:noWrap/>
            <w:vAlign w:val="center"/>
            <w:hideMark/>
          </w:tcPr>
          <w:p w14:paraId="0676BA13"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110</w:t>
            </w:r>
          </w:p>
        </w:tc>
        <w:tc>
          <w:tcPr>
            <w:tcW w:w="2014" w:type="pct"/>
            <w:shd w:val="clear" w:color="000000" w:fill="C6EFCE"/>
            <w:noWrap/>
            <w:vAlign w:val="center"/>
            <w:hideMark/>
          </w:tcPr>
          <w:p w14:paraId="13CD226D"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Mobiliteitsbudget (R-3.02)</w:t>
            </w:r>
          </w:p>
        </w:tc>
        <w:tc>
          <w:tcPr>
            <w:tcW w:w="417" w:type="pct"/>
            <w:shd w:val="clear" w:color="000000" w:fill="C6EFCE"/>
            <w:noWrap/>
            <w:vAlign w:val="center"/>
            <w:hideMark/>
          </w:tcPr>
          <w:p w14:paraId="3FAE79ED"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w:t>
            </w:r>
          </w:p>
        </w:tc>
        <w:tc>
          <w:tcPr>
            <w:tcW w:w="2169" w:type="pct"/>
            <w:shd w:val="clear" w:color="000000" w:fill="C6EFCE"/>
            <w:noWrap/>
            <w:vAlign w:val="center"/>
            <w:hideMark/>
          </w:tcPr>
          <w:p w14:paraId="23885A22"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Adoption of the mobility budget</w:t>
            </w:r>
          </w:p>
        </w:tc>
      </w:tr>
      <w:tr w:rsidR="00232882" w:rsidRPr="001961AA" w14:paraId="65FE3082" w14:textId="77777777" w:rsidTr="00DF5893">
        <w:trPr>
          <w:trHeight w:val="315"/>
        </w:trPr>
        <w:tc>
          <w:tcPr>
            <w:tcW w:w="400" w:type="pct"/>
            <w:shd w:val="clear" w:color="000000" w:fill="C6EFCE"/>
            <w:noWrap/>
            <w:vAlign w:val="center"/>
            <w:hideMark/>
          </w:tcPr>
          <w:p w14:paraId="4C9090D1"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116</w:t>
            </w:r>
          </w:p>
        </w:tc>
        <w:tc>
          <w:tcPr>
            <w:tcW w:w="2014" w:type="pct"/>
            <w:shd w:val="clear" w:color="000000" w:fill="C6EFCE"/>
            <w:noWrap/>
            <w:vAlign w:val="center"/>
            <w:hideMark/>
          </w:tcPr>
          <w:p w14:paraId="61106DC0"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Stimulating zero-emission transport – VLA (R-3.06)</w:t>
            </w:r>
          </w:p>
        </w:tc>
        <w:tc>
          <w:tcPr>
            <w:tcW w:w="417" w:type="pct"/>
            <w:shd w:val="clear" w:color="000000" w:fill="C6EFCE"/>
            <w:noWrap/>
            <w:vAlign w:val="center"/>
            <w:hideMark/>
          </w:tcPr>
          <w:p w14:paraId="4E4F580F"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w:t>
            </w:r>
          </w:p>
        </w:tc>
        <w:tc>
          <w:tcPr>
            <w:tcW w:w="2169" w:type="pct"/>
            <w:shd w:val="clear" w:color="000000" w:fill="C6EFCE"/>
            <w:noWrap/>
            <w:vAlign w:val="center"/>
            <w:hideMark/>
          </w:tcPr>
          <w:p w14:paraId="54F21436"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Adoption of a framework for the deployment of charging infrastructure in the Flemish Region</w:t>
            </w:r>
          </w:p>
        </w:tc>
      </w:tr>
      <w:tr w:rsidR="00232882" w:rsidRPr="001961AA" w14:paraId="591E1E7F" w14:textId="77777777" w:rsidTr="00DF5893">
        <w:trPr>
          <w:trHeight w:val="315"/>
        </w:trPr>
        <w:tc>
          <w:tcPr>
            <w:tcW w:w="400" w:type="pct"/>
            <w:shd w:val="clear" w:color="000000" w:fill="C6EFCE"/>
            <w:noWrap/>
            <w:vAlign w:val="center"/>
            <w:hideMark/>
          </w:tcPr>
          <w:p w14:paraId="6397E3B6"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120</w:t>
            </w:r>
          </w:p>
        </w:tc>
        <w:tc>
          <w:tcPr>
            <w:tcW w:w="2014" w:type="pct"/>
            <w:shd w:val="clear" w:color="000000" w:fill="C6EFCE"/>
            <w:noWrap/>
            <w:vAlign w:val="center"/>
            <w:hideMark/>
          </w:tcPr>
          <w:p w14:paraId="550799F4"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Charging stations – FED (I-3.18)</w:t>
            </w:r>
          </w:p>
        </w:tc>
        <w:tc>
          <w:tcPr>
            <w:tcW w:w="417" w:type="pct"/>
            <w:shd w:val="clear" w:color="000000" w:fill="C6EFCE"/>
            <w:noWrap/>
            <w:vAlign w:val="center"/>
            <w:hideMark/>
          </w:tcPr>
          <w:p w14:paraId="1FAA0181"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w:t>
            </w:r>
          </w:p>
        </w:tc>
        <w:tc>
          <w:tcPr>
            <w:tcW w:w="2169" w:type="pct"/>
            <w:shd w:val="clear" w:color="000000" w:fill="C6EFCE"/>
            <w:noWrap/>
            <w:vAlign w:val="center"/>
            <w:hideMark/>
          </w:tcPr>
          <w:p w14:paraId="58087FDD"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Adoption of the tax incentive to install private and semi-public charging points</w:t>
            </w:r>
          </w:p>
        </w:tc>
      </w:tr>
      <w:tr w:rsidR="00232882" w:rsidRPr="001961AA" w14:paraId="206D2834" w14:textId="77777777" w:rsidTr="00DF5893">
        <w:trPr>
          <w:trHeight w:val="315"/>
        </w:trPr>
        <w:tc>
          <w:tcPr>
            <w:tcW w:w="400" w:type="pct"/>
            <w:shd w:val="clear" w:color="000000" w:fill="C6EFCE"/>
            <w:noWrap/>
            <w:vAlign w:val="center"/>
            <w:hideMark/>
          </w:tcPr>
          <w:p w14:paraId="7384C679"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126</w:t>
            </w:r>
          </w:p>
        </w:tc>
        <w:tc>
          <w:tcPr>
            <w:tcW w:w="2014" w:type="pct"/>
            <w:shd w:val="clear" w:color="000000" w:fill="C6EFCE"/>
            <w:noWrap/>
            <w:vAlign w:val="center"/>
            <w:hideMark/>
          </w:tcPr>
          <w:p w14:paraId="47BF1614"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Zero-emission company cars (R-3.03)</w:t>
            </w:r>
          </w:p>
        </w:tc>
        <w:tc>
          <w:tcPr>
            <w:tcW w:w="417" w:type="pct"/>
            <w:shd w:val="clear" w:color="000000" w:fill="C6EFCE"/>
            <w:noWrap/>
            <w:vAlign w:val="center"/>
            <w:hideMark/>
          </w:tcPr>
          <w:p w14:paraId="08BEDC81"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w:t>
            </w:r>
          </w:p>
        </w:tc>
        <w:tc>
          <w:tcPr>
            <w:tcW w:w="2169" w:type="pct"/>
            <w:shd w:val="clear" w:color="000000" w:fill="C6EFCE"/>
            <w:noWrap/>
            <w:vAlign w:val="center"/>
            <w:hideMark/>
          </w:tcPr>
          <w:p w14:paraId="1D1DEF2C"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Adoption of the law reforming the company car tax scheme</w:t>
            </w:r>
          </w:p>
        </w:tc>
      </w:tr>
      <w:tr w:rsidR="00232882" w:rsidRPr="001961AA" w14:paraId="72E1CA15" w14:textId="77777777" w:rsidTr="00DF5893">
        <w:trPr>
          <w:trHeight w:val="315"/>
        </w:trPr>
        <w:tc>
          <w:tcPr>
            <w:tcW w:w="400" w:type="pct"/>
            <w:shd w:val="clear" w:color="000000" w:fill="C6EFCE"/>
            <w:noWrap/>
            <w:vAlign w:val="center"/>
            <w:hideMark/>
          </w:tcPr>
          <w:p w14:paraId="16AC15BB"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135</w:t>
            </w:r>
          </w:p>
        </w:tc>
        <w:tc>
          <w:tcPr>
            <w:tcW w:w="2014" w:type="pct"/>
            <w:shd w:val="clear" w:color="000000" w:fill="C6EFCE"/>
            <w:noWrap/>
            <w:vAlign w:val="center"/>
            <w:hideMark/>
          </w:tcPr>
          <w:p w14:paraId="62CA5B4F"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Personalised guidance in compulsory education (I-4.03)</w:t>
            </w:r>
          </w:p>
        </w:tc>
        <w:tc>
          <w:tcPr>
            <w:tcW w:w="417" w:type="pct"/>
            <w:shd w:val="clear" w:color="000000" w:fill="C6EFCE"/>
            <w:noWrap/>
            <w:vAlign w:val="center"/>
            <w:hideMark/>
          </w:tcPr>
          <w:p w14:paraId="081DBE45"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w:t>
            </w:r>
          </w:p>
        </w:tc>
        <w:tc>
          <w:tcPr>
            <w:tcW w:w="2169" w:type="pct"/>
            <w:shd w:val="clear" w:color="000000" w:fill="C6EFCE"/>
            <w:noWrap/>
            <w:vAlign w:val="center"/>
            <w:hideMark/>
          </w:tcPr>
          <w:p w14:paraId="78190500"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Adoption of a new decree framework that sets the terms of intervention of the system</w:t>
            </w:r>
          </w:p>
        </w:tc>
      </w:tr>
      <w:tr w:rsidR="00232882" w:rsidRPr="001961AA" w14:paraId="18C40DFB" w14:textId="77777777" w:rsidTr="00DF5893">
        <w:trPr>
          <w:trHeight w:val="315"/>
        </w:trPr>
        <w:tc>
          <w:tcPr>
            <w:tcW w:w="400" w:type="pct"/>
            <w:shd w:val="clear" w:color="000000" w:fill="C6EFCE"/>
            <w:noWrap/>
            <w:vAlign w:val="center"/>
            <w:hideMark/>
          </w:tcPr>
          <w:p w14:paraId="5B1275D9"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137</w:t>
            </w:r>
          </w:p>
        </w:tc>
        <w:tc>
          <w:tcPr>
            <w:tcW w:w="2014" w:type="pct"/>
            <w:shd w:val="clear" w:color="000000" w:fill="C6EFCE"/>
            <w:noWrap/>
            <w:vAlign w:val="center"/>
            <w:hideMark/>
          </w:tcPr>
          <w:p w14:paraId="6E3FE729"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Digital turnaround for Brussels schools (I-4.05)</w:t>
            </w:r>
          </w:p>
        </w:tc>
        <w:tc>
          <w:tcPr>
            <w:tcW w:w="417" w:type="pct"/>
            <w:shd w:val="clear" w:color="000000" w:fill="C6EFCE"/>
            <w:noWrap/>
            <w:vAlign w:val="center"/>
            <w:hideMark/>
          </w:tcPr>
          <w:p w14:paraId="24940E3A"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T</w:t>
            </w:r>
          </w:p>
        </w:tc>
        <w:tc>
          <w:tcPr>
            <w:tcW w:w="2169" w:type="pct"/>
            <w:shd w:val="clear" w:color="000000" w:fill="C6EFCE"/>
            <w:noWrap/>
            <w:vAlign w:val="center"/>
            <w:hideMark/>
          </w:tcPr>
          <w:p w14:paraId="5EF28423"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Equipping schools/institutions with adequate ICT devices and infrastructure to improve the overall performance of education systems</w:t>
            </w:r>
          </w:p>
        </w:tc>
      </w:tr>
      <w:tr w:rsidR="00232882" w:rsidRPr="001961AA" w14:paraId="3A2ED3B0" w14:textId="77777777" w:rsidTr="00DF5893">
        <w:trPr>
          <w:trHeight w:val="315"/>
        </w:trPr>
        <w:tc>
          <w:tcPr>
            <w:tcW w:w="400" w:type="pct"/>
            <w:shd w:val="clear" w:color="000000" w:fill="C6EFCE"/>
            <w:noWrap/>
            <w:vAlign w:val="center"/>
            <w:hideMark/>
          </w:tcPr>
          <w:p w14:paraId="345912CD"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150</w:t>
            </w:r>
          </w:p>
        </w:tc>
        <w:tc>
          <w:tcPr>
            <w:tcW w:w="2014" w:type="pct"/>
            <w:shd w:val="clear" w:color="000000" w:fill="C6EFCE"/>
            <w:noWrap/>
            <w:vAlign w:val="center"/>
            <w:hideMark/>
          </w:tcPr>
          <w:p w14:paraId="58331A4A"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Development of public utility housing and housing for vulnerable persons (I-4.12)</w:t>
            </w:r>
          </w:p>
        </w:tc>
        <w:tc>
          <w:tcPr>
            <w:tcW w:w="417" w:type="pct"/>
            <w:shd w:val="clear" w:color="000000" w:fill="C6EFCE"/>
            <w:noWrap/>
            <w:vAlign w:val="center"/>
            <w:hideMark/>
          </w:tcPr>
          <w:p w14:paraId="3B845E3A"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w:t>
            </w:r>
          </w:p>
        </w:tc>
        <w:tc>
          <w:tcPr>
            <w:tcW w:w="2169" w:type="pct"/>
            <w:shd w:val="clear" w:color="000000" w:fill="C6EFCE"/>
            <w:noWrap/>
            <w:vAlign w:val="center"/>
            <w:hideMark/>
          </w:tcPr>
          <w:p w14:paraId="601FACA3"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Walloon Strategy for deinstitutionalisation (Walloon health policy)</w:t>
            </w:r>
          </w:p>
        </w:tc>
      </w:tr>
      <w:tr w:rsidR="00232882" w:rsidRPr="001961AA" w14:paraId="7C1C95EF" w14:textId="77777777" w:rsidTr="00DF5893">
        <w:trPr>
          <w:trHeight w:val="315"/>
        </w:trPr>
        <w:tc>
          <w:tcPr>
            <w:tcW w:w="400" w:type="pct"/>
            <w:shd w:val="clear" w:color="000000" w:fill="C6EFCE"/>
            <w:noWrap/>
            <w:vAlign w:val="center"/>
            <w:hideMark/>
          </w:tcPr>
          <w:p w14:paraId="317BE50C"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157</w:t>
            </w:r>
          </w:p>
        </w:tc>
        <w:tc>
          <w:tcPr>
            <w:tcW w:w="2014" w:type="pct"/>
            <w:shd w:val="clear" w:color="000000" w:fill="C6EFCE"/>
            <w:noWrap/>
            <w:vAlign w:val="center"/>
            <w:hideMark/>
          </w:tcPr>
          <w:p w14:paraId="790EDC97"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Pension and end of career (R-4.07)</w:t>
            </w:r>
          </w:p>
        </w:tc>
        <w:tc>
          <w:tcPr>
            <w:tcW w:w="417" w:type="pct"/>
            <w:shd w:val="clear" w:color="000000" w:fill="C6EFCE"/>
            <w:noWrap/>
            <w:vAlign w:val="center"/>
            <w:hideMark/>
          </w:tcPr>
          <w:p w14:paraId="4A3187E3"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w:t>
            </w:r>
          </w:p>
        </w:tc>
        <w:tc>
          <w:tcPr>
            <w:tcW w:w="2169" w:type="pct"/>
            <w:shd w:val="clear" w:color="000000" w:fill="C6EFCE"/>
            <w:noWrap/>
            <w:vAlign w:val="center"/>
            <w:hideMark/>
          </w:tcPr>
          <w:p w14:paraId="6936F331"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Pension reform proposal</w:t>
            </w:r>
          </w:p>
        </w:tc>
      </w:tr>
      <w:tr w:rsidR="00232882" w:rsidRPr="001961AA" w14:paraId="558DDF37" w14:textId="77777777" w:rsidTr="00DF5893">
        <w:trPr>
          <w:trHeight w:val="315"/>
        </w:trPr>
        <w:tc>
          <w:tcPr>
            <w:tcW w:w="400" w:type="pct"/>
            <w:shd w:val="clear" w:color="000000" w:fill="C6EFCE"/>
            <w:noWrap/>
            <w:vAlign w:val="center"/>
            <w:hideMark/>
          </w:tcPr>
          <w:p w14:paraId="6FB0EAAE"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172</w:t>
            </w:r>
          </w:p>
        </w:tc>
        <w:tc>
          <w:tcPr>
            <w:tcW w:w="2014" w:type="pct"/>
            <w:shd w:val="clear" w:color="000000" w:fill="C6EFCE"/>
            <w:noWrap/>
            <w:vAlign w:val="center"/>
            <w:hideMark/>
          </w:tcPr>
          <w:p w14:paraId="712814F6"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Learning account (R-5.03)</w:t>
            </w:r>
          </w:p>
        </w:tc>
        <w:tc>
          <w:tcPr>
            <w:tcW w:w="417" w:type="pct"/>
            <w:shd w:val="clear" w:color="000000" w:fill="C6EFCE"/>
            <w:noWrap/>
            <w:vAlign w:val="center"/>
            <w:hideMark/>
          </w:tcPr>
          <w:p w14:paraId="29B91608"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w:t>
            </w:r>
          </w:p>
        </w:tc>
        <w:tc>
          <w:tcPr>
            <w:tcW w:w="2169" w:type="pct"/>
            <w:shd w:val="clear" w:color="000000" w:fill="C6EFCE"/>
            <w:noWrap/>
            <w:vAlign w:val="center"/>
            <w:hideMark/>
          </w:tcPr>
          <w:p w14:paraId="3C8F03B4"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Federal reform developing individual entitlement to training for employees</w:t>
            </w:r>
          </w:p>
        </w:tc>
      </w:tr>
      <w:tr w:rsidR="00232882" w:rsidRPr="001961AA" w14:paraId="6622B660" w14:textId="77777777" w:rsidTr="00DF5893">
        <w:trPr>
          <w:trHeight w:val="315"/>
        </w:trPr>
        <w:tc>
          <w:tcPr>
            <w:tcW w:w="400" w:type="pct"/>
            <w:shd w:val="clear" w:color="000000" w:fill="C6EFCE"/>
            <w:noWrap/>
            <w:vAlign w:val="center"/>
            <w:hideMark/>
          </w:tcPr>
          <w:p w14:paraId="3EB91E1E"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173</w:t>
            </w:r>
          </w:p>
        </w:tc>
        <w:tc>
          <w:tcPr>
            <w:tcW w:w="2014" w:type="pct"/>
            <w:shd w:val="clear" w:color="000000" w:fill="C6EFCE"/>
            <w:noWrap/>
            <w:vAlign w:val="center"/>
            <w:hideMark/>
          </w:tcPr>
          <w:p w14:paraId="5EC53645"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Learning account (R-5.03)</w:t>
            </w:r>
          </w:p>
        </w:tc>
        <w:tc>
          <w:tcPr>
            <w:tcW w:w="417" w:type="pct"/>
            <w:shd w:val="clear" w:color="000000" w:fill="C6EFCE"/>
            <w:noWrap/>
            <w:vAlign w:val="center"/>
            <w:hideMark/>
          </w:tcPr>
          <w:p w14:paraId="4EBFD8F2"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w:t>
            </w:r>
          </w:p>
        </w:tc>
        <w:tc>
          <w:tcPr>
            <w:tcW w:w="2169" w:type="pct"/>
            <w:shd w:val="clear" w:color="000000" w:fill="C6EFCE"/>
            <w:noWrap/>
            <w:vAlign w:val="center"/>
            <w:hideMark/>
          </w:tcPr>
          <w:p w14:paraId="30F29AA0"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Federal reform creating incentives for companies to provide training</w:t>
            </w:r>
          </w:p>
        </w:tc>
      </w:tr>
      <w:tr w:rsidR="00232882" w:rsidRPr="001961AA" w14:paraId="66BA4222" w14:textId="77777777" w:rsidTr="00DF5893">
        <w:trPr>
          <w:trHeight w:val="315"/>
        </w:trPr>
        <w:tc>
          <w:tcPr>
            <w:tcW w:w="400" w:type="pct"/>
            <w:shd w:val="clear" w:color="000000" w:fill="C6EFCE"/>
            <w:noWrap/>
            <w:vAlign w:val="center"/>
            <w:hideMark/>
          </w:tcPr>
          <w:p w14:paraId="5CBB814D"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177</w:t>
            </w:r>
          </w:p>
        </w:tc>
        <w:tc>
          <w:tcPr>
            <w:tcW w:w="2014" w:type="pct"/>
            <w:shd w:val="clear" w:color="000000" w:fill="C6EFCE"/>
            <w:noWrap/>
            <w:vAlign w:val="center"/>
            <w:hideMark/>
          </w:tcPr>
          <w:p w14:paraId="205C4D8D"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Reform of support to jobseekers in Wallonia (R-5.05)</w:t>
            </w:r>
          </w:p>
        </w:tc>
        <w:tc>
          <w:tcPr>
            <w:tcW w:w="417" w:type="pct"/>
            <w:shd w:val="clear" w:color="000000" w:fill="C6EFCE"/>
            <w:noWrap/>
            <w:vAlign w:val="center"/>
            <w:hideMark/>
          </w:tcPr>
          <w:p w14:paraId="1017E741"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w:t>
            </w:r>
          </w:p>
        </w:tc>
        <w:tc>
          <w:tcPr>
            <w:tcW w:w="2169" w:type="pct"/>
            <w:shd w:val="clear" w:color="000000" w:fill="C6EFCE"/>
            <w:noWrap/>
            <w:vAlign w:val="center"/>
            <w:hideMark/>
          </w:tcPr>
          <w:p w14:paraId="000F519A"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Reform of support for jobseekers in Wallonia</w:t>
            </w:r>
          </w:p>
        </w:tc>
      </w:tr>
      <w:tr w:rsidR="00232882" w:rsidRPr="001961AA" w14:paraId="5D00A5C5" w14:textId="77777777" w:rsidTr="00DF5893">
        <w:trPr>
          <w:trHeight w:val="315"/>
        </w:trPr>
        <w:tc>
          <w:tcPr>
            <w:tcW w:w="400" w:type="pct"/>
            <w:shd w:val="clear" w:color="000000" w:fill="C6EFCE"/>
            <w:noWrap/>
            <w:vAlign w:val="center"/>
            <w:hideMark/>
          </w:tcPr>
          <w:p w14:paraId="1287ED3E"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196</w:t>
            </w:r>
          </w:p>
        </w:tc>
        <w:tc>
          <w:tcPr>
            <w:tcW w:w="2014" w:type="pct"/>
            <w:shd w:val="clear" w:color="000000" w:fill="C6EFCE"/>
            <w:noWrap/>
            <w:vAlign w:val="center"/>
            <w:hideMark/>
          </w:tcPr>
          <w:p w14:paraId="03A5314E"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Governance Circular Flanders (R-5.09)</w:t>
            </w:r>
          </w:p>
        </w:tc>
        <w:tc>
          <w:tcPr>
            <w:tcW w:w="417" w:type="pct"/>
            <w:shd w:val="clear" w:color="000000" w:fill="C6EFCE"/>
            <w:noWrap/>
            <w:vAlign w:val="center"/>
            <w:hideMark/>
          </w:tcPr>
          <w:p w14:paraId="73611F47"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w:t>
            </w:r>
          </w:p>
        </w:tc>
        <w:tc>
          <w:tcPr>
            <w:tcW w:w="2169" w:type="pct"/>
            <w:shd w:val="clear" w:color="000000" w:fill="C6EFCE"/>
            <w:noWrap/>
            <w:vAlign w:val="center"/>
            <w:hideMark/>
          </w:tcPr>
          <w:p w14:paraId="6FF9CB7E"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Launch of Steering Group of Circular Flanders</w:t>
            </w:r>
          </w:p>
        </w:tc>
      </w:tr>
      <w:tr w:rsidR="00232882" w:rsidRPr="001961AA" w14:paraId="4DD2F99D" w14:textId="77777777" w:rsidTr="00DF5893">
        <w:trPr>
          <w:trHeight w:val="315"/>
        </w:trPr>
        <w:tc>
          <w:tcPr>
            <w:tcW w:w="400" w:type="pct"/>
            <w:shd w:val="clear" w:color="000000" w:fill="C6EFCE"/>
            <w:noWrap/>
            <w:vAlign w:val="center"/>
            <w:hideMark/>
          </w:tcPr>
          <w:p w14:paraId="7CE46049"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205</w:t>
            </w:r>
          </w:p>
        </w:tc>
        <w:tc>
          <w:tcPr>
            <w:tcW w:w="2014" w:type="pct"/>
            <w:shd w:val="clear" w:color="000000" w:fill="C6EFCE"/>
            <w:noWrap/>
            <w:vAlign w:val="center"/>
            <w:hideMark/>
          </w:tcPr>
          <w:p w14:paraId="604EDC09"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Spending reviews (R-6)</w:t>
            </w:r>
          </w:p>
        </w:tc>
        <w:tc>
          <w:tcPr>
            <w:tcW w:w="417" w:type="pct"/>
            <w:shd w:val="clear" w:color="000000" w:fill="C6EFCE"/>
            <w:noWrap/>
            <w:vAlign w:val="center"/>
            <w:hideMark/>
          </w:tcPr>
          <w:p w14:paraId="4C5C2780"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w:t>
            </w:r>
          </w:p>
        </w:tc>
        <w:tc>
          <w:tcPr>
            <w:tcW w:w="2169" w:type="pct"/>
            <w:shd w:val="clear" w:color="000000" w:fill="C6EFCE"/>
            <w:noWrap/>
            <w:vAlign w:val="center"/>
            <w:hideMark/>
          </w:tcPr>
          <w:p w14:paraId="0664385D"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Spending review pilot or integration into budgetary process (1)</w:t>
            </w:r>
          </w:p>
        </w:tc>
      </w:tr>
      <w:tr w:rsidR="00232882" w:rsidRPr="001961AA" w14:paraId="6BF9C5D4" w14:textId="77777777" w:rsidTr="00DF5893">
        <w:trPr>
          <w:trHeight w:val="315"/>
        </w:trPr>
        <w:tc>
          <w:tcPr>
            <w:tcW w:w="400" w:type="pct"/>
            <w:shd w:val="clear" w:color="000000" w:fill="C6EFCE"/>
            <w:noWrap/>
            <w:vAlign w:val="center"/>
            <w:hideMark/>
          </w:tcPr>
          <w:p w14:paraId="31BECDDC"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209</w:t>
            </w:r>
          </w:p>
        </w:tc>
        <w:tc>
          <w:tcPr>
            <w:tcW w:w="2014" w:type="pct"/>
            <w:shd w:val="clear" w:color="000000" w:fill="C6EFCE"/>
            <w:noWrap/>
            <w:vAlign w:val="center"/>
            <w:hideMark/>
          </w:tcPr>
          <w:p w14:paraId="7FEC31E2"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Monitoring and implementation of the plan</w:t>
            </w:r>
          </w:p>
        </w:tc>
        <w:tc>
          <w:tcPr>
            <w:tcW w:w="417" w:type="pct"/>
            <w:shd w:val="clear" w:color="000000" w:fill="C6EFCE"/>
            <w:noWrap/>
            <w:vAlign w:val="center"/>
            <w:hideMark/>
          </w:tcPr>
          <w:p w14:paraId="23429773"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w:t>
            </w:r>
          </w:p>
        </w:tc>
        <w:tc>
          <w:tcPr>
            <w:tcW w:w="2169" w:type="pct"/>
            <w:shd w:val="clear" w:color="000000" w:fill="C6EFCE"/>
            <w:noWrap/>
            <w:vAlign w:val="center"/>
            <w:hideMark/>
          </w:tcPr>
          <w:p w14:paraId="4CB8E36E"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Repository system for Audit and Controls: information for monitoring implementation of RRF</w:t>
            </w:r>
          </w:p>
        </w:tc>
      </w:tr>
      <w:tr w:rsidR="00232882" w:rsidRPr="001961AA" w14:paraId="3C811CB2" w14:textId="77777777" w:rsidTr="00DF5893">
        <w:trPr>
          <w:trHeight w:val="315"/>
        </w:trPr>
        <w:tc>
          <w:tcPr>
            <w:tcW w:w="400" w:type="pct"/>
            <w:shd w:val="clear" w:color="000000" w:fill="C6EFCE"/>
            <w:noWrap/>
            <w:vAlign w:val="center"/>
            <w:hideMark/>
          </w:tcPr>
          <w:p w14:paraId="6827522B"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210</w:t>
            </w:r>
          </w:p>
        </w:tc>
        <w:tc>
          <w:tcPr>
            <w:tcW w:w="2014" w:type="pct"/>
            <w:shd w:val="clear" w:color="000000" w:fill="C6EFCE"/>
            <w:noWrap/>
            <w:vAlign w:val="center"/>
            <w:hideMark/>
          </w:tcPr>
          <w:p w14:paraId="47883B13"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Monitoring and implementation of the plan</w:t>
            </w:r>
          </w:p>
        </w:tc>
        <w:tc>
          <w:tcPr>
            <w:tcW w:w="417" w:type="pct"/>
            <w:shd w:val="clear" w:color="000000" w:fill="C6EFCE"/>
            <w:noWrap/>
            <w:vAlign w:val="center"/>
            <w:hideMark/>
          </w:tcPr>
          <w:p w14:paraId="504F209E"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w:t>
            </w:r>
          </w:p>
        </w:tc>
        <w:tc>
          <w:tcPr>
            <w:tcW w:w="2169" w:type="pct"/>
            <w:shd w:val="clear" w:color="000000" w:fill="C6EFCE"/>
            <w:noWrap/>
            <w:vAlign w:val="center"/>
            <w:hideMark/>
          </w:tcPr>
          <w:p w14:paraId="06A329A4"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Protection of EU financial interest</w:t>
            </w:r>
          </w:p>
        </w:tc>
      </w:tr>
      <w:tr w:rsidR="00232882" w:rsidRPr="001961AA" w14:paraId="0876717D" w14:textId="77777777" w:rsidTr="00DF5893">
        <w:trPr>
          <w:trHeight w:val="315"/>
        </w:trPr>
        <w:tc>
          <w:tcPr>
            <w:tcW w:w="400" w:type="pct"/>
            <w:shd w:val="clear" w:color="000000" w:fill="C6EFCE"/>
            <w:noWrap/>
            <w:vAlign w:val="center"/>
          </w:tcPr>
          <w:p w14:paraId="4036A145"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eastAsia="en-IE"/>
              </w:rPr>
            </w:pPr>
          </w:p>
        </w:tc>
        <w:tc>
          <w:tcPr>
            <w:tcW w:w="2431" w:type="pct"/>
            <w:gridSpan w:val="2"/>
            <w:shd w:val="clear" w:color="000000" w:fill="C6EFCE"/>
            <w:noWrap/>
            <w:vAlign w:val="center"/>
          </w:tcPr>
          <w:p w14:paraId="0AD5AE49" w14:textId="77777777" w:rsidR="00232882" w:rsidRPr="001961AA" w:rsidRDefault="00232882" w:rsidP="00FF36ED">
            <w:pPr>
              <w:spacing w:after="0"/>
              <w:jc w:val="right"/>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Instalment amount</w:t>
            </w:r>
          </w:p>
        </w:tc>
        <w:tc>
          <w:tcPr>
            <w:tcW w:w="2169" w:type="pct"/>
            <w:shd w:val="clear" w:color="000000" w:fill="C6EFCE"/>
            <w:noWrap/>
            <w:vAlign w:val="center"/>
          </w:tcPr>
          <w:p w14:paraId="428BCE4E" w14:textId="063D9518"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EUR 973</w:t>
            </w:r>
            <w:r w:rsidRPr="001961AA">
              <w:rPr>
                <w:noProof/>
                <w:lang w:val="en-GB"/>
              </w:rPr>
              <w:t xml:space="preserve"> </w:t>
            </w:r>
            <w:r w:rsidRPr="001961AA">
              <w:rPr>
                <w:rFonts w:ascii="Times New Roman" w:hAnsi="Times New Roman"/>
                <w:noProof/>
                <w:color w:val="006100"/>
                <w:sz w:val="20"/>
                <w:lang w:val="en-GB"/>
              </w:rPr>
              <w:t>994</w:t>
            </w:r>
            <w:r w:rsidRPr="001961AA">
              <w:rPr>
                <w:noProof/>
                <w:lang w:val="en-GB"/>
              </w:rPr>
              <w:t xml:space="preserve"> </w:t>
            </w:r>
            <w:r w:rsidRPr="001961AA">
              <w:rPr>
                <w:rFonts w:ascii="Times New Roman" w:hAnsi="Times New Roman"/>
                <w:noProof/>
                <w:color w:val="006100"/>
                <w:sz w:val="20"/>
                <w:lang w:val="en-GB"/>
              </w:rPr>
              <w:t>000</w:t>
            </w:r>
          </w:p>
        </w:tc>
      </w:tr>
    </w:tbl>
    <w:p w14:paraId="42EC7225" w14:textId="77777777" w:rsidR="00232882" w:rsidRPr="001961AA" w:rsidRDefault="00232882" w:rsidP="00232882">
      <w:pPr>
        <w:rPr>
          <w:rFonts w:ascii="Times New Roman" w:hAnsi="Times New Roman" w:cs="Times New Roman"/>
          <w:noProof/>
          <w:lang w:val="en-GB"/>
        </w:rPr>
      </w:pPr>
    </w:p>
    <w:p w14:paraId="03E3D5F4" w14:textId="4C8B7758" w:rsidR="00232882" w:rsidRPr="00BF1DC6" w:rsidRDefault="00232882" w:rsidP="00420B74">
      <w:pPr>
        <w:pStyle w:val="ManualNumPar1"/>
        <w:rPr>
          <w:noProof/>
          <w:lang w:val="fr-BE"/>
        </w:rPr>
      </w:pPr>
      <w:bookmarkStart w:id="9" w:name="_Hlk148369159"/>
      <w:r w:rsidRPr="00BF1DC6">
        <w:rPr>
          <w:noProof/>
          <w:lang w:val="fr-BE"/>
        </w:rPr>
        <w:t>Second instalment (non-repayable support):</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EFCE"/>
        <w:tblLayout w:type="fixed"/>
        <w:tblLook w:val="04A0" w:firstRow="1" w:lastRow="0" w:firstColumn="1" w:lastColumn="0" w:noHBand="0" w:noVBand="1"/>
      </w:tblPr>
      <w:tblGrid>
        <w:gridCol w:w="704"/>
        <w:gridCol w:w="4223"/>
        <w:gridCol w:w="737"/>
        <w:gridCol w:w="4542"/>
      </w:tblGrid>
      <w:tr w:rsidR="00232882" w:rsidRPr="001961AA" w14:paraId="19FBDD35" w14:textId="77777777" w:rsidTr="007C7ABA">
        <w:trPr>
          <w:trHeight w:val="300"/>
          <w:tblHeader/>
        </w:trPr>
        <w:tc>
          <w:tcPr>
            <w:tcW w:w="345" w:type="pct"/>
            <w:shd w:val="clear" w:color="auto" w:fill="BDD7EE"/>
            <w:noWrap/>
            <w:vAlign w:val="bottom"/>
            <w:hideMark/>
          </w:tcPr>
          <w:bookmarkEnd w:id="9"/>
          <w:p w14:paraId="5693A351" w14:textId="77777777" w:rsidR="00232882" w:rsidRPr="001961AA" w:rsidRDefault="00232882" w:rsidP="00DF5893">
            <w:pPr>
              <w:spacing w:before="120" w:after="120"/>
              <w:jc w:val="center"/>
              <w:rPr>
                <w:rFonts w:ascii="Times New Roman" w:eastAsia="Times New Roman" w:hAnsi="Times New Roman" w:cs="Times New Roman"/>
                <w:b/>
                <w:bCs/>
                <w:noProof/>
                <w:color w:val="000000"/>
                <w:sz w:val="20"/>
                <w:szCs w:val="20"/>
                <w:lang w:val="en-GB"/>
              </w:rPr>
            </w:pPr>
            <w:r w:rsidRPr="001961AA">
              <w:rPr>
                <w:rFonts w:ascii="Times New Roman" w:hAnsi="Times New Roman"/>
                <w:b/>
                <w:noProof/>
                <w:color w:val="000000"/>
                <w:sz w:val="20"/>
                <w:lang w:val="en-GB"/>
              </w:rPr>
              <w:t>Seq. nb</w:t>
            </w:r>
          </w:p>
        </w:tc>
        <w:tc>
          <w:tcPr>
            <w:tcW w:w="2069" w:type="pct"/>
            <w:shd w:val="clear" w:color="auto" w:fill="BDD7EE"/>
            <w:noWrap/>
            <w:vAlign w:val="bottom"/>
            <w:hideMark/>
          </w:tcPr>
          <w:p w14:paraId="78ED44AC" w14:textId="77777777" w:rsidR="00232882" w:rsidRPr="001961AA" w:rsidRDefault="00232882" w:rsidP="00727EEC">
            <w:pPr>
              <w:spacing w:before="120" w:after="120"/>
              <w:jc w:val="center"/>
              <w:rPr>
                <w:rFonts w:ascii="Times New Roman" w:eastAsia="Times New Roman" w:hAnsi="Times New Roman" w:cs="Times New Roman"/>
                <w:b/>
                <w:bCs/>
                <w:noProof/>
                <w:color w:val="000000"/>
                <w:sz w:val="20"/>
                <w:szCs w:val="20"/>
                <w:lang w:val="en-GB"/>
              </w:rPr>
            </w:pPr>
            <w:r w:rsidRPr="001961AA">
              <w:rPr>
                <w:rFonts w:ascii="Times New Roman" w:hAnsi="Times New Roman"/>
                <w:b/>
                <w:noProof/>
                <w:color w:val="000000"/>
                <w:sz w:val="20"/>
                <w:lang w:val="en-GB"/>
              </w:rPr>
              <w:t>Name of the measure</w:t>
            </w:r>
          </w:p>
        </w:tc>
        <w:tc>
          <w:tcPr>
            <w:tcW w:w="361" w:type="pct"/>
            <w:shd w:val="clear" w:color="auto" w:fill="BDD7EE"/>
            <w:noWrap/>
            <w:vAlign w:val="bottom"/>
            <w:hideMark/>
          </w:tcPr>
          <w:p w14:paraId="41706A0E" w14:textId="77777777" w:rsidR="00232882" w:rsidRPr="001961AA" w:rsidRDefault="00232882" w:rsidP="00727EEC">
            <w:pPr>
              <w:spacing w:before="120" w:after="120"/>
              <w:jc w:val="center"/>
              <w:rPr>
                <w:rFonts w:ascii="Times New Roman" w:eastAsia="Times New Roman" w:hAnsi="Times New Roman" w:cs="Times New Roman"/>
                <w:b/>
                <w:bCs/>
                <w:noProof/>
                <w:color w:val="000000"/>
                <w:sz w:val="20"/>
                <w:szCs w:val="20"/>
                <w:lang w:val="en-GB"/>
              </w:rPr>
            </w:pPr>
            <w:r w:rsidRPr="001961AA">
              <w:rPr>
                <w:rFonts w:ascii="Times New Roman" w:hAnsi="Times New Roman"/>
                <w:b/>
                <w:noProof/>
                <w:color w:val="000000"/>
                <w:sz w:val="20"/>
                <w:lang w:val="en-GB"/>
              </w:rPr>
              <w:t>M/T</w:t>
            </w:r>
          </w:p>
        </w:tc>
        <w:tc>
          <w:tcPr>
            <w:tcW w:w="2225" w:type="pct"/>
            <w:shd w:val="clear" w:color="auto" w:fill="BDD7EE"/>
            <w:noWrap/>
            <w:vAlign w:val="bottom"/>
            <w:hideMark/>
          </w:tcPr>
          <w:p w14:paraId="10A16066" w14:textId="77777777" w:rsidR="00232882" w:rsidRPr="001961AA" w:rsidRDefault="00232882" w:rsidP="00727EEC">
            <w:pPr>
              <w:spacing w:before="120" w:after="120"/>
              <w:jc w:val="center"/>
              <w:rPr>
                <w:rFonts w:ascii="Times New Roman" w:eastAsia="Times New Roman" w:hAnsi="Times New Roman" w:cs="Times New Roman"/>
                <w:b/>
                <w:bCs/>
                <w:noProof/>
                <w:color w:val="000000"/>
                <w:sz w:val="20"/>
                <w:szCs w:val="20"/>
                <w:lang w:val="en-GB"/>
              </w:rPr>
            </w:pPr>
            <w:r w:rsidRPr="001961AA">
              <w:rPr>
                <w:rFonts w:ascii="Times New Roman" w:hAnsi="Times New Roman"/>
                <w:b/>
                <w:noProof/>
                <w:color w:val="000000"/>
                <w:sz w:val="20"/>
                <w:lang w:val="en-GB"/>
              </w:rPr>
              <w:t>Name</w:t>
            </w:r>
          </w:p>
        </w:tc>
      </w:tr>
      <w:tr w:rsidR="00232882" w:rsidRPr="001961AA" w14:paraId="36102CDA" w14:textId="77777777" w:rsidTr="007C7ABA">
        <w:trPr>
          <w:trHeight w:val="315"/>
        </w:trPr>
        <w:tc>
          <w:tcPr>
            <w:tcW w:w="345" w:type="pct"/>
            <w:shd w:val="clear" w:color="auto" w:fill="C6EFCE"/>
            <w:noWrap/>
            <w:vAlign w:val="center"/>
            <w:hideMark/>
          </w:tcPr>
          <w:p w14:paraId="6E61FDE9"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1</w:t>
            </w:r>
          </w:p>
        </w:tc>
        <w:tc>
          <w:tcPr>
            <w:tcW w:w="2069" w:type="pct"/>
            <w:shd w:val="clear" w:color="auto" w:fill="C6EFCE"/>
            <w:noWrap/>
            <w:vAlign w:val="center"/>
            <w:hideMark/>
          </w:tcPr>
          <w:p w14:paraId="4056D4AC"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Improved energy grant scheme in the Flemish region (R-1.01)</w:t>
            </w:r>
          </w:p>
        </w:tc>
        <w:tc>
          <w:tcPr>
            <w:tcW w:w="361" w:type="pct"/>
            <w:shd w:val="clear" w:color="auto" w:fill="C6EFCE"/>
            <w:noWrap/>
            <w:vAlign w:val="center"/>
            <w:hideMark/>
          </w:tcPr>
          <w:p w14:paraId="5E299C3B"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w:t>
            </w:r>
          </w:p>
        </w:tc>
        <w:tc>
          <w:tcPr>
            <w:tcW w:w="2225" w:type="pct"/>
            <w:shd w:val="clear" w:color="auto" w:fill="C6EFCE"/>
            <w:noWrap/>
            <w:vAlign w:val="center"/>
            <w:hideMark/>
          </w:tcPr>
          <w:p w14:paraId="7D5B63CA"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Improved energy grant schemes in Flanders</w:t>
            </w:r>
          </w:p>
        </w:tc>
      </w:tr>
      <w:tr w:rsidR="00232882" w:rsidRPr="001961AA" w14:paraId="3D9708C2" w14:textId="77777777" w:rsidTr="007C7ABA">
        <w:trPr>
          <w:trHeight w:val="315"/>
        </w:trPr>
        <w:tc>
          <w:tcPr>
            <w:tcW w:w="345" w:type="pct"/>
            <w:shd w:val="clear" w:color="auto" w:fill="C6EFCE"/>
            <w:noWrap/>
            <w:vAlign w:val="center"/>
            <w:hideMark/>
          </w:tcPr>
          <w:p w14:paraId="25957366"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2</w:t>
            </w:r>
          </w:p>
        </w:tc>
        <w:tc>
          <w:tcPr>
            <w:tcW w:w="2069" w:type="pct"/>
            <w:shd w:val="clear" w:color="auto" w:fill="C6EFCE"/>
            <w:noWrap/>
            <w:vAlign w:val="center"/>
            <w:hideMark/>
          </w:tcPr>
          <w:p w14:paraId="7178DF7A"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Improved energy grant scheme of the Brussels-Capital region (R-1.02)</w:t>
            </w:r>
          </w:p>
        </w:tc>
        <w:tc>
          <w:tcPr>
            <w:tcW w:w="361" w:type="pct"/>
            <w:shd w:val="clear" w:color="auto" w:fill="C6EFCE"/>
            <w:noWrap/>
            <w:vAlign w:val="center"/>
            <w:hideMark/>
          </w:tcPr>
          <w:p w14:paraId="452239D7"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w:t>
            </w:r>
          </w:p>
        </w:tc>
        <w:tc>
          <w:tcPr>
            <w:tcW w:w="2225" w:type="pct"/>
            <w:shd w:val="clear" w:color="auto" w:fill="C6EFCE"/>
            <w:noWrap/>
            <w:vAlign w:val="center"/>
            <w:hideMark/>
          </w:tcPr>
          <w:p w14:paraId="4D11C3F2"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Entry into force of new regulation on energy grant schemes in Brussels</w:t>
            </w:r>
          </w:p>
        </w:tc>
      </w:tr>
      <w:tr w:rsidR="00232882" w:rsidRPr="001961AA" w14:paraId="1CB00FB4" w14:textId="77777777" w:rsidTr="007C7ABA">
        <w:trPr>
          <w:trHeight w:val="315"/>
        </w:trPr>
        <w:tc>
          <w:tcPr>
            <w:tcW w:w="345" w:type="pct"/>
            <w:shd w:val="clear" w:color="auto" w:fill="C6EFCE"/>
            <w:noWrap/>
            <w:vAlign w:val="center"/>
            <w:hideMark/>
          </w:tcPr>
          <w:p w14:paraId="6637DF41"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3</w:t>
            </w:r>
          </w:p>
        </w:tc>
        <w:tc>
          <w:tcPr>
            <w:tcW w:w="2069" w:type="pct"/>
            <w:shd w:val="clear" w:color="auto" w:fill="C6EFCE"/>
            <w:noWrap/>
            <w:vAlign w:val="center"/>
            <w:hideMark/>
          </w:tcPr>
          <w:p w14:paraId="087CA638" w14:textId="7F345D1B"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Improved energy grant scheme of the German-speaking Community (R-1.03)</w:t>
            </w:r>
          </w:p>
        </w:tc>
        <w:tc>
          <w:tcPr>
            <w:tcW w:w="361" w:type="pct"/>
            <w:shd w:val="clear" w:color="auto" w:fill="C6EFCE"/>
            <w:noWrap/>
            <w:vAlign w:val="center"/>
            <w:hideMark/>
          </w:tcPr>
          <w:p w14:paraId="31017182"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w:t>
            </w:r>
          </w:p>
        </w:tc>
        <w:tc>
          <w:tcPr>
            <w:tcW w:w="2225" w:type="pct"/>
            <w:shd w:val="clear" w:color="auto" w:fill="C6EFCE"/>
            <w:noWrap/>
            <w:vAlign w:val="center"/>
            <w:hideMark/>
          </w:tcPr>
          <w:p w14:paraId="1F6C66CA"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Entry into force of new regulation on energy grant schemes in the German-speaking Community</w:t>
            </w:r>
          </w:p>
        </w:tc>
      </w:tr>
      <w:tr w:rsidR="00232882" w:rsidRPr="001961AA" w14:paraId="1606B5A4" w14:textId="77777777" w:rsidTr="007C7ABA">
        <w:trPr>
          <w:trHeight w:val="315"/>
        </w:trPr>
        <w:tc>
          <w:tcPr>
            <w:tcW w:w="345" w:type="pct"/>
            <w:shd w:val="clear" w:color="auto" w:fill="C6EFCE"/>
            <w:noWrap/>
            <w:vAlign w:val="center"/>
            <w:hideMark/>
          </w:tcPr>
          <w:p w14:paraId="29572856"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11</w:t>
            </w:r>
          </w:p>
        </w:tc>
        <w:tc>
          <w:tcPr>
            <w:tcW w:w="2069" w:type="pct"/>
            <w:shd w:val="clear" w:color="auto" w:fill="C6EFCE"/>
            <w:noWrap/>
            <w:vAlign w:val="center"/>
            <w:hideMark/>
          </w:tcPr>
          <w:p w14:paraId="0FB32AB6"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Public building renovations (I-1.08)</w:t>
            </w:r>
          </w:p>
        </w:tc>
        <w:tc>
          <w:tcPr>
            <w:tcW w:w="361" w:type="pct"/>
            <w:shd w:val="clear" w:color="auto" w:fill="C6EFCE"/>
            <w:noWrap/>
            <w:vAlign w:val="center"/>
            <w:hideMark/>
          </w:tcPr>
          <w:p w14:paraId="677A35D2"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w:t>
            </w:r>
          </w:p>
        </w:tc>
        <w:tc>
          <w:tcPr>
            <w:tcW w:w="2225" w:type="pct"/>
            <w:shd w:val="clear" w:color="auto" w:fill="C6EFCE"/>
            <w:noWrap/>
            <w:vAlign w:val="center"/>
            <w:hideMark/>
          </w:tcPr>
          <w:p w14:paraId="566FB1D9" w14:textId="40BADD28"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Adaptation of the electricity ordinance to introduce a one-stop shop for renovation</w:t>
            </w:r>
          </w:p>
        </w:tc>
      </w:tr>
      <w:tr w:rsidR="00232882" w:rsidRPr="001961AA" w14:paraId="1FA3F5CC" w14:textId="77777777" w:rsidTr="007C7ABA">
        <w:trPr>
          <w:trHeight w:val="315"/>
        </w:trPr>
        <w:tc>
          <w:tcPr>
            <w:tcW w:w="345" w:type="pct"/>
            <w:shd w:val="clear" w:color="auto" w:fill="C6EFCE"/>
            <w:noWrap/>
            <w:vAlign w:val="center"/>
            <w:hideMark/>
          </w:tcPr>
          <w:p w14:paraId="1A7305F5"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18</w:t>
            </w:r>
          </w:p>
        </w:tc>
        <w:tc>
          <w:tcPr>
            <w:tcW w:w="2069" w:type="pct"/>
            <w:shd w:val="clear" w:color="auto" w:fill="C6EFCE"/>
            <w:noWrap/>
            <w:vAlign w:val="center"/>
            <w:hideMark/>
          </w:tcPr>
          <w:p w14:paraId="49B85661"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An industrial value chain for hydrogen transition (I-1.15)</w:t>
            </w:r>
          </w:p>
        </w:tc>
        <w:tc>
          <w:tcPr>
            <w:tcW w:w="361" w:type="pct"/>
            <w:shd w:val="clear" w:color="auto" w:fill="C6EFCE"/>
            <w:noWrap/>
            <w:vAlign w:val="center"/>
            <w:hideMark/>
          </w:tcPr>
          <w:p w14:paraId="3FD6A0EE"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w:t>
            </w:r>
          </w:p>
        </w:tc>
        <w:tc>
          <w:tcPr>
            <w:tcW w:w="2225" w:type="pct"/>
            <w:shd w:val="clear" w:color="auto" w:fill="C6EFCE"/>
            <w:noWrap/>
            <w:vAlign w:val="center"/>
            <w:hideMark/>
          </w:tcPr>
          <w:p w14:paraId="27E88E33" w14:textId="68DD37BC"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Award of contracts under the call for projects</w:t>
            </w:r>
          </w:p>
        </w:tc>
      </w:tr>
      <w:tr w:rsidR="00232882" w:rsidRPr="001961AA" w14:paraId="6867A017" w14:textId="77777777" w:rsidTr="007C7ABA">
        <w:trPr>
          <w:trHeight w:val="315"/>
        </w:trPr>
        <w:tc>
          <w:tcPr>
            <w:tcW w:w="345" w:type="pct"/>
            <w:shd w:val="clear" w:color="auto" w:fill="C6EFCE"/>
            <w:noWrap/>
            <w:vAlign w:val="center"/>
            <w:hideMark/>
          </w:tcPr>
          <w:p w14:paraId="70196095"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21</w:t>
            </w:r>
          </w:p>
        </w:tc>
        <w:tc>
          <w:tcPr>
            <w:tcW w:w="2069" w:type="pct"/>
            <w:shd w:val="clear" w:color="auto" w:fill="C6EFCE"/>
            <w:noWrap/>
            <w:vAlign w:val="center"/>
            <w:hideMark/>
          </w:tcPr>
          <w:p w14:paraId="189B2D4A"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An industrial value chain for hydrogen transition (I-1.16)</w:t>
            </w:r>
          </w:p>
        </w:tc>
        <w:tc>
          <w:tcPr>
            <w:tcW w:w="361" w:type="pct"/>
            <w:shd w:val="clear" w:color="auto" w:fill="C6EFCE"/>
            <w:noWrap/>
            <w:vAlign w:val="center"/>
            <w:hideMark/>
          </w:tcPr>
          <w:p w14:paraId="14253EC9"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w:t>
            </w:r>
          </w:p>
        </w:tc>
        <w:tc>
          <w:tcPr>
            <w:tcW w:w="2225" w:type="pct"/>
            <w:shd w:val="clear" w:color="auto" w:fill="C6EFCE"/>
            <w:noWrap/>
            <w:vAlign w:val="center"/>
            <w:hideMark/>
          </w:tcPr>
          <w:p w14:paraId="73E662C2"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Award of contracts to hydrogen IPCEI projects</w:t>
            </w:r>
          </w:p>
        </w:tc>
      </w:tr>
      <w:tr w:rsidR="00232882" w:rsidRPr="001961AA" w14:paraId="37EF892E" w14:textId="77777777" w:rsidTr="007C7ABA">
        <w:trPr>
          <w:trHeight w:val="315"/>
        </w:trPr>
        <w:tc>
          <w:tcPr>
            <w:tcW w:w="345" w:type="pct"/>
            <w:shd w:val="clear" w:color="auto" w:fill="C6EFCE"/>
            <w:noWrap/>
            <w:vAlign w:val="center"/>
            <w:hideMark/>
          </w:tcPr>
          <w:p w14:paraId="6A7576AF"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22</w:t>
            </w:r>
          </w:p>
        </w:tc>
        <w:tc>
          <w:tcPr>
            <w:tcW w:w="2069" w:type="pct"/>
            <w:shd w:val="clear" w:color="auto" w:fill="C6EFCE"/>
            <w:noWrap/>
            <w:vAlign w:val="center"/>
            <w:hideMark/>
          </w:tcPr>
          <w:p w14:paraId="3756F9BB"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An industrial value chain for hydrogen transition (I-1.16)</w:t>
            </w:r>
          </w:p>
        </w:tc>
        <w:tc>
          <w:tcPr>
            <w:tcW w:w="361" w:type="pct"/>
            <w:shd w:val="clear" w:color="auto" w:fill="C6EFCE"/>
            <w:noWrap/>
            <w:vAlign w:val="center"/>
            <w:hideMark/>
          </w:tcPr>
          <w:p w14:paraId="1EB752D4"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w:t>
            </w:r>
          </w:p>
        </w:tc>
        <w:tc>
          <w:tcPr>
            <w:tcW w:w="2225" w:type="pct"/>
            <w:shd w:val="clear" w:color="auto" w:fill="C6EFCE"/>
            <w:noWrap/>
            <w:vAlign w:val="center"/>
            <w:hideMark/>
          </w:tcPr>
          <w:p w14:paraId="79F144F6"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Award of contracts for non-IPCEI hydrogen projects</w:t>
            </w:r>
          </w:p>
        </w:tc>
      </w:tr>
      <w:tr w:rsidR="00232882" w:rsidRPr="001961AA" w14:paraId="4EB956CC" w14:textId="77777777" w:rsidTr="007C7ABA">
        <w:trPr>
          <w:trHeight w:val="315"/>
        </w:trPr>
        <w:tc>
          <w:tcPr>
            <w:tcW w:w="345" w:type="pct"/>
            <w:shd w:val="clear" w:color="auto" w:fill="C6EFCE"/>
            <w:noWrap/>
            <w:vAlign w:val="center"/>
            <w:hideMark/>
          </w:tcPr>
          <w:p w14:paraId="7B6E6E44"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24</w:t>
            </w:r>
          </w:p>
        </w:tc>
        <w:tc>
          <w:tcPr>
            <w:tcW w:w="2069" w:type="pct"/>
            <w:shd w:val="clear" w:color="auto" w:fill="C6EFCE"/>
            <w:noWrap/>
            <w:vAlign w:val="center"/>
            <w:hideMark/>
          </w:tcPr>
          <w:p w14:paraId="56892E9F"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An industrial value chain for hydrogen transition (I-1.17)</w:t>
            </w:r>
          </w:p>
        </w:tc>
        <w:tc>
          <w:tcPr>
            <w:tcW w:w="361" w:type="pct"/>
            <w:shd w:val="clear" w:color="auto" w:fill="C6EFCE"/>
            <w:noWrap/>
            <w:vAlign w:val="center"/>
            <w:hideMark/>
          </w:tcPr>
          <w:p w14:paraId="67CE76C8"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w:t>
            </w:r>
          </w:p>
        </w:tc>
        <w:tc>
          <w:tcPr>
            <w:tcW w:w="2225" w:type="pct"/>
            <w:shd w:val="clear" w:color="auto" w:fill="C6EFCE"/>
            <w:noWrap/>
            <w:vAlign w:val="center"/>
            <w:hideMark/>
          </w:tcPr>
          <w:p w14:paraId="76AFBB82"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Award of contracts for hydrogen IPCEI projects</w:t>
            </w:r>
          </w:p>
        </w:tc>
      </w:tr>
      <w:tr w:rsidR="00232882" w:rsidRPr="001961AA" w14:paraId="1BE8A2BA" w14:textId="77777777" w:rsidTr="007C7ABA">
        <w:trPr>
          <w:trHeight w:val="315"/>
        </w:trPr>
        <w:tc>
          <w:tcPr>
            <w:tcW w:w="345" w:type="pct"/>
            <w:shd w:val="clear" w:color="auto" w:fill="C6EFCE"/>
            <w:noWrap/>
            <w:vAlign w:val="center"/>
            <w:hideMark/>
          </w:tcPr>
          <w:p w14:paraId="3743B198"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27</w:t>
            </w:r>
          </w:p>
        </w:tc>
        <w:tc>
          <w:tcPr>
            <w:tcW w:w="2069" w:type="pct"/>
            <w:shd w:val="clear" w:color="auto" w:fill="C6EFCE"/>
            <w:noWrap/>
            <w:vAlign w:val="center"/>
            <w:hideMark/>
          </w:tcPr>
          <w:p w14:paraId="3B00D3C2"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Developing the low-carbon industry (I-1.18)</w:t>
            </w:r>
          </w:p>
        </w:tc>
        <w:tc>
          <w:tcPr>
            <w:tcW w:w="361" w:type="pct"/>
            <w:shd w:val="clear" w:color="auto" w:fill="C6EFCE"/>
            <w:noWrap/>
            <w:vAlign w:val="center"/>
            <w:hideMark/>
          </w:tcPr>
          <w:p w14:paraId="29C89484"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w:t>
            </w:r>
          </w:p>
        </w:tc>
        <w:tc>
          <w:tcPr>
            <w:tcW w:w="2225" w:type="pct"/>
            <w:shd w:val="clear" w:color="auto" w:fill="C6EFCE"/>
            <w:noWrap/>
            <w:vAlign w:val="center"/>
            <w:hideMark/>
          </w:tcPr>
          <w:p w14:paraId="0EF65A08"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Award of contracts</w:t>
            </w:r>
          </w:p>
        </w:tc>
      </w:tr>
      <w:tr w:rsidR="00232882" w:rsidRPr="001961AA" w14:paraId="7F5510D1" w14:textId="77777777" w:rsidTr="007C7ABA">
        <w:trPr>
          <w:trHeight w:val="315"/>
        </w:trPr>
        <w:tc>
          <w:tcPr>
            <w:tcW w:w="345" w:type="pct"/>
            <w:shd w:val="clear" w:color="auto" w:fill="C6EFCE"/>
            <w:noWrap/>
            <w:vAlign w:val="center"/>
            <w:hideMark/>
          </w:tcPr>
          <w:p w14:paraId="46B7676D"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45</w:t>
            </w:r>
          </w:p>
        </w:tc>
        <w:tc>
          <w:tcPr>
            <w:tcW w:w="2069" w:type="pct"/>
            <w:shd w:val="clear" w:color="auto" w:fill="C6EFCE"/>
            <w:noWrap/>
            <w:vAlign w:val="center"/>
            <w:hideMark/>
          </w:tcPr>
          <w:p w14:paraId="0507A0BC"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Cybersecure and resilient digital society (I-2.01)</w:t>
            </w:r>
          </w:p>
        </w:tc>
        <w:tc>
          <w:tcPr>
            <w:tcW w:w="361" w:type="pct"/>
            <w:shd w:val="clear" w:color="auto" w:fill="C6EFCE"/>
            <w:noWrap/>
            <w:vAlign w:val="center"/>
            <w:hideMark/>
          </w:tcPr>
          <w:p w14:paraId="10AE0180"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w:t>
            </w:r>
          </w:p>
        </w:tc>
        <w:tc>
          <w:tcPr>
            <w:tcW w:w="2225" w:type="pct"/>
            <w:shd w:val="clear" w:color="auto" w:fill="C6EFCE"/>
            <w:noWrap/>
            <w:vAlign w:val="center"/>
            <w:hideMark/>
          </w:tcPr>
          <w:p w14:paraId="7E7C3DA0"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Delivery of first cybersecurity awareness campaign</w:t>
            </w:r>
          </w:p>
        </w:tc>
      </w:tr>
      <w:tr w:rsidR="00232882" w:rsidRPr="001961AA" w14:paraId="331F85F9" w14:textId="77777777" w:rsidTr="007C7ABA">
        <w:trPr>
          <w:trHeight w:val="315"/>
        </w:trPr>
        <w:tc>
          <w:tcPr>
            <w:tcW w:w="345" w:type="pct"/>
            <w:shd w:val="clear" w:color="auto" w:fill="C6EFCE"/>
            <w:noWrap/>
            <w:vAlign w:val="center"/>
            <w:hideMark/>
          </w:tcPr>
          <w:p w14:paraId="7D731F21"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54</w:t>
            </w:r>
          </w:p>
        </w:tc>
        <w:tc>
          <w:tcPr>
            <w:tcW w:w="2069" w:type="pct"/>
            <w:shd w:val="clear" w:color="auto" w:fill="C6EFCE"/>
            <w:noWrap/>
            <w:vAlign w:val="center"/>
            <w:hideMark/>
          </w:tcPr>
          <w:p w14:paraId="447E22E8"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Digitalisation SPF (I-2.05) (sub-measure: 2, 3, 4, 5, 6, 8, 9, 11 and 12)</w:t>
            </w:r>
          </w:p>
        </w:tc>
        <w:tc>
          <w:tcPr>
            <w:tcW w:w="361" w:type="pct"/>
            <w:shd w:val="clear" w:color="auto" w:fill="C6EFCE"/>
            <w:noWrap/>
            <w:vAlign w:val="center"/>
            <w:hideMark/>
          </w:tcPr>
          <w:p w14:paraId="360E0A1B"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w:t>
            </w:r>
          </w:p>
        </w:tc>
        <w:tc>
          <w:tcPr>
            <w:tcW w:w="2225" w:type="pct"/>
            <w:shd w:val="clear" w:color="auto" w:fill="C6EFCE"/>
            <w:noWrap/>
            <w:vAlign w:val="center"/>
            <w:hideMark/>
          </w:tcPr>
          <w:p w14:paraId="53A66FE5"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 xml:space="preserve">Requirements are defined </w:t>
            </w:r>
          </w:p>
        </w:tc>
      </w:tr>
      <w:tr w:rsidR="00232882" w:rsidRPr="001961AA" w14:paraId="7DD9367D" w14:textId="77777777" w:rsidTr="007C7ABA">
        <w:trPr>
          <w:trHeight w:val="315"/>
        </w:trPr>
        <w:tc>
          <w:tcPr>
            <w:tcW w:w="345" w:type="pct"/>
            <w:shd w:val="clear" w:color="auto" w:fill="C6EFCE"/>
            <w:noWrap/>
            <w:vAlign w:val="center"/>
            <w:hideMark/>
          </w:tcPr>
          <w:p w14:paraId="5B637CDE"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57</w:t>
            </w:r>
          </w:p>
        </w:tc>
        <w:tc>
          <w:tcPr>
            <w:tcW w:w="2069" w:type="pct"/>
            <w:shd w:val="clear" w:color="auto" w:fill="C6EFCE"/>
            <w:noWrap/>
            <w:vAlign w:val="center"/>
            <w:hideMark/>
          </w:tcPr>
          <w:p w14:paraId="12BA4192"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Digitalisation SPF (I-2.05) (Sub-measure 1: Digital transformation of Justice)</w:t>
            </w:r>
          </w:p>
        </w:tc>
        <w:tc>
          <w:tcPr>
            <w:tcW w:w="361" w:type="pct"/>
            <w:shd w:val="clear" w:color="auto" w:fill="C6EFCE"/>
            <w:noWrap/>
            <w:vAlign w:val="center"/>
            <w:hideMark/>
          </w:tcPr>
          <w:p w14:paraId="0E722741"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w:t>
            </w:r>
          </w:p>
        </w:tc>
        <w:tc>
          <w:tcPr>
            <w:tcW w:w="2225" w:type="pct"/>
            <w:shd w:val="clear" w:color="auto" w:fill="C6EFCE"/>
            <w:noWrap/>
            <w:vAlign w:val="center"/>
            <w:hideMark/>
          </w:tcPr>
          <w:p w14:paraId="4C589858" w14:textId="09B01D76"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Publication of the Just-on-Web online portal</w:t>
            </w:r>
          </w:p>
        </w:tc>
      </w:tr>
      <w:tr w:rsidR="00232882" w:rsidRPr="001961AA" w14:paraId="047EBEFA" w14:textId="77777777" w:rsidTr="007C7ABA">
        <w:trPr>
          <w:trHeight w:val="315"/>
        </w:trPr>
        <w:tc>
          <w:tcPr>
            <w:tcW w:w="345" w:type="pct"/>
            <w:shd w:val="clear" w:color="auto" w:fill="C6EFCE"/>
            <w:noWrap/>
            <w:vAlign w:val="center"/>
            <w:hideMark/>
          </w:tcPr>
          <w:p w14:paraId="110C6767"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62</w:t>
            </w:r>
          </w:p>
        </w:tc>
        <w:tc>
          <w:tcPr>
            <w:tcW w:w="2069" w:type="pct"/>
            <w:shd w:val="clear" w:color="auto" w:fill="C6EFCE"/>
            <w:noWrap/>
            <w:vAlign w:val="center"/>
            <w:hideMark/>
          </w:tcPr>
          <w:p w14:paraId="23E795FD"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eHealth Services and Health Data (I-2.06)</w:t>
            </w:r>
          </w:p>
        </w:tc>
        <w:tc>
          <w:tcPr>
            <w:tcW w:w="361" w:type="pct"/>
            <w:shd w:val="clear" w:color="auto" w:fill="C6EFCE"/>
            <w:noWrap/>
            <w:vAlign w:val="center"/>
            <w:hideMark/>
          </w:tcPr>
          <w:p w14:paraId="0671CDE6"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w:t>
            </w:r>
          </w:p>
        </w:tc>
        <w:tc>
          <w:tcPr>
            <w:tcW w:w="2225" w:type="pct"/>
            <w:shd w:val="clear" w:color="auto" w:fill="C6EFCE"/>
            <w:noWrap/>
            <w:vAlign w:val="center"/>
            <w:hideMark/>
          </w:tcPr>
          <w:p w14:paraId="56F4B2DD"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Entry into force of the law setting up the Health Data Authority</w:t>
            </w:r>
          </w:p>
        </w:tc>
      </w:tr>
      <w:tr w:rsidR="00232882" w:rsidRPr="001961AA" w14:paraId="39322B9C" w14:textId="77777777" w:rsidTr="007C7ABA">
        <w:trPr>
          <w:trHeight w:val="315"/>
        </w:trPr>
        <w:tc>
          <w:tcPr>
            <w:tcW w:w="345" w:type="pct"/>
            <w:shd w:val="clear" w:color="auto" w:fill="C6EFCE"/>
            <w:noWrap/>
            <w:vAlign w:val="center"/>
            <w:hideMark/>
          </w:tcPr>
          <w:p w14:paraId="0D712583"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63</w:t>
            </w:r>
          </w:p>
        </w:tc>
        <w:tc>
          <w:tcPr>
            <w:tcW w:w="2069" w:type="pct"/>
            <w:shd w:val="clear" w:color="auto" w:fill="C6EFCE"/>
            <w:noWrap/>
            <w:vAlign w:val="center"/>
            <w:hideMark/>
          </w:tcPr>
          <w:p w14:paraId="48B8B7E7"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eHealth Services and Health Data (I-2.06)</w:t>
            </w:r>
          </w:p>
        </w:tc>
        <w:tc>
          <w:tcPr>
            <w:tcW w:w="361" w:type="pct"/>
            <w:shd w:val="clear" w:color="auto" w:fill="C6EFCE"/>
            <w:noWrap/>
            <w:vAlign w:val="center"/>
            <w:hideMark/>
          </w:tcPr>
          <w:p w14:paraId="7174044A"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w:t>
            </w:r>
          </w:p>
        </w:tc>
        <w:tc>
          <w:tcPr>
            <w:tcW w:w="2225" w:type="pct"/>
            <w:shd w:val="clear" w:color="auto" w:fill="C6EFCE"/>
            <w:noWrap/>
            <w:vAlign w:val="center"/>
            <w:hideMark/>
          </w:tcPr>
          <w:p w14:paraId="0AD56FE4"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Design and solution for the subprojects</w:t>
            </w:r>
          </w:p>
        </w:tc>
      </w:tr>
      <w:tr w:rsidR="00232882" w:rsidRPr="001961AA" w14:paraId="7FB10566" w14:textId="77777777" w:rsidTr="007C7ABA">
        <w:trPr>
          <w:trHeight w:val="315"/>
        </w:trPr>
        <w:tc>
          <w:tcPr>
            <w:tcW w:w="345" w:type="pct"/>
            <w:shd w:val="clear" w:color="auto" w:fill="C6EFCE"/>
            <w:noWrap/>
            <w:vAlign w:val="center"/>
            <w:hideMark/>
          </w:tcPr>
          <w:p w14:paraId="54BFD8D6"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68</w:t>
            </w:r>
          </w:p>
        </w:tc>
        <w:tc>
          <w:tcPr>
            <w:tcW w:w="2069" w:type="pct"/>
            <w:shd w:val="clear" w:color="auto" w:fill="C6EFCE"/>
            <w:noWrap/>
            <w:vAlign w:val="center"/>
            <w:hideMark/>
          </w:tcPr>
          <w:p w14:paraId="5EEE696D"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Digitalization of the Flemish Government (I-2.09)</w:t>
            </w:r>
          </w:p>
        </w:tc>
        <w:tc>
          <w:tcPr>
            <w:tcW w:w="361" w:type="pct"/>
            <w:shd w:val="clear" w:color="auto" w:fill="C6EFCE"/>
            <w:noWrap/>
            <w:vAlign w:val="center"/>
            <w:hideMark/>
          </w:tcPr>
          <w:p w14:paraId="7B4F52B6"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w:t>
            </w:r>
          </w:p>
        </w:tc>
        <w:tc>
          <w:tcPr>
            <w:tcW w:w="2225" w:type="pct"/>
            <w:shd w:val="clear" w:color="auto" w:fill="C6EFCE"/>
            <w:noWrap/>
            <w:vAlign w:val="center"/>
            <w:hideMark/>
          </w:tcPr>
          <w:p w14:paraId="2D250156"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Contract award for 11 projects</w:t>
            </w:r>
          </w:p>
        </w:tc>
      </w:tr>
      <w:tr w:rsidR="00232882" w:rsidRPr="001961AA" w14:paraId="2B1704AD" w14:textId="77777777" w:rsidTr="007C7ABA">
        <w:trPr>
          <w:trHeight w:val="315"/>
        </w:trPr>
        <w:tc>
          <w:tcPr>
            <w:tcW w:w="345" w:type="pct"/>
            <w:shd w:val="clear" w:color="auto" w:fill="C6EFCE"/>
            <w:noWrap/>
            <w:vAlign w:val="center"/>
            <w:hideMark/>
          </w:tcPr>
          <w:p w14:paraId="45290CFF"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78</w:t>
            </w:r>
          </w:p>
        </w:tc>
        <w:tc>
          <w:tcPr>
            <w:tcW w:w="2069" w:type="pct"/>
            <w:shd w:val="clear" w:color="auto" w:fill="C6EFCE"/>
            <w:noWrap/>
            <w:vAlign w:val="center"/>
            <w:hideMark/>
          </w:tcPr>
          <w:p w14:paraId="52E45EB0"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E-government: tendering procedure (R-2.02)</w:t>
            </w:r>
          </w:p>
        </w:tc>
        <w:tc>
          <w:tcPr>
            <w:tcW w:w="361" w:type="pct"/>
            <w:shd w:val="clear" w:color="auto" w:fill="C6EFCE"/>
            <w:noWrap/>
            <w:vAlign w:val="center"/>
            <w:hideMark/>
          </w:tcPr>
          <w:p w14:paraId="1E116DCA"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w:t>
            </w:r>
          </w:p>
        </w:tc>
        <w:tc>
          <w:tcPr>
            <w:tcW w:w="2225" w:type="pct"/>
            <w:shd w:val="clear" w:color="auto" w:fill="C6EFCE"/>
            <w:noWrap/>
            <w:vAlign w:val="center"/>
            <w:hideMark/>
          </w:tcPr>
          <w:p w14:paraId="1DADAEC9"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Entry into force of a new regulatory context</w:t>
            </w:r>
          </w:p>
        </w:tc>
      </w:tr>
      <w:tr w:rsidR="00232882" w:rsidRPr="001961AA" w14:paraId="44DEC25A" w14:textId="77777777" w:rsidTr="007C7ABA">
        <w:trPr>
          <w:trHeight w:val="315"/>
        </w:trPr>
        <w:tc>
          <w:tcPr>
            <w:tcW w:w="345" w:type="pct"/>
            <w:shd w:val="clear" w:color="auto" w:fill="C6EFCE"/>
            <w:noWrap/>
            <w:vAlign w:val="center"/>
            <w:hideMark/>
          </w:tcPr>
          <w:p w14:paraId="2D1B2868"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81</w:t>
            </w:r>
          </w:p>
        </w:tc>
        <w:tc>
          <w:tcPr>
            <w:tcW w:w="2069" w:type="pct"/>
            <w:shd w:val="clear" w:color="auto" w:fill="C6EFCE"/>
            <w:noWrap/>
            <w:vAlign w:val="center"/>
            <w:hideMark/>
          </w:tcPr>
          <w:p w14:paraId="05E9E32B"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Development of an AI institute in order to use this technology to meet societal challenges (I-2.14)</w:t>
            </w:r>
          </w:p>
        </w:tc>
        <w:tc>
          <w:tcPr>
            <w:tcW w:w="361" w:type="pct"/>
            <w:shd w:val="clear" w:color="auto" w:fill="C6EFCE"/>
            <w:noWrap/>
            <w:vAlign w:val="center"/>
            <w:hideMark/>
          </w:tcPr>
          <w:p w14:paraId="78BCA3BD"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w:t>
            </w:r>
          </w:p>
        </w:tc>
        <w:tc>
          <w:tcPr>
            <w:tcW w:w="2225" w:type="pct"/>
            <w:shd w:val="clear" w:color="auto" w:fill="C6EFCE"/>
            <w:noWrap/>
            <w:vAlign w:val="center"/>
            <w:hideMark/>
          </w:tcPr>
          <w:p w14:paraId="77E26F8F"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Completion of pilot projects by the AI for the Common Good Institute</w:t>
            </w:r>
          </w:p>
        </w:tc>
      </w:tr>
      <w:tr w:rsidR="00232882" w:rsidRPr="001961AA" w14:paraId="71F46FFB" w14:textId="77777777" w:rsidTr="007C7ABA">
        <w:trPr>
          <w:trHeight w:val="315"/>
        </w:trPr>
        <w:tc>
          <w:tcPr>
            <w:tcW w:w="345" w:type="pct"/>
            <w:shd w:val="clear" w:color="auto" w:fill="C6EFCE"/>
            <w:noWrap/>
            <w:vAlign w:val="center"/>
            <w:hideMark/>
          </w:tcPr>
          <w:p w14:paraId="30D2C4D9"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91</w:t>
            </w:r>
          </w:p>
        </w:tc>
        <w:tc>
          <w:tcPr>
            <w:tcW w:w="2069" w:type="pct"/>
            <w:shd w:val="clear" w:color="auto" w:fill="C6EFCE"/>
            <w:noWrap/>
            <w:vAlign w:val="center"/>
            <w:hideMark/>
          </w:tcPr>
          <w:p w14:paraId="20D67D9E"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Introduction of 5G – National fixed and mobile broadband plan (R-2.03)</w:t>
            </w:r>
          </w:p>
        </w:tc>
        <w:tc>
          <w:tcPr>
            <w:tcW w:w="361" w:type="pct"/>
            <w:shd w:val="clear" w:color="auto" w:fill="C6EFCE"/>
            <w:noWrap/>
            <w:vAlign w:val="center"/>
            <w:hideMark/>
          </w:tcPr>
          <w:p w14:paraId="5F9DE67F"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w:t>
            </w:r>
          </w:p>
        </w:tc>
        <w:tc>
          <w:tcPr>
            <w:tcW w:w="2225" w:type="pct"/>
            <w:shd w:val="clear" w:color="auto" w:fill="C6EFCE"/>
            <w:noWrap/>
            <w:vAlign w:val="center"/>
            <w:hideMark/>
          </w:tcPr>
          <w:p w14:paraId="47A076A5"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5G auction</w:t>
            </w:r>
          </w:p>
        </w:tc>
      </w:tr>
      <w:tr w:rsidR="00232882" w:rsidRPr="001961AA" w14:paraId="3B2A85D0" w14:textId="77777777" w:rsidTr="007C7ABA">
        <w:trPr>
          <w:trHeight w:val="315"/>
        </w:trPr>
        <w:tc>
          <w:tcPr>
            <w:tcW w:w="345" w:type="pct"/>
            <w:shd w:val="clear" w:color="auto" w:fill="C6EFCE"/>
            <w:noWrap/>
            <w:vAlign w:val="center"/>
            <w:hideMark/>
          </w:tcPr>
          <w:p w14:paraId="4978DA6F"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92</w:t>
            </w:r>
          </w:p>
        </w:tc>
        <w:tc>
          <w:tcPr>
            <w:tcW w:w="2069" w:type="pct"/>
            <w:shd w:val="clear" w:color="auto" w:fill="C6EFCE"/>
            <w:noWrap/>
            <w:vAlign w:val="center"/>
            <w:hideMark/>
          </w:tcPr>
          <w:p w14:paraId="3C609DAE"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Introduction of 5G – National fixed and mobile broadband plan (R-2.03)</w:t>
            </w:r>
          </w:p>
        </w:tc>
        <w:tc>
          <w:tcPr>
            <w:tcW w:w="361" w:type="pct"/>
            <w:shd w:val="clear" w:color="auto" w:fill="C6EFCE"/>
            <w:noWrap/>
            <w:vAlign w:val="center"/>
            <w:hideMark/>
          </w:tcPr>
          <w:p w14:paraId="618DEF61"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w:t>
            </w:r>
          </w:p>
        </w:tc>
        <w:tc>
          <w:tcPr>
            <w:tcW w:w="2225" w:type="pct"/>
            <w:shd w:val="clear" w:color="auto" w:fill="C6EFCE"/>
            <w:noWrap/>
            <w:vAlign w:val="center"/>
            <w:hideMark/>
          </w:tcPr>
          <w:p w14:paraId="1D254DE8"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Status Connectivity Toolbox implementation</w:t>
            </w:r>
          </w:p>
        </w:tc>
      </w:tr>
      <w:tr w:rsidR="00232882" w:rsidRPr="001961AA" w14:paraId="2C904151" w14:textId="77777777" w:rsidTr="007C7ABA">
        <w:trPr>
          <w:trHeight w:val="315"/>
        </w:trPr>
        <w:tc>
          <w:tcPr>
            <w:tcW w:w="345" w:type="pct"/>
            <w:shd w:val="clear" w:color="auto" w:fill="C6EFCE"/>
            <w:noWrap/>
            <w:vAlign w:val="center"/>
            <w:hideMark/>
          </w:tcPr>
          <w:p w14:paraId="695C4FCE"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93</w:t>
            </w:r>
          </w:p>
        </w:tc>
        <w:tc>
          <w:tcPr>
            <w:tcW w:w="2069" w:type="pct"/>
            <w:shd w:val="clear" w:color="auto" w:fill="C6EFCE"/>
            <w:noWrap/>
            <w:vAlign w:val="center"/>
            <w:hideMark/>
          </w:tcPr>
          <w:p w14:paraId="156E8A79"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Introduction of 5G – National fixed and mobile broadband plan (R-2.03)</w:t>
            </w:r>
          </w:p>
        </w:tc>
        <w:tc>
          <w:tcPr>
            <w:tcW w:w="361" w:type="pct"/>
            <w:shd w:val="clear" w:color="auto" w:fill="C6EFCE"/>
            <w:noWrap/>
            <w:vAlign w:val="center"/>
            <w:hideMark/>
          </w:tcPr>
          <w:p w14:paraId="4CC3085E"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w:t>
            </w:r>
          </w:p>
        </w:tc>
        <w:tc>
          <w:tcPr>
            <w:tcW w:w="2225" w:type="pct"/>
            <w:shd w:val="clear" w:color="auto" w:fill="C6EFCE"/>
            <w:noWrap/>
            <w:vAlign w:val="center"/>
            <w:hideMark/>
          </w:tcPr>
          <w:p w14:paraId="7124D1C4"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Revision of the legislative framework of the three regions on radiation standards</w:t>
            </w:r>
          </w:p>
        </w:tc>
      </w:tr>
      <w:tr w:rsidR="00232882" w:rsidRPr="001961AA" w14:paraId="19413A81" w14:textId="77777777" w:rsidTr="007C7ABA">
        <w:trPr>
          <w:trHeight w:val="315"/>
        </w:trPr>
        <w:tc>
          <w:tcPr>
            <w:tcW w:w="345" w:type="pct"/>
            <w:shd w:val="clear" w:color="auto" w:fill="C6EFCE"/>
            <w:noWrap/>
            <w:vAlign w:val="center"/>
            <w:hideMark/>
          </w:tcPr>
          <w:p w14:paraId="352696AB"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103</w:t>
            </w:r>
          </w:p>
        </w:tc>
        <w:tc>
          <w:tcPr>
            <w:tcW w:w="2069" w:type="pct"/>
            <w:shd w:val="clear" w:color="auto" w:fill="C6EFCE"/>
            <w:noWrap/>
            <w:vAlign w:val="center"/>
            <w:hideMark/>
          </w:tcPr>
          <w:p w14:paraId="246EFA96"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Rail refurbishment and station accessibility works (I-3C)</w:t>
            </w:r>
          </w:p>
        </w:tc>
        <w:tc>
          <w:tcPr>
            <w:tcW w:w="361" w:type="pct"/>
            <w:shd w:val="clear" w:color="auto" w:fill="C6EFCE"/>
            <w:noWrap/>
            <w:vAlign w:val="center"/>
            <w:hideMark/>
          </w:tcPr>
          <w:p w14:paraId="50900583"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T</w:t>
            </w:r>
          </w:p>
        </w:tc>
        <w:tc>
          <w:tcPr>
            <w:tcW w:w="2225" w:type="pct"/>
            <w:shd w:val="clear" w:color="auto" w:fill="C6EFCE"/>
            <w:noWrap/>
            <w:vAlign w:val="center"/>
            <w:hideMark/>
          </w:tcPr>
          <w:p w14:paraId="40305532"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Completion of rail refurbishment and modernisation works and station accessibility works (step 1)</w:t>
            </w:r>
          </w:p>
        </w:tc>
      </w:tr>
      <w:tr w:rsidR="00232882" w:rsidRPr="001961AA" w14:paraId="3A8EFAD2" w14:textId="77777777" w:rsidTr="007C7ABA">
        <w:trPr>
          <w:trHeight w:val="315"/>
        </w:trPr>
        <w:tc>
          <w:tcPr>
            <w:tcW w:w="345" w:type="pct"/>
            <w:shd w:val="clear" w:color="auto" w:fill="C6EFCE"/>
            <w:noWrap/>
            <w:vAlign w:val="center"/>
            <w:hideMark/>
          </w:tcPr>
          <w:p w14:paraId="766E2A72"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112</w:t>
            </w:r>
          </w:p>
        </w:tc>
        <w:tc>
          <w:tcPr>
            <w:tcW w:w="2069" w:type="pct"/>
            <w:shd w:val="clear" w:color="auto" w:fill="C6EFCE"/>
            <w:noWrap/>
            <w:vAlign w:val="center"/>
            <w:hideMark/>
          </w:tcPr>
          <w:p w14:paraId="7B5F5178" w14:textId="7A0805ED" w:rsidR="00232882" w:rsidRPr="001961AA" w:rsidRDefault="00E816D5"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I-3F: ‘Smart Mobility tools’ of Brussels Capital Region (I-3F)</w:t>
            </w:r>
          </w:p>
        </w:tc>
        <w:tc>
          <w:tcPr>
            <w:tcW w:w="361" w:type="pct"/>
            <w:shd w:val="clear" w:color="auto" w:fill="C6EFCE"/>
            <w:noWrap/>
            <w:vAlign w:val="center"/>
            <w:hideMark/>
          </w:tcPr>
          <w:p w14:paraId="12C564C1" w14:textId="20D852C1" w:rsidR="00232882" w:rsidRPr="001961AA" w:rsidRDefault="00E816D5"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T</w:t>
            </w:r>
          </w:p>
        </w:tc>
        <w:tc>
          <w:tcPr>
            <w:tcW w:w="2225" w:type="pct"/>
            <w:shd w:val="clear" w:color="auto" w:fill="C6EFCE"/>
            <w:noWrap/>
            <w:vAlign w:val="center"/>
            <w:hideMark/>
          </w:tcPr>
          <w:p w14:paraId="39B6F2D7" w14:textId="25EB811E" w:rsidR="00232882" w:rsidRPr="001961AA" w:rsidRDefault="00F43D58"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Smart Mobility tools are in operation</w:t>
            </w:r>
          </w:p>
        </w:tc>
      </w:tr>
      <w:tr w:rsidR="00232882" w:rsidRPr="001961AA" w14:paraId="073F0073" w14:textId="77777777" w:rsidTr="007C7ABA">
        <w:trPr>
          <w:trHeight w:val="315"/>
        </w:trPr>
        <w:tc>
          <w:tcPr>
            <w:tcW w:w="345" w:type="pct"/>
            <w:shd w:val="clear" w:color="auto" w:fill="C6EFCE"/>
            <w:noWrap/>
            <w:vAlign w:val="center"/>
            <w:hideMark/>
          </w:tcPr>
          <w:p w14:paraId="1A392687"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117</w:t>
            </w:r>
          </w:p>
        </w:tc>
        <w:tc>
          <w:tcPr>
            <w:tcW w:w="2069" w:type="pct"/>
            <w:shd w:val="clear" w:color="auto" w:fill="C6EFCE"/>
            <w:noWrap/>
            <w:vAlign w:val="center"/>
            <w:hideMark/>
          </w:tcPr>
          <w:p w14:paraId="1D87D386"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Charging stations – VLA (I-3.19)</w:t>
            </w:r>
          </w:p>
        </w:tc>
        <w:tc>
          <w:tcPr>
            <w:tcW w:w="361" w:type="pct"/>
            <w:shd w:val="clear" w:color="auto" w:fill="C6EFCE"/>
            <w:noWrap/>
            <w:vAlign w:val="center"/>
            <w:hideMark/>
          </w:tcPr>
          <w:p w14:paraId="7ECA8448"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w:t>
            </w:r>
          </w:p>
        </w:tc>
        <w:tc>
          <w:tcPr>
            <w:tcW w:w="2225" w:type="pct"/>
            <w:shd w:val="clear" w:color="auto" w:fill="C6EFCE"/>
            <w:noWrap/>
            <w:vAlign w:val="center"/>
            <w:hideMark/>
          </w:tcPr>
          <w:p w14:paraId="3A41BEBC"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Award of concessions for charging infrastructure</w:t>
            </w:r>
          </w:p>
        </w:tc>
      </w:tr>
      <w:tr w:rsidR="00232882" w:rsidRPr="001961AA" w14:paraId="641D2000" w14:textId="77777777" w:rsidTr="007C7ABA">
        <w:trPr>
          <w:trHeight w:val="315"/>
        </w:trPr>
        <w:tc>
          <w:tcPr>
            <w:tcW w:w="345" w:type="pct"/>
            <w:shd w:val="clear" w:color="auto" w:fill="C6EFCE"/>
            <w:noWrap/>
            <w:vAlign w:val="center"/>
            <w:hideMark/>
          </w:tcPr>
          <w:p w14:paraId="17010090"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118</w:t>
            </w:r>
          </w:p>
        </w:tc>
        <w:tc>
          <w:tcPr>
            <w:tcW w:w="2069" w:type="pct"/>
            <w:shd w:val="clear" w:color="auto" w:fill="C6EFCE"/>
            <w:noWrap/>
            <w:vAlign w:val="center"/>
            <w:hideMark/>
          </w:tcPr>
          <w:p w14:paraId="1C7F646A"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Charging stations – RBC (R-3.05)</w:t>
            </w:r>
          </w:p>
        </w:tc>
        <w:tc>
          <w:tcPr>
            <w:tcW w:w="361" w:type="pct"/>
            <w:shd w:val="clear" w:color="auto" w:fill="C6EFCE"/>
            <w:noWrap/>
            <w:vAlign w:val="center"/>
            <w:hideMark/>
          </w:tcPr>
          <w:p w14:paraId="5E3BF0A7"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w:t>
            </w:r>
          </w:p>
        </w:tc>
        <w:tc>
          <w:tcPr>
            <w:tcW w:w="2225" w:type="pct"/>
            <w:shd w:val="clear" w:color="auto" w:fill="C6EFCE"/>
            <w:noWrap/>
            <w:vAlign w:val="center"/>
            <w:hideMark/>
          </w:tcPr>
          <w:p w14:paraId="3C8C0EB6"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Adoption of a decree specifying the security standards and of an infrastructure delivery plan</w:t>
            </w:r>
          </w:p>
        </w:tc>
      </w:tr>
      <w:tr w:rsidR="00232882" w:rsidRPr="001961AA" w14:paraId="0482413D" w14:textId="77777777" w:rsidTr="007C7ABA">
        <w:trPr>
          <w:trHeight w:val="315"/>
        </w:trPr>
        <w:tc>
          <w:tcPr>
            <w:tcW w:w="345" w:type="pct"/>
            <w:shd w:val="clear" w:color="auto" w:fill="C6EFCE"/>
            <w:noWrap/>
            <w:vAlign w:val="center"/>
            <w:hideMark/>
          </w:tcPr>
          <w:p w14:paraId="4C618F91"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119</w:t>
            </w:r>
          </w:p>
        </w:tc>
        <w:tc>
          <w:tcPr>
            <w:tcW w:w="2069" w:type="pct"/>
            <w:shd w:val="clear" w:color="auto" w:fill="C6EFCE"/>
            <w:noWrap/>
            <w:vAlign w:val="center"/>
            <w:hideMark/>
          </w:tcPr>
          <w:p w14:paraId="55CD9946"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Charging stations – WAL (R-3.04)</w:t>
            </w:r>
          </w:p>
        </w:tc>
        <w:tc>
          <w:tcPr>
            <w:tcW w:w="361" w:type="pct"/>
            <w:shd w:val="clear" w:color="auto" w:fill="C6EFCE"/>
            <w:noWrap/>
            <w:vAlign w:val="center"/>
            <w:hideMark/>
          </w:tcPr>
          <w:p w14:paraId="4B7DE5F9"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w:t>
            </w:r>
          </w:p>
        </w:tc>
        <w:tc>
          <w:tcPr>
            <w:tcW w:w="2225" w:type="pct"/>
            <w:shd w:val="clear" w:color="auto" w:fill="C6EFCE"/>
            <w:noWrap/>
            <w:vAlign w:val="center"/>
            <w:hideMark/>
          </w:tcPr>
          <w:p w14:paraId="37EC6F9A"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Adoption of a plan to deploy electric charging stations</w:t>
            </w:r>
          </w:p>
        </w:tc>
      </w:tr>
      <w:tr w:rsidR="00232882" w:rsidRPr="001961AA" w14:paraId="75891C86" w14:textId="77777777" w:rsidTr="007C7ABA">
        <w:trPr>
          <w:trHeight w:val="315"/>
        </w:trPr>
        <w:tc>
          <w:tcPr>
            <w:tcW w:w="345" w:type="pct"/>
            <w:shd w:val="clear" w:color="auto" w:fill="C6EFCE"/>
            <w:noWrap/>
            <w:vAlign w:val="center"/>
            <w:hideMark/>
          </w:tcPr>
          <w:p w14:paraId="140D6FEB"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131</w:t>
            </w:r>
          </w:p>
        </w:tc>
        <w:tc>
          <w:tcPr>
            <w:tcW w:w="2069" w:type="pct"/>
            <w:shd w:val="clear" w:color="auto" w:fill="C6EFCE"/>
            <w:noWrap/>
            <w:vAlign w:val="center"/>
            <w:hideMark/>
          </w:tcPr>
          <w:p w14:paraId="628B4B08"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Provision of digital equipment and IT infrastructure to schools (I-4)</w:t>
            </w:r>
          </w:p>
        </w:tc>
        <w:tc>
          <w:tcPr>
            <w:tcW w:w="361" w:type="pct"/>
            <w:shd w:val="clear" w:color="auto" w:fill="C6EFCE"/>
            <w:noWrap/>
            <w:vAlign w:val="center"/>
            <w:hideMark/>
          </w:tcPr>
          <w:p w14:paraId="14CA68BF"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T</w:t>
            </w:r>
          </w:p>
        </w:tc>
        <w:tc>
          <w:tcPr>
            <w:tcW w:w="2225" w:type="pct"/>
            <w:shd w:val="clear" w:color="auto" w:fill="C6EFCE"/>
            <w:noWrap/>
            <w:vAlign w:val="center"/>
            <w:hideMark/>
          </w:tcPr>
          <w:p w14:paraId="34211E03"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Equipping schools/institutions with adequate ICT devices and infrastructure to improve the overall performance of education systems</w:t>
            </w:r>
          </w:p>
        </w:tc>
      </w:tr>
      <w:tr w:rsidR="00232882" w:rsidRPr="001961AA" w14:paraId="6E670E84" w14:textId="77777777" w:rsidTr="007C7ABA">
        <w:trPr>
          <w:trHeight w:val="315"/>
        </w:trPr>
        <w:tc>
          <w:tcPr>
            <w:tcW w:w="345" w:type="pct"/>
            <w:shd w:val="clear" w:color="auto" w:fill="C6EFCE"/>
            <w:noWrap/>
            <w:vAlign w:val="center"/>
            <w:hideMark/>
          </w:tcPr>
          <w:p w14:paraId="28182CCE"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136</w:t>
            </w:r>
          </w:p>
        </w:tc>
        <w:tc>
          <w:tcPr>
            <w:tcW w:w="2069" w:type="pct"/>
            <w:shd w:val="clear" w:color="auto" w:fill="C6EFCE"/>
            <w:noWrap/>
            <w:vAlign w:val="center"/>
            <w:hideMark/>
          </w:tcPr>
          <w:p w14:paraId="427B9282"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Personalised guidance in compulsory education (I-4.03)</w:t>
            </w:r>
          </w:p>
        </w:tc>
        <w:tc>
          <w:tcPr>
            <w:tcW w:w="361" w:type="pct"/>
            <w:shd w:val="clear" w:color="auto" w:fill="C6EFCE"/>
            <w:noWrap/>
            <w:vAlign w:val="center"/>
            <w:hideMark/>
          </w:tcPr>
          <w:p w14:paraId="19B05D7F"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T</w:t>
            </w:r>
          </w:p>
        </w:tc>
        <w:tc>
          <w:tcPr>
            <w:tcW w:w="2225" w:type="pct"/>
            <w:shd w:val="clear" w:color="auto" w:fill="C6EFCE"/>
            <w:noWrap/>
            <w:vAlign w:val="center"/>
            <w:hideMark/>
          </w:tcPr>
          <w:p w14:paraId="1DFF8391"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Deployment of a reinforced support mechanism for students in need</w:t>
            </w:r>
          </w:p>
        </w:tc>
      </w:tr>
      <w:tr w:rsidR="00232882" w:rsidRPr="001961AA" w14:paraId="02B375F2" w14:textId="77777777" w:rsidTr="007C7ABA">
        <w:trPr>
          <w:trHeight w:val="315"/>
        </w:trPr>
        <w:tc>
          <w:tcPr>
            <w:tcW w:w="345" w:type="pct"/>
            <w:shd w:val="clear" w:color="auto" w:fill="C6EFCE"/>
            <w:noWrap/>
            <w:vAlign w:val="center"/>
            <w:hideMark/>
          </w:tcPr>
          <w:p w14:paraId="02A4CAAE"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149</w:t>
            </w:r>
          </w:p>
        </w:tc>
        <w:tc>
          <w:tcPr>
            <w:tcW w:w="2069" w:type="pct"/>
            <w:shd w:val="clear" w:color="auto" w:fill="C6EFCE"/>
            <w:noWrap/>
            <w:vAlign w:val="center"/>
            <w:hideMark/>
          </w:tcPr>
          <w:p w14:paraId="070017E8"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Digibanks (I-4.11)</w:t>
            </w:r>
          </w:p>
        </w:tc>
        <w:tc>
          <w:tcPr>
            <w:tcW w:w="361" w:type="pct"/>
            <w:shd w:val="clear" w:color="auto" w:fill="C6EFCE"/>
            <w:noWrap/>
            <w:vAlign w:val="center"/>
            <w:hideMark/>
          </w:tcPr>
          <w:p w14:paraId="29A1D695"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T</w:t>
            </w:r>
          </w:p>
        </w:tc>
        <w:tc>
          <w:tcPr>
            <w:tcW w:w="2225" w:type="pct"/>
            <w:shd w:val="clear" w:color="auto" w:fill="C6EFCE"/>
            <w:noWrap/>
            <w:vAlign w:val="center"/>
            <w:hideMark/>
          </w:tcPr>
          <w:p w14:paraId="40B1DE8C"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Signature of partnerships to promote digital inclusion</w:t>
            </w:r>
          </w:p>
        </w:tc>
      </w:tr>
      <w:tr w:rsidR="00232882" w:rsidRPr="001961AA" w14:paraId="4A0CF8E9" w14:textId="77777777" w:rsidTr="007C7ABA">
        <w:trPr>
          <w:trHeight w:val="315"/>
        </w:trPr>
        <w:tc>
          <w:tcPr>
            <w:tcW w:w="345" w:type="pct"/>
            <w:shd w:val="clear" w:color="auto" w:fill="C6EFCE"/>
            <w:noWrap/>
            <w:vAlign w:val="center"/>
            <w:hideMark/>
          </w:tcPr>
          <w:p w14:paraId="39C06EE0"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156</w:t>
            </w:r>
          </w:p>
        </w:tc>
        <w:tc>
          <w:tcPr>
            <w:tcW w:w="2069" w:type="pct"/>
            <w:shd w:val="clear" w:color="auto" w:fill="C6EFCE"/>
            <w:noWrap/>
            <w:vAlign w:val="center"/>
            <w:hideMark/>
          </w:tcPr>
          <w:p w14:paraId="266A566E"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Pension and end of career (R-4.07)</w:t>
            </w:r>
          </w:p>
        </w:tc>
        <w:tc>
          <w:tcPr>
            <w:tcW w:w="361" w:type="pct"/>
            <w:shd w:val="clear" w:color="auto" w:fill="C6EFCE"/>
            <w:noWrap/>
            <w:vAlign w:val="center"/>
            <w:hideMark/>
          </w:tcPr>
          <w:p w14:paraId="58827647"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w:t>
            </w:r>
          </w:p>
        </w:tc>
        <w:tc>
          <w:tcPr>
            <w:tcW w:w="2225" w:type="pct"/>
            <w:shd w:val="clear" w:color="auto" w:fill="C6EFCE"/>
            <w:noWrap/>
            <w:vAlign w:val="center"/>
            <w:hideMark/>
          </w:tcPr>
          <w:p w14:paraId="2000641A"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Action plan based on output of the employment conference</w:t>
            </w:r>
          </w:p>
        </w:tc>
      </w:tr>
      <w:tr w:rsidR="00232882" w:rsidRPr="001961AA" w14:paraId="0BE8D66A" w14:textId="77777777" w:rsidTr="007C7ABA">
        <w:trPr>
          <w:trHeight w:val="315"/>
        </w:trPr>
        <w:tc>
          <w:tcPr>
            <w:tcW w:w="345" w:type="pct"/>
            <w:shd w:val="clear" w:color="auto" w:fill="C6EFCE"/>
            <w:noWrap/>
            <w:vAlign w:val="center"/>
            <w:hideMark/>
          </w:tcPr>
          <w:p w14:paraId="6EB5D6B6"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164</w:t>
            </w:r>
          </w:p>
        </w:tc>
        <w:tc>
          <w:tcPr>
            <w:tcW w:w="2069" w:type="pct"/>
            <w:shd w:val="clear" w:color="auto" w:fill="C6EFCE"/>
            <w:noWrap/>
            <w:vAlign w:val="center"/>
            <w:hideMark/>
          </w:tcPr>
          <w:p w14:paraId="50FAFCAD"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Learning and career offensive (I-5.04)</w:t>
            </w:r>
          </w:p>
        </w:tc>
        <w:tc>
          <w:tcPr>
            <w:tcW w:w="361" w:type="pct"/>
            <w:shd w:val="clear" w:color="auto" w:fill="C6EFCE"/>
            <w:noWrap/>
            <w:vAlign w:val="center"/>
            <w:hideMark/>
          </w:tcPr>
          <w:p w14:paraId="47BC5CBA"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T</w:t>
            </w:r>
          </w:p>
        </w:tc>
        <w:tc>
          <w:tcPr>
            <w:tcW w:w="2225" w:type="pct"/>
            <w:shd w:val="clear" w:color="auto" w:fill="C6EFCE"/>
            <w:noWrap/>
            <w:vAlign w:val="center"/>
            <w:hideMark/>
          </w:tcPr>
          <w:p w14:paraId="203E2A48"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Support for training leaves and online training offer in Flanders</w:t>
            </w:r>
          </w:p>
        </w:tc>
      </w:tr>
      <w:tr w:rsidR="00232882" w:rsidRPr="001961AA" w14:paraId="1A62336F" w14:textId="77777777" w:rsidTr="007C7ABA">
        <w:trPr>
          <w:trHeight w:val="315"/>
        </w:trPr>
        <w:tc>
          <w:tcPr>
            <w:tcW w:w="345" w:type="pct"/>
            <w:shd w:val="clear" w:color="auto" w:fill="C6EFCE"/>
            <w:noWrap/>
            <w:vAlign w:val="center"/>
            <w:hideMark/>
          </w:tcPr>
          <w:p w14:paraId="7E765434"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167</w:t>
            </w:r>
          </w:p>
        </w:tc>
        <w:tc>
          <w:tcPr>
            <w:tcW w:w="2069" w:type="pct"/>
            <w:shd w:val="clear" w:color="auto" w:fill="C6EFCE"/>
            <w:noWrap/>
            <w:vAlign w:val="center"/>
            <w:hideMark/>
          </w:tcPr>
          <w:p w14:paraId="1C895BD5"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Learning and career-offensive (I-5.04)</w:t>
            </w:r>
          </w:p>
        </w:tc>
        <w:tc>
          <w:tcPr>
            <w:tcW w:w="361" w:type="pct"/>
            <w:shd w:val="clear" w:color="auto" w:fill="C6EFCE"/>
            <w:noWrap/>
            <w:vAlign w:val="center"/>
            <w:hideMark/>
          </w:tcPr>
          <w:p w14:paraId="5C94C77B"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w:t>
            </w:r>
          </w:p>
        </w:tc>
        <w:tc>
          <w:tcPr>
            <w:tcW w:w="2225" w:type="pct"/>
            <w:shd w:val="clear" w:color="auto" w:fill="C6EFCE"/>
            <w:noWrap/>
            <w:vAlign w:val="center"/>
            <w:hideMark/>
          </w:tcPr>
          <w:p w14:paraId="52B59000"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Support to the temporary unemployed in Flanders</w:t>
            </w:r>
          </w:p>
        </w:tc>
      </w:tr>
      <w:tr w:rsidR="00232882" w:rsidRPr="001961AA" w14:paraId="1B3A0913" w14:textId="77777777" w:rsidTr="007C7ABA">
        <w:trPr>
          <w:trHeight w:val="315"/>
        </w:trPr>
        <w:tc>
          <w:tcPr>
            <w:tcW w:w="345" w:type="pct"/>
            <w:shd w:val="clear" w:color="auto" w:fill="C6EFCE"/>
            <w:noWrap/>
            <w:vAlign w:val="center"/>
            <w:hideMark/>
          </w:tcPr>
          <w:p w14:paraId="445BDE39"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168</w:t>
            </w:r>
          </w:p>
        </w:tc>
        <w:tc>
          <w:tcPr>
            <w:tcW w:w="2069" w:type="pct"/>
            <w:shd w:val="clear" w:color="auto" w:fill="C6EFCE"/>
            <w:noWrap/>
            <w:vAlign w:val="center"/>
            <w:hideMark/>
          </w:tcPr>
          <w:p w14:paraId="136913B1"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Life-long learning of the Flemish Community (R-5.04)</w:t>
            </w:r>
          </w:p>
        </w:tc>
        <w:tc>
          <w:tcPr>
            <w:tcW w:w="361" w:type="pct"/>
            <w:shd w:val="clear" w:color="auto" w:fill="C6EFCE"/>
            <w:noWrap/>
            <w:vAlign w:val="center"/>
            <w:hideMark/>
          </w:tcPr>
          <w:p w14:paraId="41251EC1"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w:t>
            </w:r>
          </w:p>
        </w:tc>
        <w:tc>
          <w:tcPr>
            <w:tcW w:w="2225" w:type="pct"/>
            <w:shd w:val="clear" w:color="auto" w:fill="C6EFCE"/>
            <w:noWrap/>
            <w:vAlign w:val="center"/>
            <w:hideMark/>
          </w:tcPr>
          <w:p w14:paraId="4819A775"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Vision paper on learning and career account in Flanders</w:t>
            </w:r>
          </w:p>
        </w:tc>
      </w:tr>
      <w:tr w:rsidR="00232882" w:rsidRPr="001961AA" w14:paraId="7EF209CE" w14:textId="77777777" w:rsidTr="007C7ABA">
        <w:trPr>
          <w:trHeight w:val="315"/>
        </w:trPr>
        <w:tc>
          <w:tcPr>
            <w:tcW w:w="345" w:type="pct"/>
            <w:shd w:val="clear" w:color="auto" w:fill="C6EFCE"/>
            <w:noWrap/>
            <w:vAlign w:val="center"/>
            <w:hideMark/>
          </w:tcPr>
          <w:p w14:paraId="1C7AE204"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169</w:t>
            </w:r>
          </w:p>
        </w:tc>
        <w:tc>
          <w:tcPr>
            <w:tcW w:w="2069" w:type="pct"/>
            <w:shd w:val="clear" w:color="auto" w:fill="C6EFCE"/>
            <w:noWrap/>
            <w:vAlign w:val="center"/>
            <w:hideMark/>
          </w:tcPr>
          <w:p w14:paraId="313D6B33"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Digital Skills (I-5.06)</w:t>
            </w:r>
          </w:p>
        </w:tc>
        <w:tc>
          <w:tcPr>
            <w:tcW w:w="361" w:type="pct"/>
            <w:shd w:val="clear" w:color="auto" w:fill="C6EFCE"/>
            <w:noWrap/>
            <w:vAlign w:val="center"/>
            <w:hideMark/>
          </w:tcPr>
          <w:p w14:paraId="1C4662C4"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T</w:t>
            </w:r>
          </w:p>
        </w:tc>
        <w:tc>
          <w:tcPr>
            <w:tcW w:w="2225" w:type="pct"/>
            <w:shd w:val="clear" w:color="auto" w:fill="C6EFCE"/>
            <w:noWrap/>
            <w:vAlign w:val="center"/>
            <w:hideMark/>
          </w:tcPr>
          <w:p w14:paraId="5347A782"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Development of e-learning offer in Flanders</w:t>
            </w:r>
          </w:p>
        </w:tc>
      </w:tr>
      <w:tr w:rsidR="00232882" w:rsidRPr="001961AA" w14:paraId="3BEE7A95" w14:textId="77777777" w:rsidTr="007C7ABA">
        <w:trPr>
          <w:trHeight w:val="315"/>
        </w:trPr>
        <w:tc>
          <w:tcPr>
            <w:tcW w:w="345" w:type="pct"/>
            <w:shd w:val="clear" w:color="auto" w:fill="C6EFCE"/>
            <w:noWrap/>
            <w:vAlign w:val="center"/>
            <w:hideMark/>
          </w:tcPr>
          <w:p w14:paraId="266F0D0A"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186</w:t>
            </w:r>
          </w:p>
        </w:tc>
        <w:tc>
          <w:tcPr>
            <w:tcW w:w="2069" w:type="pct"/>
            <w:shd w:val="clear" w:color="auto" w:fill="C6EFCE"/>
            <w:noWrap/>
            <w:vAlign w:val="center"/>
            <w:hideMark/>
          </w:tcPr>
          <w:p w14:paraId="0D53ED03"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Strengthen R&amp;D (I-5.11)</w:t>
            </w:r>
          </w:p>
        </w:tc>
        <w:tc>
          <w:tcPr>
            <w:tcW w:w="361" w:type="pct"/>
            <w:shd w:val="clear" w:color="auto" w:fill="C6EFCE"/>
            <w:noWrap/>
            <w:vAlign w:val="center"/>
            <w:hideMark/>
          </w:tcPr>
          <w:p w14:paraId="67B83E4A"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w:t>
            </w:r>
          </w:p>
        </w:tc>
        <w:tc>
          <w:tcPr>
            <w:tcW w:w="2225" w:type="pct"/>
            <w:shd w:val="clear" w:color="auto" w:fill="C6EFCE"/>
            <w:noWrap/>
            <w:vAlign w:val="center"/>
            <w:hideMark/>
          </w:tcPr>
          <w:p w14:paraId="223A918C"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Award of public contracts for R&amp;D and infrastructure projects</w:t>
            </w:r>
          </w:p>
        </w:tc>
      </w:tr>
      <w:tr w:rsidR="00232882" w:rsidRPr="001961AA" w14:paraId="3D20A79C" w14:textId="77777777" w:rsidTr="007C7ABA">
        <w:trPr>
          <w:trHeight w:val="315"/>
        </w:trPr>
        <w:tc>
          <w:tcPr>
            <w:tcW w:w="345" w:type="pct"/>
            <w:shd w:val="clear" w:color="auto" w:fill="C6EFCE"/>
            <w:noWrap/>
            <w:vAlign w:val="center"/>
            <w:hideMark/>
          </w:tcPr>
          <w:p w14:paraId="46E16DFC"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189</w:t>
            </w:r>
          </w:p>
        </w:tc>
        <w:tc>
          <w:tcPr>
            <w:tcW w:w="2069" w:type="pct"/>
            <w:shd w:val="clear" w:color="auto" w:fill="C6EFCE"/>
            <w:noWrap/>
            <w:vAlign w:val="center"/>
            <w:hideMark/>
          </w:tcPr>
          <w:p w14:paraId="51453DCE"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Relocation of food and development of logistics platforms (I-5.12)</w:t>
            </w:r>
          </w:p>
        </w:tc>
        <w:tc>
          <w:tcPr>
            <w:tcW w:w="361" w:type="pct"/>
            <w:shd w:val="clear" w:color="auto" w:fill="C6EFCE"/>
            <w:noWrap/>
            <w:vAlign w:val="center"/>
            <w:hideMark/>
          </w:tcPr>
          <w:p w14:paraId="6860D8D5"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T</w:t>
            </w:r>
          </w:p>
        </w:tc>
        <w:tc>
          <w:tcPr>
            <w:tcW w:w="2225" w:type="pct"/>
            <w:shd w:val="clear" w:color="auto" w:fill="C6EFCE"/>
            <w:noWrap/>
            <w:vAlign w:val="center"/>
            <w:hideMark/>
          </w:tcPr>
          <w:p w14:paraId="666B4AC7"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Support for 30 food relocation projects, four emerging sectors and 5 pieces of infrastructure</w:t>
            </w:r>
          </w:p>
        </w:tc>
      </w:tr>
      <w:tr w:rsidR="00232882" w:rsidRPr="001961AA" w14:paraId="41CD5EAC" w14:textId="77777777" w:rsidTr="007C7ABA">
        <w:trPr>
          <w:trHeight w:val="315"/>
        </w:trPr>
        <w:tc>
          <w:tcPr>
            <w:tcW w:w="345" w:type="pct"/>
            <w:shd w:val="clear" w:color="auto" w:fill="C6EFCE"/>
            <w:noWrap/>
            <w:vAlign w:val="center"/>
            <w:hideMark/>
          </w:tcPr>
          <w:p w14:paraId="28CAD40E"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193</w:t>
            </w:r>
          </w:p>
        </w:tc>
        <w:tc>
          <w:tcPr>
            <w:tcW w:w="2069" w:type="pct"/>
            <w:shd w:val="clear" w:color="auto" w:fill="C6EFCE"/>
            <w:noWrap/>
            <w:vAlign w:val="center"/>
            <w:hideMark/>
          </w:tcPr>
          <w:p w14:paraId="0835E266"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Reform - Faster permit and appeal procedures (R-5.06)</w:t>
            </w:r>
          </w:p>
        </w:tc>
        <w:tc>
          <w:tcPr>
            <w:tcW w:w="361" w:type="pct"/>
            <w:shd w:val="clear" w:color="auto" w:fill="C6EFCE"/>
            <w:noWrap/>
            <w:vAlign w:val="center"/>
            <w:hideMark/>
          </w:tcPr>
          <w:p w14:paraId="163B1735"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w:t>
            </w:r>
          </w:p>
        </w:tc>
        <w:tc>
          <w:tcPr>
            <w:tcW w:w="2225" w:type="pct"/>
            <w:shd w:val="clear" w:color="auto" w:fill="C6EFCE"/>
            <w:noWrap/>
            <w:vAlign w:val="center"/>
            <w:hideMark/>
          </w:tcPr>
          <w:p w14:paraId="73F60FE9"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Reform of the environmental permit and appeal procedures</w:t>
            </w:r>
          </w:p>
        </w:tc>
      </w:tr>
      <w:tr w:rsidR="00232882" w:rsidRPr="001961AA" w14:paraId="02189565" w14:textId="77777777" w:rsidTr="007C7ABA">
        <w:trPr>
          <w:trHeight w:val="315"/>
        </w:trPr>
        <w:tc>
          <w:tcPr>
            <w:tcW w:w="345" w:type="pct"/>
            <w:shd w:val="clear" w:color="auto" w:fill="C6EFCE"/>
            <w:noWrap/>
            <w:vAlign w:val="center"/>
            <w:hideMark/>
          </w:tcPr>
          <w:p w14:paraId="7EB5BE3A"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194</w:t>
            </w:r>
          </w:p>
        </w:tc>
        <w:tc>
          <w:tcPr>
            <w:tcW w:w="2069" w:type="pct"/>
            <w:shd w:val="clear" w:color="auto" w:fill="C6EFCE"/>
            <w:noWrap/>
            <w:vAlign w:val="center"/>
            <w:hideMark/>
          </w:tcPr>
          <w:p w14:paraId="1D4FBDCB"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Reform - Broadening innovation base (R-5.07)</w:t>
            </w:r>
          </w:p>
        </w:tc>
        <w:tc>
          <w:tcPr>
            <w:tcW w:w="361" w:type="pct"/>
            <w:shd w:val="clear" w:color="auto" w:fill="C6EFCE"/>
            <w:noWrap/>
            <w:vAlign w:val="center"/>
            <w:hideMark/>
          </w:tcPr>
          <w:p w14:paraId="1730DF01"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w:t>
            </w:r>
          </w:p>
        </w:tc>
        <w:tc>
          <w:tcPr>
            <w:tcW w:w="2225" w:type="pct"/>
            <w:shd w:val="clear" w:color="auto" w:fill="C6EFCE"/>
            <w:noWrap/>
            <w:vAlign w:val="center"/>
            <w:hideMark/>
          </w:tcPr>
          <w:p w14:paraId="48E7DD10"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Reform of the regulation for innovation support</w:t>
            </w:r>
          </w:p>
        </w:tc>
      </w:tr>
      <w:tr w:rsidR="00232882" w:rsidRPr="001961AA" w14:paraId="5F7FB8E9" w14:textId="77777777" w:rsidTr="007C7ABA">
        <w:trPr>
          <w:trHeight w:val="315"/>
        </w:trPr>
        <w:tc>
          <w:tcPr>
            <w:tcW w:w="345" w:type="pct"/>
            <w:shd w:val="clear" w:color="auto" w:fill="C6EFCE"/>
            <w:noWrap/>
            <w:vAlign w:val="center"/>
            <w:hideMark/>
          </w:tcPr>
          <w:p w14:paraId="0427EA5C"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195</w:t>
            </w:r>
          </w:p>
        </w:tc>
        <w:tc>
          <w:tcPr>
            <w:tcW w:w="2069" w:type="pct"/>
            <w:shd w:val="clear" w:color="auto" w:fill="C6EFCE"/>
            <w:noWrap/>
            <w:vAlign w:val="center"/>
            <w:hideMark/>
          </w:tcPr>
          <w:p w14:paraId="0A56746A"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Brussels Regional Strategy for the Economic Transition (R-5.08)</w:t>
            </w:r>
          </w:p>
        </w:tc>
        <w:tc>
          <w:tcPr>
            <w:tcW w:w="361" w:type="pct"/>
            <w:shd w:val="clear" w:color="auto" w:fill="C6EFCE"/>
            <w:noWrap/>
            <w:vAlign w:val="center"/>
            <w:hideMark/>
          </w:tcPr>
          <w:p w14:paraId="31BCB854"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w:t>
            </w:r>
          </w:p>
        </w:tc>
        <w:tc>
          <w:tcPr>
            <w:tcW w:w="2225" w:type="pct"/>
            <w:shd w:val="clear" w:color="auto" w:fill="C6EFCE"/>
            <w:noWrap/>
            <w:vAlign w:val="center"/>
            <w:hideMark/>
          </w:tcPr>
          <w:p w14:paraId="2FF83115"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Adoption of the Regional Strategy for Economic Transition</w:t>
            </w:r>
          </w:p>
        </w:tc>
      </w:tr>
      <w:tr w:rsidR="00232882" w:rsidRPr="001961AA" w14:paraId="42222984" w14:textId="77777777" w:rsidTr="007C7ABA">
        <w:trPr>
          <w:trHeight w:val="315"/>
        </w:trPr>
        <w:tc>
          <w:tcPr>
            <w:tcW w:w="345" w:type="pct"/>
            <w:shd w:val="clear" w:color="auto" w:fill="C6EFCE"/>
            <w:noWrap/>
            <w:vAlign w:val="center"/>
            <w:hideMark/>
          </w:tcPr>
          <w:p w14:paraId="41E5AB05"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197</w:t>
            </w:r>
          </w:p>
        </w:tc>
        <w:tc>
          <w:tcPr>
            <w:tcW w:w="2069" w:type="pct"/>
            <w:shd w:val="clear" w:color="auto" w:fill="C6EFCE"/>
            <w:noWrap/>
            <w:vAlign w:val="center"/>
            <w:hideMark/>
          </w:tcPr>
          <w:p w14:paraId="22DEB9A2"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Recycling Hub (I-5.14)</w:t>
            </w:r>
          </w:p>
        </w:tc>
        <w:tc>
          <w:tcPr>
            <w:tcW w:w="361" w:type="pct"/>
            <w:shd w:val="clear" w:color="auto" w:fill="C6EFCE"/>
            <w:noWrap/>
            <w:vAlign w:val="center"/>
            <w:hideMark/>
          </w:tcPr>
          <w:p w14:paraId="55843505"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T</w:t>
            </w:r>
          </w:p>
        </w:tc>
        <w:tc>
          <w:tcPr>
            <w:tcW w:w="2225" w:type="pct"/>
            <w:shd w:val="clear" w:color="auto" w:fill="C6EFCE"/>
            <w:noWrap/>
            <w:vAlign w:val="center"/>
            <w:hideMark/>
          </w:tcPr>
          <w:p w14:paraId="4BF2F15C"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Award of six public contracts for recycling facilities</w:t>
            </w:r>
          </w:p>
        </w:tc>
      </w:tr>
      <w:tr w:rsidR="00232882" w:rsidRPr="001961AA" w14:paraId="0F0A5175" w14:textId="77777777" w:rsidTr="007C7ABA">
        <w:trPr>
          <w:trHeight w:val="315"/>
        </w:trPr>
        <w:tc>
          <w:tcPr>
            <w:tcW w:w="345" w:type="pct"/>
            <w:shd w:val="clear" w:color="auto" w:fill="C6EFCE"/>
            <w:noWrap/>
            <w:vAlign w:val="center"/>
            <w:hideMark/>
          </w:tcPr>
          <w:p w14:paraId="339F97A7"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201</w:t>
            </w:r>
          </w:p>
        </w:tc>
        <w:tc>
          <w:tcPr>
            <w:tcW w:w="2069" w:type="pct"/>
            <w:shd w:val="clear" w:color="auto" w:fill="C6EFCE"/>
            <w:noWrap/>
            <w:vAlign w:val="center"/>
            <w:hideMark/>
          </w:tcPr>
          <w:p w14:paraId="0C89AE53"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Deployment of the circular economy in Wallonia (I-5.16)</w:t>
            </w:r>
          </w:p>
        </w:tc>
        <w:tc>
          <w:tcPr>
            <w:tcW w:w="361" w:type="pct"/>
            <w:shd w:val="clear" w:color="auto" w:fill="C6EFCE"/>
            <w:noWrap/>
            <w:vAlign w:val="center"/>
            <w:hideMark/>
          </w:tcPr>
          <w:p w14:paraId="18F152AA"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w:t>
            </w:r>
          </w:p>
        </w:tc>
        <w:tc>
          <w:tcPr>
            <w:tcW w:w="2225" w:type="pct"/>
            <w:shd w:val="clear" w:color="auto" w:fill="C6EFCE"/>
            <w:noWrap/>
            <w:vAlign w:val="center"/>
            <w:hideMark/>
          </w:tcPr>
          <w:p w14:paraId="7CFCF32F"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Award of public contracts for projects promoting circular economy in Wallonia</w:t>
            </w:r>
          </w:p>
        </w:tc>
      </w:tr>
      <w:tr w:rsidR="00232882" w:rsidRPr="001961AA" w14:paraId="353364C4" w14:textId="77777777" w:rsidTr="007C7ABA">
        <w:trPr>
          <w:trHeight w:val="315"/>
        </w:trPr>
        <w:tc>
          <w:tcPr>
            <w:tcW w:w="345" w:type="pct"/>
            <w:shd w:val="clear" w:color="auto" w:fill="C6EFCE"/>
            <w:noWrap/>
            <w:vAlign w:val="center"/>
            <w:hideMark/>
          </w:tcPr>
          <w:p w14:paraId="19E3A0E4"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206</w:t>
            </w:r>
          </w:p>
        </w:tc>
        <w:tc>
          <w:tcPr>
            <w:tcW w:w="2069" w:type="pct"/>
            <w:shd w:val="clear" w:color="auto" w:fill="C6EFCE"/>
            <w:noWrap/>
            <w:vAlign w:val="center"/>
            <w:hideMark/>
          </w:tcPr>
          <w:p w14:paraId="4CA004D2"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Spending reviews (R-6)</w:t>
            </w:r>
          </w:p>
        </w:tc>
        <w:tc>
          <w:tcPr>
            <w:tcW w:w="361" w:type="pct"/>
            <w:shd w:val="clear" w:color="auto" w:fill="C6EFCE"/>
            <w:noWrap/>
            <w:vAlign w:val="center"/>
            <w:hideMark/>
          </w:tcPr>
          <w:p w14:paraId="31E5DCC2"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w:t>
            </w:r>
          </w:p>
        </w:tc>
        <w:tc>
          <w:tcPr>
            <w:tcW w:w="2225" w:type="pct"/>
            <w:shd w:val="clear" w:color="auto" w:fill="C6EFCE"/>
            <w:noWrap/>
            <w:vAlign w:val="center"/>
            <w:hideMark/>
          </w:tcPr>
          <w:p w14:paraId="5A52CA9A" w14:textId="256258A9"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Spending review integrainto budgetary process (1) or pilot completion</w:t>
            </w:r>
          </w:p>
        </w:tc>
      </w:tr>
      <w:tr w:rsidR="00232882" w:rsidRPr="001961AA" w14:paraId="3FEB9BE4" w14:textId="77777777" w:rsidTr="007C7ABA">
        <w:trPr>
          <w:trHeight w:val="315"/>
        </w:trPr>
        <w:tc>
          <w:tcPr>
            <w:tcW w:w="345" w:type="pct"/>
            <w:shd w:val="clear" w:color="auto" w:fill="C6EFCE"/>
            <w:noWrap/>
            <w:vAlign w:val="center"/>
            <w:hideMark/>
          </w:tcPr>
          <w:p w14:paraId="0FAD7F7C"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213</w:t>
            </w:r>
          </w:p>
        </w:tc>
        <w:tc>
          <w:tcPr>
            <w:tcW w:w="2069" w:type="pct"/>
            <w:shd w:val="clear" w:color="auto" w:fill="C6EFCE"/>
            <w:noWrap/>
            <w:vAlign w:val="center"/>
            <w:hideMark/>
          </w:tcPr>
          <w:p w14:paraId="0E006814"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Improved energy subsidy scheme of the Flemish Region (I-7.02)</w:t>
            </w:r>
          </w:p>
        </w:tc>
        <w:tc>
          <w:tcPr>
            <w:tcW w:w="361" w:type="pct"/>
            <w:shd w:val="clear" w:color="auto" w:fill="C6EFCE"/>
            <w:noWrap/>
            <w:vAlign w:val="center"/>
            <w:hideMark/>
          </w:tcPr>
          <w:p w14:paraId="40A58B4D"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w:t>
            </w:r>
          </w:p>
        </w:tc>
        <w:tc>
          <w:tcPr>
            <w:tcW w:w="2225" w:type="pct"/>
            <w:shd w:val="clear" w:color="auto" w:fill="C6EFCE"/>
            <w:noWrap/>
            <w:vAlign w:val="center"/>
            <w:hideMark/>
          </w:tcPr>
          <w:p w14:paraId="29DDE01E"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Increased energy subsidy scheme of the Flemish Region</w:t>
            </w:r>
          </w:p>
        </w:tc>
      </w:tr>
      <w:tr w:rsidR="00232882" w:rsidRPr="001961AA" w14:paraId="51EC28FF" w14:textId="77777777" w:rsidTr="007C7ABA">
        <w:trPr>
          <w:trHeight w:val="315"/>
        </w:trPr>
        <w:tc>
          <w:tcPr>
            <w:tcW w:w="345" w:type="pct"/>
            <w:shd w:val="clear" w:color="auto" w:fill="C6EFCE"/>
            <w:noWrap/>
            <w:vAlign w:val="center"/>
            <w:hideMark/>
          </w:tcPr>
          <w:p w14:paraId="4CC84E1F"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250</w:t>
            </w:r>
          </w:p>
        </w:tc>
        <w:tc>
          <w:tcPr>
            <w:tcW w:w="2069" w:type="pct"/>
            <w:shd w:val="clear" w:color="auto" w:fill="C6EFCE"/>
            <w:noWrap/>
            <w:vAlign w:val="center"/>
            <w:hideMark/>
          </w:tcPr>
          <w:p w14:paraId="3B69E25D"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Monitoring and implementation of the plan</w:t>
            </w:r>
          </w:p>
        </w:tc>
        <w:tc>
          <w:tcPr>
            <w:tcW w:w="361" w:type="pct"/>
            <w:shd w:val="clear" w:color="auto" w:fill="C6EFCE"/>
            <w:noWrap/>
            <w:vAlign w:val="center"/>
            <w:hideMark/>
          </w:tcPr>
          <w:p w14:paraId="681DE139"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w:t>
            </w:r>
          </w:p>
        </w:tc>
        <w:tc>
          <w:tcPr>
            <w:tcW w:w="2225" w:type="pct"/>
            <w:shd w:val="clear" w:color="auto" w:fill="C6EFCE"/>
            <w:noWrap/>
            <w:vAlign w:val="center"/>
            <w:hideMark/>
          </w:tcPr>
          <w:p w14:paraId="5D5646EF" w14:textId="77777777" w:rsidR="00232882" w:rsidRPr="001961AA" w:rsidRDefault="00232882" w:rsidP="00FF36ED">
            <w:pPr>
              <w:spacing w:after="0"/>
              <w:ind w:right="-110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Adaptation of the management and control system for the Recovery and Resilience Plan</w:t>
            </w:r>
          </w:p>
        </w:tc>
      </w:tr>
      <w:tr w:rsidR="00232882" w:rsidRPr="001961AA" w14:paraId="19F30609" w14:textId="77777777" w:rsidTr="007C7ABA">
        <w:trPr>
          <w:trHeight w:val="315"/>
        </w:trPr>
        <w:tc>
          <w:tcPr>
            <w:tcW w:w="345" w:type="pct"/>
            <w:shd w:val="clear" w:color="auto" w:fill="C6EFCE"/>
            <w:noWrap/>
            <w:vAlign w:val="center"/>
            <w:hideMark/>
          </w:tcPr>
          <w:p w14:paraId="6BEDA73C"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251</w:t>
            </w:r>
          </w:p>
        </w:tc>
        <w:tc>
          <w:tcPr>
            <w:tcW w:w="2069" w:type="pct"/>
            <w:shd w:val="clear" w:color="auto" w:fill="C6EFCE"/>
            <w:noWrap/>
            <w:vAlign w:val="center"/>
            <w:hideMark/>
          </w:tcPr>
          <w:p w14:paraId="17359885"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Monitoring and implementation of the plan</w:t>
            </w:r>
          </w:p>
        </w:tc>
        <w:tc>
          <w:tcPr>
            <w:tcW w:w="361" w:type="pct"/>
            <w:shd w:val="clear" w:color="auto" w:fill="C6EFCE"/>
            <w:noWrap/>
            <w:vAlign w:val="center"/>
            <w:hideMark/>
          </w:tcPr>
          <w:p w14:paraId="7E28D332"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w:t>
            </w:r>
          </w:p>
        </w:tc>
        <w:tc>
          <w:tcPr>
            <w:tcW w:w="2225" w:type="pct"/>
            <w:shd w:val="clear" w:color="auto" w:fill="C6EFCE"/>
            <w:noWrap/>
            <w:vAlign w:val="center"/>
            <w:hideMark/>
          </w:tcPr>
          <w:p w14:paraId="7F3B1DCC"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Prevention, detection and deterrence of conflict of interest</w:t>
            </w:r>
          </w:p>
        </w:tc>
      </w:tr>
      <w:tr w:rsidR="00232882" w:rsidRPr="001961AA" w14:paraId="5AA82E6B" w14:textId="77777777" w:rsidTr="007C7ABA">
        <w:trPr>
          <w:trHeight w:val="315"/>
        </w:trPr>
        <w:tc>
          <w:tcPr>
            <w:tcW w:w="345" w:type="pct"/>
            <w:shd w:val="clear" w:color="auto" w:fill="C6EFCE"/>
            <w:noWrap/>
            <w:vAlign w:val="center"/>
          </w:tcPr>
          <w:p w14:paraId="1B3B428A"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eastAsia="en-IE"/>
              </w:rPr>
            </w:pPr>
          </w:p>
        </w:tc>
        <w:tc>
          <w:tcPr>
            <w:tcW w:w="2430" w:type="pct"/>
            <w:gridSpan w:val="2"/>
            <w:shd w:val="clear" w:color="auto" w:fill="C6EFCE"/>
            <w:noWrap/>
            <w:vAlign w:val="center"/>
          </w:tcPr>
          <w:p w14:paraId="4B74759C" w14:textId="77777777" w:rsidR="00232882" w:rsidRPr="001961AA" w:rsidRDefault="00232882" w:rsidP="00FF36ED">
            <w:pPr>
              <w:spacing w:after="0"/>
              <w:jc w:val="right"/>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Instalment amount</w:t>
            </w:r>
          </w:p>
        </w:tc>
        <w:tc>
          <w:tcPr>
            <w:tcW w:w="2225" w:type="pct"/>
            <w:shd w:val="clear" w:color="auto" w:fill="C6EFCE"/>
            <w:noWrap/>
            <w:vAlign w:val="center"/>
          </w:tcPr>
          <w:p w14:paraId="4DD0B478" w14:textId="0EC4859F"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EUR 1</w:t>
            </w:r>
            <w:r w:rsidRPr="001961AA">
              <w:rPr>
                <w:noProof/>
                <w:lang w:val="en-GB"/>
              </w:rPr>
              <w:t xml:space="preserve"> </w:t>
            </w:r>
            <w:r w:rsidRPr="001961AA">
              <w:rPr>
                <w:rFonts w:ascii="Times New Roman" w:hAnsi="Times New Roman"/>
                <w:noProof/>
                <w:color w:val="006100"/>
                <w:sz w:val="20"/>
                <w:lang w:val="en-GB"/>
              </w:rPr>
              <w:t>006</w:t>
            </w:r>
            <w:r w:rsidRPr="001961AA">
              <w:rPr>
                <w:noProof/>
                <w:lang w:val="en-GB"/>
              </w:rPr>
              <w:t xml:space="preserve"> </w:t>
            </w:r>
            <w:r w:rsidRPr="001961AA">
              <w:rPr>
                <w:rFonts w:ascii="Times New Roman" w:hAnsi="Times New Roman"/>
                <w:noProof/>
                <w:color w:val="006100"/>
                <w:sz w:val="20"/>
                <w:lang w:val="en-GB"/>
              </w:rPr>
              <w:t>646</w:t>
            </w:r>
            <w:r w:rsidRPr="001961AA">
              <w:rPr>
                <w:noProof/>
                <w:lang w:val="en-GB"/>
              </w:rPr>
              <w:t xml:space="preserve"> </w:t>
            </w:r>
            <w:r w:rsidRPr="001961AA">
              <w:rPr>
                <w:rFonts w:ascii="Times New Roman" w:hAnsi="Times New Roman"/>
                <w:noProof/>
                <w:color w:val="006100"/>
                <w:sz w:val="20"/>
                <w:lang w:val="en-GB"/>
              </w:rPr>
              <w:t>610</w:t>
            </w:r>
          </w:p>
        </w:tc>
      </w:tr>
    </w:tbl>
    <w:p w14:paraId="68B2CA19" w14:textId="77777777" w:rsidR="00232882" w:rsidRPr="001961AA" w:rsidRDefault="00232882" w:rsidP="00232882">
      <w:pPr>
        <w:rPr>
          <w:rFonts w:ascii="Times New Roman" w:hAnsi="Times New Roman" w:cs="Times New Roman"/>
          <w:noProof/>
          <w:lang w:val="en-GB"/>
        </w:rPr>
      </w:pPr>
    </w:p>
    <w:p w14:paraId="2E0004F7" w14:textId="1CF4A20E" w:rsidR="00232882" w:rsidRPr="001961AA" w:rsidRDefault="00232882" w:rsidP="00420B74">
      <w:pPr>
        <w:pStyle w:val="ManualNumPar1"/>
        <w:rPr>
          <w:noProof/>
          <w:lang w:val="en-GB"/>
        </w:rPr>
      </w:pPr>
      <w:r w:rsidRPr="001961AA">
        <w:rPr>
          <w:noProof/>
          <w:lang w:val="en-GB"/>
        </w:rPr>
        <w:t>Third instalment (non-repayable support) :</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EFCE"/>
        <w:tblLayout w:type="fixed"/>
        <w:tblLook w:val="04A0" w:firstRow="1" w:lastRow="0" w:firstColumn="1" w:lastColumn="0" w:noHBand="0" w:noVBand="1"/>
      </w:tblPr>
      <w:tblGrid>
        <w:gridCol w:w="704"/>
        <w:gridCol w:w="4254"/>
        <w:gridCol w:w="706"/>
        <w:gridCol w:w="4542"/>
      </w:tblGrid>
      <w:tr w:rsidR="00232882" w:rsidRPr="001961AA" w14:paraId="43AF2E47" w14:textId="77777777" w:rsidTr="00587372">
        <w:trPr>
          <w:trHeight w:val="300"/>
          <w:tblHeader/>
        </w:trPr>
        <w:tc>
          <w:tcPr>
            <w:tcW w:w="345" w:type="pct"/>
            <w:shd w:val="clear" w:color="auto" w:fill="BDD7EE"/>
            <w:noWrap/>
            <w:vAlign w:val="center"/>
            <w:hideMark/>
          </w:tcPr>
          <w:p w14:paraId="51CB3B8A" w14:textId="77777777" w:rsidR="00232882" w:rsidRPr="001961AA" w:rsidRDefault="00232882" w:rsidP="00DF5893">
            <w:pPr>
              <w:spacing w:before="120" w:after="120"/>
              <w:jc w:val="center"/>
              <w:rPr>
                <w:rFonts w:ascii="Times New Roman" w:eastAsia="Times New Roman" w:hAnsi="Times New Roman" w:cs="Times New Roman"/>
                <w:b/>
                <w:bCs/>
                <w:noProof/>
                <w:color w:val="000000"/>
                <w:sz w:val="20"/>
                <w:szCs w:val="20"/>
                <w:lang w:val="en-GB"/>
              </w:rPr>
            </w:pPr>
            <w:r w:rsidRPr="001961AA">
              <w:rPr>
                <w:rFonts w:ascii="Times New Roman" w:hAnsi="Times New Roman"/>
                <w:b/>
                <w:noProof/>
                <w:color w:val="000000"/>
                <w:sz w:val="20"/>
                <w:lang w:val="en-GB"/>
              </w:rPr>
              <w:t>Seq. nb</w:t>
            </w:r>
          </w:p>
        </w:tc>
        <w:tc>
          <w:tcPr>
            <w:tcW w:w="2084" w:type="pct"/>
            <w:shd w:val="clear" w:color="auto" w:fill="BDD7EE"/>
            <w:noWrap/>
            <w:vAlign w:val="center"/>
            <w:hideMark/>
          </w:tcPr>
          <w:p w14:paraId="7CB805BB" w14:textId="77777777" w:rsidR="00232882" w:rsidRPr="001961AA" w:rsidRDefault="00232882" w:rsidP="00727EEC">
            <w:pPr>
              <w:spacing w:before="120" w:after="120"/>
              <w:jc w:val="center"/>
              <w:rPr>
                <w:rFonts w:ascii="Times New Roman" w:eastAsia="Times New Roman" w:hAnsi="Times New Roman" w:cs="Times New Roman"/>
                <w:b/>
                <w:bCs/>
                <w:noProof/>
                <w:color w:val="000000"/>
                <w:sz w:val="20"/>
                <w:szCs w:val="20"/>
                <w:lang w:val="en-GB"/>
              </w:rPr>
            </w:pPr>
            <w:r w:rsidRPr="001961AA">
              <w:rPr>
                <w:rFonts w:ascii="Times New Roman" w:hAnsi="Times New Roman"/>
                <w:b/>
                <w:noProof/>
                <w:color w:val="000000"/>
                <w:sz w:val="20"/>
                <w:lang w:val="en-GB"/>
              </w:rPr>
              <w:t>Name of the measure</w:t>
            </w:r>
          </w:p>
        </w:tc>
        <w:tc>
          <w:tcPr>
            <w:tcW w:w="346" w:type="pct"/>
            <w:shd w:val="clear" w:color="auto" w:fill="BDD7EE"/>
            <w:noWrap/>
            <w:vAlign w:val="center"/>
            <w:hideMark/>
          </w:tcPr>
          <w:p w14:paraId="3AC0C6A7" w14:textId="77777777" w:rsidR="00232882" w:rsidRPr="001961AA" w:rsidRDefault="00232882" w:rsidP="00727EEC">
            <w:pPr>
              <w:spacing w:before="120" w:after="120"/>
              <w:jc w:val="center"/>
              <w:rPr>
                <w:rFonts w:ascii="Times New Roman" w:eastAsia="Times New Roman" w:hAnsi="Times New Roman" w:cs="Times New Roman"/>
                <w:b/>
                <w:bCs/>
                <w:noProof/>
                <w:color w:val="000000"/>
                <w:sz w:val="20"/>
                <w:szCs w:val="20"/>
                <w:lang w:val="en-GB"/>
              </w:rPr>
            </w:pPr>
            <w:r w:rsidRPr="001961AA">
              <w:rPr>
                <w:rFonts w:ascii="Times New Roman" w:hAnsi="Times New Roman"/>
                <w:b/>
                <w:noProof/>
                <w:color w:val="000000"/>
                <w:sz w:val="20"/>
                <w:lang w:val="en-GB"/>
              </w:rPr>
              <w:t>M/T</w:t>
            </w:r>
          </w:p>
        </w:tc>
        <w:tc>
          <w:tcPr>
            <w:tcW w:w="2225" w:type="pct"/>
            <w:shd w:val="clear" w:color="auto" w:fill="BDD7EE"/>
            <w:noWrap/>
            <w:vAlign w:val="center"/>
            <w:hideMark/>
          </w:tcPr>
          <w:p w14:paraId="1091C7EB" w14:textId="77777777" w:rsidR="00232882" w:rsidRPr="001961AA" w:rsidRDefault="00232882" w:rsidP="00727EEC">
            <w:pPr>
              <w:spacing w:before="120" w:after="120"/>
              <w:jc w:val="center"/>
              <w:rPr>
                <w:rFonts w:ascii="Times New Roman" w:eastAsia="Times New Roman" w:hAnsi="Times New Roman" w:cs="Times New Roman"/>
                <w:b/>
                <w:bCs/>
                <w:noProof/>
                <w:color w:val="000000"/>
                <w:sz w:val="20"/>
                <w:szCs w:val="20"/>
                <w:lang w:val="en-GB"/>
              </w:rPr>
            </w:pPr>
            <w:r w:rsidRPr="001961AA">
              <w:rPr>
                <w:rFonts w:ascii="Times New Roman" w:hAnsi="Times New Roman"/>
                <w:b/>
                <w:noProof/>
                <w:color w:val="000000"/>
                <w:sz w:val="20"/>
                <w:lang w:val="en-GB"/>
              </w:rPr>
              <w:t>Name</w:t>
            </w:r>
          </w:p>
        </w:tc>
      </w:tr>
      <w:tr w:rsidR="00232882" w:rsidRPr="001961AA" w14:paraId="5441C559" w14:textId="77777777" w:rsidTr="00587372">
        <w:trPr>
          <w:trHeight w:val="315"/>
        </w:trPr>
        <w:tc>
          <w:tcPr>
            <w:tcW w:w="345" w:type="pct"/>
            <w:shd w:val="clear" w:color="auto" w:fill="C6EFCE"/>
            <w:noWrap/>
            <w:vAlign w:val="center"/>
            <w:hideMark/>
          </w:tcPr>
          <w:p w14:paraId="328F4491"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5</w:t>
            </w:r>
          </w:p>
        </w:tc>
        <w:tc>
          <w:tcPr>
            <w:tcW w:w="2084" w:type="pct"/>
            <w:shd w:val="clear" w:color="auto" w:fill="C6EFCE"/>
            <w:noWrap/>
            <w:vAlign w:val="center"/>
            <w:hideMark/>
          </w:tcPr>
          <w:p w14:paraId="3D46424C"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Renovation of private and social housing (I-1A)</w:t>
            </w:r>
          </w:p>
        </w:tc>
        <w:tc>
          <w:tcPr>
            <w:tcW w:w="346" w:type="pct"/>
            <w:shd w:val="clear" w:color="auto" w:fill="C6EFCE"/>
            <w:noWrap/>
            <w:vAlign w:val="center"/>
            <w:hideMark/>
          </w:tcPr>
          <w:p w14:paraId="4B6A2C5C"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T</w:t>
            </w:r>
          </w:p>
        </w:tc>
        <w:tc>
          <w:tcPr>
            <w:tcW w:w="2225" w:type="pct"/>
            <w:shd w:val="clear" w:color="auto" w:fill="C6EFCE"/>
            <w:noWrap/>
            <w:vAlign w:val="center"/>
            <w:hideMark/>
          </w:tcPr>
          <w:p w14:paraId="43349B97"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Renovation of private residential and social housing (step1)</w:t>
            </w:r>
          </w:p>
        </w:tc>
      </w:tr>
      <w:tr w:rsidR="00232882" w:rsidRPr="001961AA" w14:paraId="7E79A81B" w14:textId="77777777" w:rsidTr="00587372">
        <w:trPr>
          <w:trHeight w:val="315"/>
        </w:trPr>
        <w:tc>
          <w:tcPr>
            <w:tcW w:w="345" w:type="pct"/>
            <w:shd w:val="clear" w:color="auto" w:fill="C6EFCE"/>
            <w:noWrap/>
            <w:vAlign w:val="center"/>
            <w:hideMark/>
          </w:tcPr>
          <w:p w14:paraId="7A3CCAD5"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9</w:t>
            </w:r>
          </w:p>
        </w:tc>
        <w:tc>
          <w:tcPr>
            <w:tcW w:w="2084" w:type="pct"/>
            <w:shd w:val="clear" w:color="auto" w:fill="C6EFCE"/>
            <w:noWrap/>
            <w:vAlign w:val="center"/>
            <w:hideMark/>
          </w:tcPr>
          <w:p w14:paraId="093E55FA"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Renovation of private and social housing (R-1.01(iii))</w:t>
            </w:r>
          </w:p>
        </w:tc>
        <w:tc>
          <w:tcPr>
            <w:tcW w:w="346" w:type="pct"/>
            <w:shd w:val="clear" w:color="auto" w:fill="C6EFCE"/>
            <w:noWrap/>
            <w:vAlign w:val="center"/>
            <w:hideMark/>
          </w:tcPr>
          <w:p w14:paraId="37751064"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T</w:t>
            </w:r>
          </w:p>
        </w:tc>
        <w:tc>
          <w:tcPr>
            <w:tcW w:w="2225" w:type="pct"/>
            <w:shd w:val="clear" w:color="auto" w:fill="C6EFCE"/>
            <w:noWrap/>
            <w:vAlign w:val="center"/>
            <w:hideMark/>
          </w:tcPr>
          <w:p w14:paraId="2102AB7D"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Award of grants for home batteries in Flanders</w:t>
            </w:r>
          </w:p>
        </w:tc>
      </w:tr>
      <w:tr w:rsidR="00232882" w:rsidRPr="001961AA" w14:paraId="47363D27" w14:textId="77777777" w:rsidTr="00587372">
        <w:trPr>
          <w:trHeight w:val="315"/>
        </w:trPr>
        <w:tc>
          <w:tcPr>
            <w:tcW w:w="345" w:type="pct"/>
            <w:shd w:val="clear" w:color="auto" w:fill="C6EFCE"/>
            <w:noWrap/>
            <w:vAlign w:val="center"/>
            <w:hideMark/>
          </w:tcPr>
          <w:p w14:paraId="1C3321E0"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38</w:t>
            </w:r>
          </w:p>
        </w:tc>
        <w:tc>
          <w:tcPr>
            <w:tcW w:w="2084" w:type="pct"/>
            <w:shd w:val="clear" w:color="auto" w:fill="C6EFCE"/>
            <w:noWrap/>
            <w:vAlign w:val="center"/>
            <w:hideMark/>
          </w:tcPr>
          <w:p w14:paraId="70A750D5"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Biodiversity and adaptation to climate change (I-1.22)</w:t>
            </w:r>
          </w:p>
        </w:tc>
        <w:tc>
          <w:tcPr>
            <w:tcW w:w="346" w:type="pct"/>
            <w:shd w:val="clear" w:color="auto" w:fill="C6EFCE"/>
            <w:noWrap/>
            <w:vAlign w:val="center"/>
            <w:hideMark/>
          </w:tcPr>
          <w:p w14:paraId="5DD50000"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w:t>
            </w:r>
          </w:p>
        </w:tc>
        <w:tc>
          <w:tcPr>
            <w:tcW w:w="2225" w:type="pct"/>
            <w:shd w:val="clear" w:color="auto" w:fill="C6EFCE"/>
            <w:noWrap/>
            <w:vAlign w:val="center"/>
            <w:hideMark/>
          </w:tcPr>
          <w:p w14:paraId="4F6DED52"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Award of contracts to projects for creation of two national parks</w:t>
            </w:r>
          </w:p>
        </w:tc>
      </w:tr>
      <w:tr w:rsidR="00232882" w:rsidRPr="001961AA" w14:paraId="30522667" w14:textId="77777777" w:rsidTr="00587372">
        <w:trPr>
          <w:trHeight w:val="315"/>
        </w:trPr>
        <w:tc>
          <w:tcPr>
            <w:tcW w:w="345" w:type="pct"/>
            <w:shd w:val="clear" w:color="auto" w:fill="C6EFCE"/>
            <w:noWrap/>
            <w:vAlign w:val="center"/>
            <w:hideMark/>
          </w:tcPr>
          <w:p w14:paraId="06D4DD42"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41</w:t>
            </w:r>
          </w:p>
        </w:tc>
        <w:tc>
          <w:tcPr>
            <w:tcW w:w="2084" w:type="pct"/>
            <w:shd w:val="clear" w:color="auto" w:fill="C6EFCE"/>
            <w:noWrap/>
            <w:vAlign w:val="center"/>
            <w:hideMark/>
          </w:tcPr>
          <w:p w14:paraId="2F38E985"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Blue Deal (I-1.24)</w:t>
            </w:r>
          </w:p>
        </w:tc>
        <w:tc>
          <w:tcPr>
            <w:tcW w:w="346" w:type="pct"/>
            <w:shd w:val="clear" w:color="auto" w:fill="C6EFCE"/>
            <w:noWrap/>
            <w:vAlign w:val="center"/>
            <w:hideMark/>
          </w:tcPr>
          <w:p w14:paraId="3563642A"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w:t>
            </w:r>
          </w:p>
        </w:tc>
        <w:tc>
          <w:tcPr>
            <w:tcW w:w="2225" w:type="pct"/>
            <w:shd w:val="clear" w:color="auto" w:fill="C6EFCE"/>
            <w:noWrap/>
            <w:vAlign w:val="center"/>
            <w:hideMark/>
          </w:tcPr>
          <w:p w14:paraId="410678B9"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Start of projects to reinforce biodiversity and/or mitigate climate change effects</w:t>
            </w:r>
          </w:p>
        </w:tc>
      </w:tr>
      <w:tr w:rsidR="00232882" w:rsidRPr="001961AA" w14:paraId="366E6AEA" w14:textId="77777777" w:rsidTr="00587372">
        <w:trPr>
          <w:trHeight w:val="315"/>
        </w:trPr>
        <w:tc>
          <w:tcPr>
            <w:tcW w:w="345" w:type="pct"/>
            <w:shd w:val="clear" w:color="auto" w:fill="C6EFCE"/>
            <w:noWrap/>
            <w:vAlign w:val="center"/>
            <w:hideMark/>
          </w:tcPr>
          <w:p w14:paraId="5A98050C"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42</w:t>
            </w:r>
          </w:p>
        </w:tc>
        <w:tc>
          <w:tcPr>
            <w:tcW w:w="2084" w:type="pct"/>
            <w:shd w:val="clear" w:color="auto" w:fill="C6EFCE"/>
            <w:noWrap/>
            <w:vAlign w:val="center"/>
            <w:hideMark/>
          </w:tcPr>
          <w:p w14:paraId="15069014"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Blue Deal (I-1.24)</w:t>
            </w:r>
          </w:p>
        </w:tc>
        <w:tc>
          <w:tcPr>
            <w:tcW w:w="346" w:type="pct"/>
            <w:shd w:val="clear" w:color="auto" w:fill="C6EFCE"/>
            <w:noWrap/>
            <w:vAlign w:val="center"/>
            <w:hideMark/>
          </w:tcPr>
          <w:p w14:paraId="37D20644"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w:t>
            </w:r>
          </w:p>
        </w:tc>
        <w:tc>
          <w:tcPr>
            <w:tcW w:w="2225" w:type="pct"/>
            <w:shd w:val="clear" w:color="auto" w:fill="C6EFCE"/>
            <w:noWrap/>
            <w:vAlign w:val="center"/>
            <w:hideMark/>
          </w:tcPr>
          <w:p w14:paraId="0F471E9F"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Land purchases to reinforce biodiversity and/or mitigate climate change effects</w:t>
            </w:r>
          </w:p>
        </w:tc>
      </w:tr>
      <w:tr w:rsidR="00232882" w:rsidRPr="001961AA" w14:paraId="51E6A83F" w14:textId="77777777" w:rsidTr="00587372">
        <w:trPr>
          <w:trHeight w:val="315"/>
        </w:trPr>
        <w:tc>
          <w:tcPr>
            <w:tcW w:w="345" w:type="pct"/>
            <w:shd w:val="clear" w:color="auto" w:fill="C6EFCE"/>
            <w:noWrap/>
            <w:vAlign w:val="center"/>
            <w:hideMark/>
          </w:tcPr>
          <w:p w14:paraId="450872D7"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47</w:t>
            </w:r>
          </w:p>
        </w:tc>
        <w:tc>
          <w:tcPr>
            <w:tcW w:w="2084" w:type="pct"/>
            <w:shd w:val="clear" w:color="auto" w:fill="C6EFCE"/>
            <w:noWrap/>
            <w:vAlign w:val="center"/>
            <w:hideMark/>
          </w:tcPr>
          <w:p w14:paraId="702A8828"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Cybersecure and resilient digital society (I-2.01)</w:t>
            </w:r>
          </w:p>
        </w:tc>
        <w:tc>
          <w:tcPr>
            <w:tcW w:w="346" w:type="pct"/>
            <w:shd w:val="clear" w:color="auto" w:fill="C6EFCE"/>
            <w:noWrap/>
            <w:vAlign w:val="center"/>
            <w:hideMark/>
          </w:tcPr>
          <w:p w14:paraId="2AB64F82"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w:t>
            </w:r>
          </w:p>
        </w:tc>
        <w:tc>
          <w:tcPr>
            <w:tcW w:w="2225" w:type="pct"/>
            <w:shd w:val="clear" w:color="auto" w:fill="C6EFCE"/>
            <w:noWrap/>
            <w:vAlign w:val="center"/>
            <w:hideMark/>
          </w:tcPr>
          <w:p w14:paraId="2F14F423"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 xml:space="preserve">Global cybersecurity governance framework within the Ministry of Foreign Affairs </w:t>
            </w:r>
          </w:p>
        </w:tc>
      </w:tr>
      <w:tr w:rsidR="00232882" w:rsidRPr="001961AA" w14:paraId="34B3F8D2" w14:textId="77777777" w:rsidTr="00587372">
        <w:trPr>
          <w:trHeight w:val="315"/>
        </w:trPr>
        <w:tc>
          <w:tcPr>
            <w:tcW w:w="345" w:type="pct"/>
            <w:shd w:val="clear" w:color="auto" w:fill="C6EFCE"/>
            <w:noWrap/>
            <w:vAlign w:val="center"/>
            <w:hideMark/>
          </w:tcPr>
          <w:p w14:paraId="18D1684F"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58</w:t>
            </w:r>
          </w:p>
        </w:tc>
        <w:tc>
          <w:tcPr>
            <w:tcW w:w="2084" w:type="pct"/>
            <w:shd w:val="clear" w:color="auto" w:fill="C6EFCE"/>
            <w:noWrap/>
            <w:vAlign w:val="center"/>
            <w:hideMark/>
          </w:tcPr>
          <w:p w14:paraId="349B55FF"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Digitalisation SPF (I-2.05) (Sub-measure 1: Digital transformation of Justice)</w:t>
            </w:r>
          </w:p>
        </w:tc>
        <w:tc>
          <w:tcPr>
            <w:tcW w:w="346" w:type="pct"/>
            <w:shd w:val="clear" w:color="auto" w:fill="C6EFCE"/>
            <w:noWrap/>
            <w:vAlign w:val="center"/>
            <w:hideMark/>
          </w:tcPr>
          <w:p w14:paraId="463EF36C"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w:t>
            </w:r>
          </w:p>
        </w:tc>
        <w:tc>
          <w:tcPr>
            <w:tcW w:w="2225" w:type="pct"/>
            <w:shd w:val="clear" w:color="auto" w:fill="C6EFCE"/>
            <w:noWrap/>
            <w:vAlign w:val="center"/>
            <w:hideMark/>
          </w:tcPr>
          <w:p w14:paraId="780D63A0"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Internal centralization of court decisions</w:t>
            </w:r>
          </w:p>
        </w:tc>
      </w:tr>
      <w:tr w:rsidR="00232882" w:rsidRPr="001961AA" w14:paraId="5363DD91" w14:textId="77777777" w:rsidTr="00587372">
        <w:trPr>
          <w:trHeight w:val="315"/>
        </w:trPr>
        <w:tc>
          <w:tcPr>
            <w:tcW w:w="345" w:type="pct"/>
            <w:shd w:val="clear" w:color="auto" w:fill="C6EFCE"/>
            <w:noWrap/>
            <w:vAlign w:val="center"/>
            <w:hideMark/>
          </w:tcPr>
          <w:p w14:paraId="775D6854"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77</w:t>
            </w:r>
          </w:p>
        </w:tc>
        <w:tc>
          <w:tcPr>
            <w:tcW w:w="2084" w:type="pct"/>
            <w:shd w:val="clear" w:color="auto" w:fill="C6EFCE"/>
            <w:noWrap/>
            <w:vAlign w:val="center"/>
            <w:hideMark/>
          </w:tcPr>
          <w:p w14:paraId="557848C3"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Simplification of administrative procedures (R-2.01)</w:t>
            </w:r>
          </w:p>
        </w:tc>
        <w:tc>
          <w:tcPr>
            <w:tcW w:w="346" w:type="pct"/>
            <w:shd w:val="clear" w:color="auto" w:fill="C6EFCE"/>
            <w:noWrap/>
            <w:vAlign w:val="center"/>
            <w:hideMark/>
          </w:tcPr>
          <w:p w14:paraId="028C5090"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w:t>
            </w:r>
          </w:p>
        </w:tc>
        <w:tc>
          <w:tcPr>
            <w:tcW w:w="2225" w:type="pct"/>
            <w:shd w:val="clear" w:color="auto" w:fill="C6EFCE"/>
            <w:noWrap/>
            <w:vAlign w:val="center"/>
            <w:hideMark/>
          </w:tcPr>
          <w:p w14:paraId="5BFB511E"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Entry into force of measures to simplify the online creation of a business</w:t>
            </w:r>
          </w:p>
        </w:tc>
      </w:tr>
      <w:tr w:rsidR="00232882" w:rsidRPr="001961AA" w14:paraId="1B503382" w14:textId="77777777" w:rsidTr="00587372">
        <w:trPr>
          <w:trHeight w:val="315"/>
        </w:trPr>
        <w:tc>
          <w:tcPr>
            <w:tcW w:w="345" w:type="pct"/>
            <w:shd w:val="clear" w:color="auto" w:fill="C6EFCE"/>
            <w:noWrap/>
            <w:vAlign w:val="center"/>
            <w:hideMark/>
          </w:tcPr>
          <w:p w14:paraId="3937E336"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82</w:t>
            </w:r>
          </w:p>
        </w:tc>
        <w:tc>
          <w:tcPr>
            <w:tcW w:w="2084" w:type="pct"/>
            <w:shd w:val="clear" w:color="auto" w:fill="C6EFCE"/>
            <w:noWrap/>
            <w:vAlign w:val="center"/>
            <w:hideMark/>
          </w:tcPr>
          <w:p w14:paraId="301458CC"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Development of an AI institute in order to use this technology to meet societal challenges (I-2.14)</w:t>
            </w:r>
          </w:p>
        </w:tc>
        <w:tc>
          <w:tcPr>
            <w:tcW w:w="346" w:type="pct"/>
            <w:shd w:val="clear" w:color="auto" w:fill="C6EFCE"/>
            <w:noWrap/>
            <w:vAlign w:val="center"/>
            <w:hideMark/>
          </w:tcPr>
          <w:p w14:paraId="179F5D35"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w:t>
            </w:r>
          </w:p>
        </w:tc>
        <w:tc>
          <w:tcPr>
            <w:tcW w:w="2225" w:type="pct"/>
            <w:shd w:val="clear" w:color="auto" w:fill="C6EFCE"/>
            <w:noWrap/>
            <w:vAlign w:val="center"/>
            <w:hideMark/>
          </w:tcPr>
          <w:p w14:paraId="57C77E96"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Team of experts created within the AI for the Common Good Institute</w:t>
            </w:r>
          </w:p>
        </w:tc>
      </w:tr>
      <w:tr w:rsidR="00232882" w:rsidRPr="001961AA" w14:paraId="6921DC18" w14:textId="77777777" w:rsidTr="00587372">
        <w:trPr>
          <w:trHeight w:val="315"/>
        </w:trPr>
        <w:tc>
          <w:tcPr>
            <w:tcW w:w="345" w:type="pct"/>
            <w:shd w:val="clear" w:color="auto" w:fill="C6EFCE"/>
            <w:noWrap/>
            <w:vAlign w:val="center"/>
            <w:hideMark/>
          </w:tcPr>
          <w:p w14:paraId="6ED4D518"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99</w:t>
            </w:r>
          </w:p>
        </w:tc>
        <w:tc>
          <w:tcPr>
            <w:tcW w:w="2084" w:type="pct"/>
            <w:shd w:val="clear" w:color="auto" w:fill="C6EFCE"/>
            <w:noWrap/>
            <w:vAlign w:val="center"/>
            <w:hideMark/>
          </w:tcPr>
          <w:p w14:paraId="75FFF5DF"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Enhancing public transport in Wallonia (I-3B)</w:t>
            </w:r>
          </w:p>
        </w:tc>
        <w:tc>
          <w:tcPr>
            <w:tcW w:w="346" w:type="pct"/>
            <w:shd w:val="clear" w:color="auto" w:fill="C6EFCE"/>
            <w:noWrap/>
            <w:vAlign w:val="center"/>
            <w:hideMark/>
          </w:tcPr>
          <w:p w14:paraId="77886B76"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T</w:t>
            </w:r>
          </w:p>
        </w:tc>
        <w:tc>
          <w:tcPr>
            <w:tcW w:w="2225" w:type="pct"/>
            <w:shd w:val="clear" w:color="auto" w:fill="C6EFCE"/>
            <w:noWrap/>
            <w:vAlign w:val="center"/>
            <w:hideMark/>
          </w:tcPr>
          <w:p w14:paraId="478F8D05" w14:textId="17E73468"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Start of major infrastructure works for bus (smart road signals, and light metro (Charleroi))</w:t>
            </w:r>
          </w:p>
        </w:tc>
      </w:tr>
      <w:tr w:rsidR="00232882" w:rsidRPr="001961AA" w14:paraId="00E448D4" w14:textId="77777777" w:rsidTr="00587372">
        <w:trPr>
          <w:trHeight w:val="315"/>
        </w:trPr>
        <w:tc>
          <w:tcPr>
            <w:tcW w:w="345" w:type="pct"/>
            <w:shd w:val="clear" w:color="auto" w:fill="C6EFCE"/>
            <w:noWrap/>
            <w:vAlign w:val="center"/>
            <w:hideMark/>
          </w:tcPr>
          <w:p w14:paraId="53057868"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104</w:t>
            </w:r>
          </w:p>
        </w:tc>
        <w:tc>
          <w:tcPr>
            <w:tcW w:w="2084" w:type="pct"/>
            <w:shd w:val="clear" w:color="auto" w:fill="C6EFCE"/>
            <w:noWrap/>
            <w:vAlign w:val="center"/>
            <w:hideMark/>
          </w:tcPr>
          <w:p w14:paraId="13E91902"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Rail refurbishment and station accessibility works (I-3C)</w:t>
            </w:r>
          </w:p>
        </w:tc>
        <w:tc>
          <w:tcPr>
            <w:tcW w:w="346" w:type="pct"/>
            <w:shd w:val="clear" w:color="auto" w:fill="C6EFCE"/>
            <w:noWrap/>
            <w:vAlign w:val="center"/>
            <w:hideMark/>
          </w:tcPr>
          <w:p w14:paraId="7071126D"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T</w:t>
            </w:r>
          </w:p>
        </w:tc>
        <w:tc>
          <w:tcPr>
            <w:tcW w:w="2225" w:type="pct"/>
            <w:shd w:val="clear" w:color="auto" w:fill="C6EFCE"/>
            <w:noWrap/>
            <w:vAlign w:val="center"/>
            <w:hideMark/>
          </w:tcPr>
          <w:p w14:paraId="3CDCE259"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Completion of rail refurbishment and modernisation works and station accessibility works (step 2)</w:t>
            </w:r>
          </w:p>
        </w:tc>
      </w:tr>
      <w:tr w:rsidR="00232882" w:rsidRPr="001961AA" w14:paraId="3DF984B2" w14:textId="77777777" w:rsidTr="00587372">
        <w:trPr>
          <w:trHeight w:val="315"/>
        </w:trPr>
        <w:tc>
          <w:tcPr>
            <w:tcW w:w="345" w:type="pct"/>
            <w:shd w:val="clear" w:color="auto" w:fill="C6EFCE"/>
            <w:noWrap/>
            <w:vAlign w:val="center"/>
            <w:hideMark/>
          </w:tcPr>
          <w:p w14:paraId="50CA8DFC"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111</w:t>
            </w:r>
          </w:p>
        </w:tc>
        <w:tc>
          <w:tcPr>
            <w:tcW w:w="2084" w:type="pct"/>
            <w:shd w:val="clear" w:color="auto" w:fill="C6EFCE"/>
            <w:noWrap/>
            <w:vAlign w:val="center"/>
            <w:hideMark/>
          </w:tcPr>
          <w:p w14:paraId="05B5D365"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SNCB/INFRABEL Performance (R-3.01)</w:t>
            </w:r>
          </w:p>
        </w:tc>
        <w:tc>
          <w:tcPr>
            <w:tcW w:w="346" w:type="pct"/>
            <w:shd w:val="clear" w:color="auto" w:fill="C6EFCE"/>
            <w:noWrap/>
            <w:vAlign w:val="center"/>
            <w:hideMark/>
          </w:tcPr>
          <w:p w14:paraId="2B7B7646"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w:t>
            </w:r>
          </w:p>
        </w:tc>
        <w:tc>
          <w:tcPr>
            <w:tcW w:w="2225" w:type="pct"/>
            <w:shd w:val="clear" w:color="auto" w:fill="C6EFCE"/>
            <w:noWrap/>
            <w:vAlign w:val="center"/>
            <w:hideMark/>
          </w:tcPr>
          <w:p w14:paraId="3A753831"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Approval of the new performance contracts of NMBS-SNCB and Infrabel and the pluri-annual investment plan, contract</w:t>
            </w:r>
          </w:p>
        </w:tc>
      </w:tr>
      <w:tr w:rsidR="00232882" w:rsidRPr="001961AA" w14:paraId="058F9203" w14:textId="77777777" w:rsidTr="00587372">
        <w:trPr>
          <w:trHeight w:val="315"/>
        </w:trPr>
        <w:tc>
          <w:tcPr>
            <w:tcW w:w="345" w:type="pct"/>
            <w:shd w:val="clear" w:color="auto" w:fill="C6EFCE"/>
            <w:noWrap/>
            <w:vAlign w:val="center"/>
            <w:hideMark/>
          </w:tcPr>
          <w:p w14:paraId="286472CA"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113</w:t>
            </w:r>
          </w:p>
        </w:tc>
        <w:tc>
          <w:tcPr>
            <w:tcW w:w="2084" w:type="pct"/>
            <w:shd w:val="clear" w:color="auto" w:fill="C6EFCE"/>
            <w:noWrap/>
            <w:vAlign w:val="center"/>
            <w:hideMark/>
          </w:tcPr>
          <w:p w14:paraId="309465DB"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Modal shift grants (I-3.14)</w:t>
            </w:r>
          </w:p>
        </w:tc>
        <w:tc>
          <w:tcPr>
            <w:tcW w:w="346" w:type="pct"/>
            <w:shd w:val="clear" w:color="auto" w:fill="C6EFCE"/>
            <w:noWrap/>
            <w:vAlign w:val="center"/>
            <w:hideMark/>
          </w:tcPr>
          <w:p w14:paraId="48145E6C"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T</w:t>
            </w:r>
          </w:p>
        </w:tc>
        <w:tc>
          <w:tcPr>
            <w:tcW w:w="2225" w:type="pct"/>
            <w:shd w:val="clear" w:color="auto" w:fill="C6EFCE"/>
            <w:noWrap/>
            <w:vAlign w:val="center"/>
            <w:hideMark/>
          </w:tcPr>
          <w:p w14:paraId="5077233C"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First 4375 new modal shift grants applications</w:t>
            </w:r>
          </w:p>
        </w:tc>
      </w:tr>
      <w:tr w:rsidR="00232882" w:rsidRPr="001961AA" w14:paraId="5C534C7A" w14:textId="77777777" w:rsidTr="00587372">
        <w:trPr>
          <w:trHeight w:val="315"/>
        </w:trPr>
        <w:tc>
          <w:tcPr>
            <w:tcW w:w="345" w:type="pct"/>
            <w:shd w:val="clear" w:color="auto" w:fill="C6EFCE"/>
            <w:noWrap/>
            <w:vAlign w:val="center"/>
            <w:hideMark/>
          </w:tcPr>
          <w:p w14:paraId="6FE12F10"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121</w:t>
            </w:r>
          </w:p>
        </w:tc>
        <w:tc>
          <w:tcPr>
            <w:tcW w:w="2084" w:type="pct"/>
            <w:shd w:val="clear" w:color="auto" w:fill="C6EFCE"/>
            <w:noWrap/>
            <w:vAlign w:val="center"/>
            <w:hideMark/>
          </w:tcPr>
          <w:p w14:paraId="2CD77EF0"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Charging stations (I-3F)</w:t>
            </w:r>
          </w:p>
        </w:tc>
        <w:tc>
          <w:tcPr>
            <w:tcW w:w="346" w:type="pct"/>
            <w:shd w:val="clear" w:color="auto" w:fill="C6EFCE"/>
            <w:noWrap/>
            <w:vAlign w:val="center"/>
            <w:hideMark/>
          </w:tcPr>
          <w:p w14:paraId="622D760E"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T</w:t>
            </w:r>
          </w:p>
        </w:tc>
        <w:tc>
          <w:tcPr>
            <w:tcW w:w="2225" w:type="pct"/>
            <w:shd w:val="clear" w:color="auto" w:fill="C6EFCE"/>
            <w:noWrap/>
            <w:vAlign w:val="center"/>
            <w:hideMark/>
          </w:tcPr>
          <w:p w14:paraId="0516F21F"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Additional operational semi-public and public charging points (step 1)</w:t>
            </w:r>
          </w:p>
        </w:tc>
      </w:tr>
      <w:tr w:rsidR="00232882" w:rsidRPr="001961AA" w14:paraId="1C49FC1D" w14:textId="77777777" w:rsidTr="00587372">
        <w:trPr>
          <w:trHeight w:val="315"/>
        </w:trPr>
        <w:tc>
          <w:tcPr>
            <w:tcW w:w="345" w:type="pct"/>
            <w:shd w:val="clear" w:color="auto" w:fill="C6EFCE"/>
            <w:noWrap/>
            <w:vAlign w:val="center"/>
            <w:hideMark/>
          </w:tcPr>
          <w:p w14:paraId="02A9CD86"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124</w:t>
            </w:r>
          </w:p>
        </w:tc>
        <w:tc>
          <w:tcPr>
            <w:tcW w:w="2084" w:type="pct"/>
            <w:shd w:val="clear" w:color="auto" w:fill="C6EFCE"/>
            <w:noWrap/>
            <w:vAlign w:val="center"/>
            <w:hideMark/>
          </w:tcPr>
          <w:p w14:paraId="473E420E"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Emission fraud (R-3.07)</w:t>
            </w:r>
          </w:p>
        </w:tc>
        <w:tc>
          <w:tcPr>
            <w:tcW w:w="346" w:type="pct"/>
            <w:shd w:val="clear" w:color="auto" w:fill="C6EFCE"/>
            <w:noWrap/>
            <w:vAlign w:val="center"/>
            <w:hideMark/>
          </w:tcPr>
          <w:p w14:paraId="3A78EBA7"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w:t>
            </w:r>
          </w:p>
        </w:tc>
        <w:tc>
          <w:tcPr>
            <w:tcW w:w="2225" w:type="pct"/>
            <w:shd w:val="clear" w:color="auto" w:fill="C6EFCE"/>
            <w:noWrap/>
            <w:vAlign w:val="center"/>
            <w:hideMark/>
          </w:tcPr>
          <w:p w14:paraId="4BF54AF8"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Adoption of the legal framework for vehicle emission monitoring in Flanders</w:t>
            </w:r>
          </w:p>
        </w:tc>
      </w:tr>
      <w:tr w:rsidR="00232882" w:rsidRPr="001961AA" w14:paraId="0050B394" w14:textId="77777777" w:rsidTr="00587372">
        <w:trPr>
          <w:trHeight w:val="315"/>
        </w:trPr>
        <w:tc>
          <w:tcPr>
            <w:tcW w:w="345" w:type="pct"/>
            <w:shd w:val="clear" w:color="auto" w:fill="C6EFCE"/>
            <w:noWrap/>
            <w:vAlign w:val="center"/>
            <w:hideMark/>
          </w:tcPr>
          <w:p w14:paraId="5D59AD37"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127</w:t>
            </w:r>
          </w:p>
        </w:tc>
        <w:tc>
          <w:tcPr>
            <w:tcW w:w="2084" w:type="pct"/>
            <w:shd w:val="clear" w:color="auto" w:fill="C6EFCE"/>
            <w:noWrap/>
            <w:vAlign w:val="center"/>
            <w:hideMark/>
          </w:tcPr>
          <w:p w14:paraId="5456F829"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Digisprong (R-4.01)</w:t>
            </w:r>
          </w:p>
        </w:tc>
        <w:tc>
          <w:tcPr>
            <w:tcW w:w="346" w:type="pct"/>
            <w:shd w:val="clear" w:color="auto" w:fill="C6EFCE"/>
            <w:noWrap/>
            <w:vAlign w:val="center"/>
            <w:hideMark/>
          </w:tcPr>
          <w:p w14:paraId="277B2D4A"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w:t>
            </w:r>
          </w:p>
        </w:tc>
        <w:tc>
          <w:tcPr>
            <w:tcW w:w="2225" w:type="pct"/>
            <w:shd w:val="clear" w:color="auto" w:fill="C6EFCE"/>
            <w:noWrap/>
            <w:vAlign w:val="center"/>
            <w:hideMark/>
          </w:tcPr>
          <w:p w14:paraId="3B85350B"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Adoption of new ICT framework for compulsory education in Flanders</w:t>
            </w:r>
          </w:p>
        </w:tc>
      </w:tr>
      <w:tr w:rsidR="00232882" w:rsidRPr="001961AA" w14:paraId="034AE2B2" w14:textId="77777777" w:rsidTr="00587372">
        <w:trPr>
          <w:trHeight w:val="315"/>
        </w:trPr>
        <w:tc>
          <w:tcPr>
            <w:tcW w:w="345" w:type="pct"/>
            <w:shd w:val="clear" w:color="auto" w:fill="C6EFCE"/>
            <w:noWrap/>
            <w:vAlign w:val="center"/>
            <w:hideMark/>
          </w:tcPr>
          <w:p w14:paraId="3305DA4E"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128</w:t>
            </w:r>
          </w:p>
        </w:tc>
        <w:tc>
          <w:tcPr>
            <w:tcW w:w="2084" w:type="pct"/>
            <w:shd w:val="clear" w:color="auto" w:fill="C6EFCE"/>
            <w:noWrap/>
            <w:vAlign w:val="center"/>
            <w:hideMark/>
          </w:tcPr>
          <w:p w14:paraId="0294BC41"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Higher education advancement Fund (R-4.02)</w:t>
            </w:r>
          </w:p>
        </w:tc>
        <w:tc>
          <w:tcPr>
            <w:tcW w:w="346" w:type="pct"/>
            <w:shd w:val="clear" w:color="auto" w:fill="C6EFCE"/>
            <w:noWrap/>
            <w:vAlign w:val="center"/>
            <w:hideMark/>
          </w:tcPr>
          <w:p w14:paraId="1F06CA47"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w:t>
            </w:r>
          </w:p>
        </w:tc>
        <w:tc>
          <w:tcPr>
            <w:tcW w:w="2225" w:type="pct"/>
            <w:shd w:val="clear" w:color="auto" w:fill="C6EFCE"/>
            <w:noWrap/>
            <w:vAlign w:val="center"/>
            <w:hideMark/>
          </w:tcPr>
          <w:p w14:paraId="628AD644"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Vision paper for a future oriented, agile, and digital higher education</w:t>
            </w:r>
          </w:p>
        </w:tc>
      </w:tr>
      <w:tr w:rsidR="00232882" w:rsidRPr="001961AA" w14:paraId="4E784E5C" w14:textId="77777777" w:rsidTr="00587372">
        <w:trPr>
          <w:trHeight w:val="315"/>
        </w:trPr>
        <w:tc>
          <w:tcPr>
            <w:tcW w:w="345" w:type="pct"/>
            <w:shd w:val="clear" w:color="auto" w:fill="C6EFCE"/>
            <w:noWrap/>
            <w:vAlign w:val="center"/>
            <w:hideMark/>
          </w:tcPr>
          <w:p w14:paraId="6AE78108"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134</w:t>
            </w:r>
          </w:p>
        </w:tc>
        <w:tc>
          <w:tcPr>
            <w:tcW w:w="2084" w:type="pct"/>
            <w:shd w:val="clear" w:color="auto" w:fill="C6EFCE"/>
            <w:noWrap/>
            <w:vAlign w:val="center"/>
            <w:hideMark/>
          </w:tcPr>
          <w:p w14:paraId="4E4DFCDB"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Higher Education Advancement Fund (I-4.02)</w:t>
            </w:r>
          </w:p>
        </w:tc>
        <w:tc>
          <w:tcPr>
            <w:tcW w:w="346" w:type="pct"/>
            <w:shd w:val="clear" w:color="auto" w:fill="C6EFCE"/>
            <w:noWrap/>
            <w:vAlign w:val="center"/>
            <w:hideMark/>
          </w:tcPr>
          <w:p w14:paraId="20EA2C29"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T</w:t>
            </w:r>
          </w:p>
        </w:tc>
        <w:tc>
          <w:tcPr>
            <w:tcW w:w="2225" w:type="pct"/>
            <w:shd w:val="clear" w:color="auto" w:fill="C6EFCE"/>
            <w:noWrap/>
            <w:vAlign w:val="center"/>
            <w:hideMark/>
          </w:tcPr>
          <w:p w14:paraId="52ACE920"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Improving high education offering in Flanders to make it more future-proof and agile</w:t>
            </w:r>
          </w:p>
        </w:tc>
      </w:tr>
      <w:tr w:rsidR="00232882" w:rsidRPr="001961AA" w14:paraId="50564A33" w14:textId="77777777" w:rsidTr="00587372">
        <w:trPr>
          <w:trHeight w:val="315"/>
        </w:trPr>
        <w:tc>
          <w:tcPr>
            <w:tcW w:w="345" w:type="pct"/>
            <w:shd w:val="clear" w:color="auto" w:fill="C6EFCE"/>
            <w:noWrap/>
            <w:vAlign w:val="center"/>
            <w:hideMark/>
          </w:tcPr>
          <w:p w14:paraId="7863022D"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140</w:t>
            </w:r>
          </w:p>
        </w:tc>
        <w:tc>
          <w:tcPr>
            <w:tcW w:w="2084" w:type="pct"/>
            <w:shd w:val="clear" w:color="auto" w:fill="C6EFCE"/>
            <w:noWrap/>
            <w:vAlign w:val="center"/>
            <w:hideMark/>
          </w:tcPr>
          <w:p w14:paraId="095761A0"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Tackling discrimination at the labour market (R-4.04)</w:t>
            </w:r>
          </w:p>
        </w:tc>
        <w:tc>
          <w:tcPr>
            <w:tcW w:w="346" w:type="pct"/>
            <w:shd w:val="clear" w:color="auto" w:fill="C6EFCE"/>
            <w:noWrap/>
            <w:vAlign w:val="center"/>
            <w:hideMark/>
          </w:tcPr>
          <w:p w14:paraId="7848F28A"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w:t>
            </w:r>
          </w:p>
        </w:tc>
        <w:tc>
          <w:tcPr>
            <w:tcW w:w="2225" w:type="pct"/>
            <w:shd w:val="clear" w:color="auto" w:fill="C6EFCE"/>
            <w:noWrap/>
            <w:vAlign w:val="center"/>
            <w:hideMark/>
          </w:tcPr>
          <w:p w14:paraId="218D99E9"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Adapted regulatory framework and improved application of discriminatory tests</w:t>
            </w:r>
          </w:p>
        </w:tc>
      </w:tr>
      <w:tr w:rsidR="00232882" w:rsidRPr="001961AA" w14:paraId="43CE8BE3" w14:textId="77777777" w:rsidTr="00587372">
        <w:trPr>
          <w:trHeight w:val="315"/>
        </w:trPr>
        <w:tc>
          <w:tcPr>
            <w:tcW w:w="345" w:type="pct"/>
            <w:shd w:val="clear" w:color="auto" w:fill="C6EFCE"/>
            <w:noWrap/>
            <w:vAlign w:val="center"/>
            <w:hideMark/>
          </w:tcPr>
          <w:p w14:paraId="1969561B"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141</w:t>
            </w:r>
          </w:p>
        </w:tc>
        <w:tc>
          <w:tcPr>
            <w:tcW w:w="2084" w:type="pct"/>
            <w:shd w:val="clear" w:color="auto" w:fill="C6EFCE"/>
            <w:noWrap/>
            <w:vAlign w:val="center"/>
            <w:hideMark/>
          </w:tcPr>
          <w:p w14:paraId="7918F989"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An inclusive labour market (R-4.06)</w:t>
            </w:r>
          </w:p>
        </w:tc>
        <w:tc>
          <w:tcPr>
            <w:tcW w:w="346" w:type="pct"/>
            <w:shd w:val="clear" w:color="auto" w:fill="C6EFCE"/>
            <w:noWrap/>
            <w:vAlign w:val="center"/>
            <w:hideMark/>
          </w:tcPr>
          <w:p w14:paraId="4E29F1A8"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T</w:t>
            </w:r>
          </w:p>
        </w:tc>
        <w:tc>
          <w:tcPr>
            <w:tcW w:w="2225" w:type="pct"/>
            <w:shd w:val="clear" w:color="auto" w:fill="C6EFCE"/>
            <w:noWrap/>
            <w:vAlign w:val="center"/>
            <w:hideMark/>
          </w:tcPr>
          <w:p w14:paraId="3A28A1A8"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Completion of sectoral non-discrimination actions</w:t>
            </w:r>
          </w:p>
        </w:tc>
      </w:tr>
      <w:tr w:rsidR="00232882" w:rsidRPr="001961AA" w14:paraId="4FB3C571" w14:textId="77777777" w:rsidTr="00587372">
        <w:trPr>
          <w:trHeight w:val="315"/>
        </w:trPr>
        <w:tc>
          <w:tcPr>
            <w:tcW w:w="345" w:type="pct"/>
            <w:shd w:val="clear" w:color="auto" w:fill="C6EFCE"/>
            <w:noWrap/>
            <w:vAlign w:val="center"/>
            <w:hideMark/>
          </w:tcPr>
          <w:p w14:paraId="65D965D8"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142</w:t>
            </w:r>
          </w:p>
        </w:tc>
        <w:tc>
          <w:tcPr>
            <w:tcW w:w="2084" w:type="pct"/>
            <w:shd w:val="clear" w:color="auto" w:fill="C6EFCE"/>
            <w:noWrap/>
            <w:vAlign w:val="center"/>
            <w:hideMark/>
          </w:tcPr>
          <w:p w14:paraId="6024FC43"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An inclusive labour market (R-4.06)</w:t>
            </w:r>
          </w:p>
        </w:tc>
        <w:tc>
          <w:tcPr>
            <w:tcW w:w="346" w:type="pct"/>
            <w:shd w:val="clear" w:color="auto" w:fill="C6EFCE"/>
            <w:noWrap/>
            <w:vAlign w:val="center"/>
            <w:hideMark/>
          </w:tcPr>
          <w:p w14:paraId="05EE8CA8"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T</w:t>
            </w:r>
          </w:p>
        </w:tc>
        <w:tc>
          <w:tcPr>
            <w:tcW w:w="2225" w:type="pct"/>
            <w:shd w:val="clear" w:color="auto" w:fill="C6EFCE"/>
            <w:noWrap/>
            <w:vAlign w:val="center"/>
            <w:hideMark/>
          </w:tcPr>
          <w:p w14:paraId="2B96B53E"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New integrated path for newcomers</w:t>
            </w:r>
          </w:p>
        </w:tc>
      </w:tr>
      <w:tr w:rsidR="00232882" w:rsidRPr="001961AA" w14:paraId="4B6241F5" w14:textId="77777777" w:rsidTr="00587372">
        <w:trPr>
          <w:trHeight w:val="315"/>
        </w:trPr>
        <w:tc>
          <w:tcPr>
            <w:tcW w:w="345" w:type="pct"/>
            <w:shd w:val="clear" w:color="auto" w:fill="C6EFCE"/>
            <w:noWrap/>
            <w:vAlign w:val="center"/>
            <w:hideMark/>
          </w:tcPr>
          <w:p w14:paraId="3EAA698D"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143</w:t>
            </w:r>
          </w:p>
        </w:tc>
        <w:tc>
          <w:tcPr>
            <w:tcW w:w="2084" w:type="pct"/>
            <w:shd w:val="clear" w:color="auto" w:fill="C6EFCE"/>
            <w:noWrap/>
            <w:vAlign w:val="center"/>
            <w:hideMark/>
          </w:tcPr>
          <w:p w14:paraId="2AA01679"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Re-qualification strategy (I-4.07)</w:t>
            </w:r>
          </w:p>
        </w:tc>
        <w:tc>
          <w:tcPr>
            <w:tcW w:w="346" w:type="pct"/>
            <w:shd w:val="clear" w:color="auto" w:fill="C6EFCE"/>
            <w:noWrap/>
            <w:vAlign w:val="center"/>
            <w:hideMark/>
          </w:tcPr>
          <w:p w14:paraId="5A8AE809"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w:t>
            </w:r>
          </w:p>
        </w:tc>
        <w:tc>
          <w:tcPr>
            <w:tcW w:w="2225" w:type="pct"/>
            <w:shd w:val="clear" w:color="auto" w:fill="C6EFCE"/>
            <w:noWrap/>
            <w:vAlign w:val="center"/>
            <w:hideMark/>
          </w:tcPr>
          <w:p w14:paraId="1DF4976F"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Award of grants related to social innovation initiatives</w:t>
            </w:r>
          </w:p>
        </w:tc>
      </w:tr>
      <w:tr w:rsidR="00232882" w:rsidRPr="001961AA" w14:paraId="3EE9885D" w14:textId="77777777" w:rsidTr="00587372">
        <w:trPr>
          <w:trHeight w:val="315"/>
        </w:trPr>
        <w:tc>
          <w:tcPr>
            <w:tcW w:w="345" w:type="pct"/>
            <w:shd w:val="clear" w:color="auto" w:fill="C6EFCE"/>
            <w:noWrap/>
            <w:vAlign w:val="center"/>
            <w:hideMark/>
          </w:tcPr>
          <w:p w14:paraId="13893C88"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154</w:t>
            </w:r>
          </w:p>
        </w:tc>
        <w:tc>
          <w:tcPr>
            <w:tcW w:w="2084" w:type="pct"/>
            <w:shd w:val="clear" w:color="auto" w:fill="C6EFCE"/>
            <w:noWrap/>
            <w:vAlign w:val="center"/>
            <w:hideMark/>
          </w:tcPr>
          <w:p w14:paraId="12E3EFCC"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Building and renovation of early childcare infrastructure (I-4.13)</w:t>
            </w:r>
          </w:p>
        </w:tc>
        <w:tc>
          <w:tcPr>
            <w:tcW w:w="346" w:type="pct"/>
            <w:shd w:val="clear" w:color="auto" w:fill="C6EFCE"/>
            <w:noWrap/>
            <w:vAlign w:val="center"/>
            <w:hideMark/>
          </w:tcPr>
          <w:p w14:paraId="4D731609"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T</w:t>
            </w:r>
          </w:p>
        </w:tc>
        <w:tc>
          <w:tcPr>
            <w:tcW w:w="2225" w:type="pct"/>
            <w:shd w:val="clear" w:color="auto" w:fill="C6EFCE"/>
            <w:noWrap/>
            <w:vAlign w:val="center"/>
            <w:hideMark/>
          </w:tcPr>
          <w:p w14:paraId="5321488F"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Award of works contracts for project promoters</w:t>
            </w:r>
          </w:p>
        </w:tc>
      </w:tr>
      <w:tr w:rsidR="00232882" w:rsidRPr="001961AA" w14:paraId="11E28454" w14:textId="77777777" w:rsidTr="00587372">
        <w:trPr>
          <w:trHeight w:val="315"/>
        </w:trPr>
        <w:tc>
          <w:tcPr>
            <w:tcW w:w="345" w:type="pct"/>
            <w:shd w:val="clear" w:color="auto" w:fill="C6EFCE"/>
            <w:noWrap/>
            <w:vAlign w:val="center"/>
            <w:hideMark/>
          </w:tcPr>
          <w:p w14:paraId="20213FA3"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159</w:t>
            </w:r>
          </w:p>
        </w:tc>
        <w:tc>
          <w:tcPr>
            <w:tcW w:w="2084" w:type="pct"/>
            <w:shd w:val="clear" w:color="auto" w:fill="C6EFCE"/>
            <w:noWrap/>
            <w:vAlign w:val="center"/>
            <w:hideMark/>
          </w:tcPr>
          <w:p w14:paraId="3693209D"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A6K/E6K Digital and Technological Innovation and Training Hub (I-5.01)</w:t>
            </w:r>
          </w:p>
        </w:tc>
        <w:tc>
          <w:tcPr>
            <w:tcW w:w="346" w:type="pct"/>
            <w:shd w:val="clear" w:color="auto" w:fill="C6EFCE"/>
            <w:noWrap/>
            <w:vAlign w:val="center"/>
            <w:hideMark/>
          </w:tcPr>
          <w:p w14:paraId="4556FD0E"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w:t>
            </w:r>
          </w:p>
        </w:tc>
        <w:tc>
          <w:tcPr>
            <w:tcW w:w="2225" w:type="pct"/>
            <w:shd w:val="clear" w:color="auto" w:fill="C6EFCE"/>
            <w:noWrap/>
            <w:vAlign w:val="center"/>
            <w:hideMark/>
          </w:tcPr>
          <w:p w14:paraId="3536C9A5"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Activity developed through A6K-E6K</w:t>
            </w:r>
          </w:p>
        </w:tc>
      </w:tr>
      <w:tr w:rsidR="00232882" w:rsidRPr="001961AA" w14:paraId="3F3BCCA6" w14:textId="77777777" w:rsidTr="00587372">
        <w:trPr>
          <w:trHeight w:val="315"/>
        </w:trPr>
        <w:tc>
          <w:tcPr>
            <w:tcW w:w="345" w:type="pct"/>
            <w:shd w:val="clear" w:color="auto" w:fill="C6EFCE"/>
            <w:noWrap/>
            <w:vAlign w:val="center"/>
            <w:hideMark/>
          </w:tcPr>
          <w:p w14:paraId="39FB45A2"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174</w:t>
            </w:r>
          </w:p>
        </w:tc>
        <w:tc>
          <w:tcPr>
            <w:tcW w:w="2084" w:type="pct"/>
            <w:shd w:val="clear" w:color="auto" w:fill="C6EFCE"/>
            <w:noWrap/>
            <w:vAlign w:val="center"/>
            <w:hideMark/>
          </w:tcPr>
          <w:p w14:paraId="77AB3DC0"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Learning account (R-5.03)</w:t>
            </w:r>
          </w:p>
        </w:tc>
        <w:tc>
          <w:tcPr>
            <w:tcW w:w="346" w:type="pct"/>
            <w:shd w:val="clear" w:color="auto" w:fill="C6EFCE"/>
            <w:noWrap/>
            <w:vAlign w:val="center"/>
            <w:hideMark/>
          </w:tcPr>
          <w:p w14:paraId="7F6CF026"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w:t>
            </w:r>
          </w:p>
        </w:tc>
        <w:tc>
          <w:tcPr>
            <w:tcW w:w="2225" w:type="pct"/>
            <w:shd w:val="clear" w:color="auto" w:fill="C6EFCE"/>
            <w:noWrap/>
            <w:vAlign w:val="center"/>
            <w:hideMark/>
          </w:tcPr>
          <w:p w14:paraId="1145D652"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Provisions in the decree indicating the entry into force</w:t>
            </w:r>
          </w:p>
        </w:tc>
      </w:tr>
      <w:tr w:rsidR="00232882" w:rsidRPr="001961AA" w14:paraId="5C594F24" w14:textId="77777777" w:rsidTr="00587372">
        <w:trPr>
          <w:trHeight w:val="315"/>
        </w:trPr>
        <w:tc>
          <w:tcPr>
            <w:tcW w:w="345" w:type="pct"/>
            <w:shd w:val="clear" w:color="auto" w:fill="C6EFCE"/>
            <w:noWrap/>
            <w:vAlign w:val="center"/>
            <w:hideMark/>
          </w:tcPr>
          <w:p w14:paraId="7426D35E"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175</w:t>
            </w:r>
          </w:p>
        </w:tc>
        <w:tc>
          <w:tcPr>
            <w:tcW w:w="2084" w:type="pct"/>
            <w:shd w:val="clear" w:color="auto" w:fill="C6EFCE"/>
            <w:noWrap/>
            <w:vAlign w:val="center"/>
            <w:hideMark/>
          </w:tcPr>
          <w:p w14:paraId="1087BFE7"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Cumulation regime and mobility to sectors with shortages (R-5.01)</w:t>
            </w:r>
          </w:p>
        </w:tc>
        <w:tc>
          <w:tcPr>
            <w:tcW w:w="346" w:type="pct"/>
            <w:shd w:val="clear" w:color="auto" w:fill="C6EFCE"/>
            <w:noWrap/>
            <w:vAlign w:val="center"/>
            <w:hideMark/>
          </w:tcPr>
          <w:p w14:paraId="42D9B30C"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w:t>
            </w:r>
          </w:p>
        </w:tc>
        <w:tc>
          <w:tcPr>
            <w:tcW w:w="2225" w:type="pct"/>
            <w:shd w:val="clear" w:color="auto" w:fill="C6EFCE"/>
            <w:noWrap/>
            <w:vAlign w:val="center"/>
            <w:hideMark/>
          </w:tcPr>
          <w:p w14:paraId="34B69AB1"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Federal reform of cumulation regime</w:t>
            </w:r>
          </w:p>
        </w:tc>
      </w:tr>
      <w:tr w:rsidR="00232882" w:rsidRPr="001961AA" w14:paraId="1CDCFC14" w14:textId="77777777" w:rsidTr="00587372">
        <w:trPr>
          <w:trHeight w:val="315"/>
        </w:trPr>
        <w:tc>
          <w:tcPr>
            <w:tcW w:w="345" w:type="pct"/>
            <w:shd w:val="clear" w:color="auto" w:fill="C6EFCE"/>
            <w:noWrap/>
            <w:vAlign w:val="center"/>
            <w:hideMark/>
          </w:tcPr>
          <w:p w14:paraId="693E05EC"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176</w:t>
            </w:r>
          </w:p>
        </w:tc>
        <w:tc>
          <w:tcPr>
            <w:tcW w:w="2084" w:type="pct"/>
            <w:shd w:val="clear" w:color="auto" w:fill="C6EFCE"/>
            <w:noWrap/>
            <w:vAlign w:val="center"/>
            <w:hideMark/>
          </w:tcPr>
          <w:p w14:paraId="0B761384"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Cumulation regime and mobility to sectors with shortages (R-5.01)</w:t>
            </w:r>
          </w:p>
        </w:tc>
        <w:tc>
          <w:tcPr>
            <w:tcW w:w="346" w:type="pct"/>
            <w:shd w:val="clear" w:color="auto" w:fill="C6EFCE"/>
            <w:noWrap/>
            <w:vAlign w:val="center"/>
            <w:hideMark/>
          </w:tcPr>
          <w:p w14:paraId="4BD76E31"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w:t>
            </w:r>
          </w:p>
        </w:tc>
        <w:tc>
          <w:tcPr>
            <w:tcW w:w="2225" w:type="pct"/>
            <w:shd w:val="clear" w:color="auto" w:fill="C6EFCE"/>
            <w:noWrap/>
            <w:vAlign w:val="center"/>
            <w:hideMark/>
          </w:tcPr>
          <w:p w14:paraId="22AB3355"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Federal reform of mobility to sectors with shortages</w:t>
            </w:r>
          </w:p>
        </w:tc>
      </w:tr>
      <w:tr w:rsidR="00232882" w:rsidRPr="001961AA" w14:paraId="67983F81" w14:textId="77777777" w:rsidTr="00587372">
        <w:trPr>
          <w:trHeight w:val="315"/>
        </w:trPr>
        <w:tc>
          <w:tcPr>
            <w:tcW w:w="345" w:type="pct"/>
            <w:shd w:val="clear" w:color="auto" w:fill="C6EFCE"/>
            <w:noWrap/>
            <w:vAlign w:val="center"/>
            <w:hideMark/>
          </w:tcPr>
          <w:p w14:paraId="64BF4795"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184</w:t>
            </w:r>
          </w:p>
        </w:tc>
        <w:tc>
          <w:tcPr>
            <w:tcW w:w="2084" w:type="pct"/>
            <w:shd w:val="clear" w:color="auto" w:fill="C6EFCE"/>
            <w:noWrap/>
            <w:vAlign w:val="center"/>
            <w:hideMark/>
          </w:tcPr>
          <w:p w14:paraId="192A0170"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R&amp;D: Minimization of waste during dismantling (I-5.10)</w:t>
            </w:r>
          </w:p>
        </w:tc>
        <w:tc>
          <w:tcPr>
            <w:tcW w:w="346" w:type="pct"/>
            <w:shd w:val="clear" w:color="auto" w:fill="C6EFCE"/>
            <w:noWrap/>
            <w:vAlign w:val="center"/>
            <w:hideMark/>
          </w:tcPr>
          <w:p w14:paraId="7B85E526"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w:t>
            </w:r>
          </w:p>
        </w:tc>
        <w:tc>
          <w:tcPr>
            <w:tcW w:w="2225" w:type="pct"/>
            <w:shd w:val="clear" w:color="auto" w:fill="C6EFCE"/>
            <w:noWrap/>
            <w:vAlign w:val="center"/>
            <w:hideMark/>
          </w:tcPr>
          <w:p w14:paraId="5AB4DD3C"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Award of public contract for the construction of a Material Treatment facility (MaT)</w:t>
            </w:r>
          </w:p>
        </w:tc>
      </w:tr>
      <w:tr w:rsidR="00232882" w:rsidRPr="001961AA" w14:paraId="13878D5D" w14:textId="77777777" w:rsidTr="00587372">
        <w:trPr>
          <w:trHeight w:val="315"/>
        </w:trPr>
        <w:tc>
          <w:tcPr>
            <w:tcW w:w="345" w:type="pct"/>
            <w:shd w:val="clear" w:color="auto" w:fill="C6EFCE"/>
            <w:noWrap/>
            <w:vAlign w:val="center"/>
            <w:hideMark/>
          </w:tcPr>
          <w:p w14:paraId="56C9299A"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207</w:t>
            </w:r>
          </w:p>
        </w:tc>
        <w:tc>
          <w:tcPr>
            <w:tcW w:w="2084" w:type="pct"/>
            <w:shd w:val="clear" w:color="auto" w:fill="C6EFCE"/>
            <w:noWrap/>
            <w:vAlign w:val="center"/>
            <w:hideMark/>
          </w:tcPr>
          <w:p w14:paraId="7E4DEECE"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Spending reviews (R-6)</w:t>
            </w:r>
          </w:p>
        </w:tc>
        <w:tc>
          <w:tcPr>
            <w:tcW w:w="346" w:type="pct"/>
            <w:shd w:val="clear" w:color="auto" w:fill="C6EFCE"/>
            <w:noWrap/>
            <w:vAlign w:val="center"/>
            <w:hideMark/>
          </w:tcPr>
          <w:p w14:paraId="0ECF4A54" w14:textId="77777777" w:rsidR="00232882" w:rsidRPr="001961AA" w:rsidRDefault="00232882" w:rsidP="00FF36ED">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w:t>
            </w:r>
          </w:p>
        </w:tc>
        <w:tc>
          <w:tcPr>
            <w:tcW w:w="2225" w:type="pct"/>
            <w:shd w:val="clear" w:color="auto" w:fill="C6EFCE"/>
            <w:noWrap/>
            <w:vAlign w:val="center"/>
            <w:hideMark/>
          </w:tcPr>
          <w:p w14:paraId="416324CC" w14:textId="77777777" w:rsidR="00232882" w:rsidRPr="001961AA" w:rsidRDefault="00232882" w:rsidP="00FF36ED">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Spending review integration into budgetary process (1) or (2)</w:t>
            </w:r>
          </w:p>
        </w:tc>
      </w:tr>
      <w:tr w:rsidR="001B7F98" w:rsidRPr="001961AA" w14:paraId="5D333E09" w14:textId="77777777" w:rsidTr="00587372">
        <w:trPr>
          <w:trHeight w:val="315"/>
        </w:trPr>
        <w:tc>
          <w:tcPr>
            <w:tcW w:w="345" w:type="pct"/>
            <w:shd w:val="clear" w:color="auto" w:fill="C6EFCE"/>
            <w:noWrap/>
            <w:vAlign w:val="center"/>
          </w:tcPr>
          <w:p w14:paraId="770DBC8A" w14:textId="5D9F46FD" w:rsidR="001B7F98" w:rsidRPr="001961AA" w:rsidRDefault="001B7F98" w:rsidP="001B7F9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229</w:t>
            </w:r>
          </w:p>
        </w:tc>
        <w:tc>
          <w:tcPr>
            <w:tcW w:w="2084" w:type="pct"/>
            <w:shd w:val="clear" w:color="auto" w:fill="C6EFCE"/>
            <w:noWrap/>
            <w:vAlign w:val="center"/>
          </w:tcPr>
          <w:p w14:paraId="6506FC22" w14:textId="427330ED" w:rsidR="001B7F98" w:rsidRPr="001961AA" w:rsidRDefault="001B7F98" w:rsidP="001B7F9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PV-obligation for large consumers (R-7.03)</w:t>
            </w:r>
          </w:p>
        </w:tc>
        <w:tc>
          <w:tcPr>
            <w:tcW w:w="346" w:type="pct"/>
            <w:shd w:val="clear" w:color="auto" w:fill="C6EFCE"/>
            <w:noWrap/>
            <w:vAlign w:val="center"/>
          </w:tcPr>
          <w:p w14:paraId="580383E2" w14:textId="5828C5D8" w:rsidR="001B7F98" w:rsidRPr="001961AA" w:rsidRDefault="001B7F98" w:rsidP="001B7F9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w:t>
            </w:r>
          </w:p>
        </w:tc>
        <w:tc>
          <w:tcPr>
            <w:tcW w:w="2225" w:type="pct"/>
            <w:shd w:val="clear" w:color="auto" w:fill="C6EFCE"/>
            <w:noWrap/>
            <w:vAlign w:val="center"/>
          </w:tcPr>
          <w:p w14:paraId="19E765A6" w14:textId="2F3ACFD4" w:rsidR="001B7F98" w:rsidRPr="001961AA" w:rsidRDefault="001B7F98" w:rsidP="001B7F9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Entry into force of legislation</w:t>
            </w:r>
          </w:p>
        </w:tc>
      </w:tr>
      <w:tr w:rsidR="001B7F98" w:rsidRPr="001961AA" w14:paraId="51ED5FA1" w14:textId="77777777" w:rsidTr="00587372">
        <w:trPr>
          <w:trHeight w:val="315"/>
        </w:trPr>
        <w:tc>
          <w:tcPr>
            <w:tcW w:w="345" w:type="pct"/>
            <w:shd w:val="clear" w:color="auto" w:fill="C6EFCE"/>
            <w:noWrap/>
            <w:vAlign w:val="center"/>
          </w:tcPr>
          <w:p w14:paraId="58C552B3" w14:textId="77777777" w:rsidR="001B7F98" w:rsidRPr="001961AA" w:rsidRDefault="001B7F98" w:rsidP="001B7F98">
            <w:pPr>
              <w:spacing w:after="0"/>
              <w:jc w:val="center"/>
              <w:rPr>
                <w:rFonts w:ascii="Times New Roman" w:eastAsia="Times New Roman" w:hAnsi="Times New Roman" w:cs="Times New Roman"/>
                <w:noProof/>
                <w:color w:val="006100"/>
                <w:sz w:val="20"/>
                <w:szCs w:val="20"/>
                <w:lang w:val="en-GB" w:eastAsia="en-IE"/>
              </w:rPr>
            </w:pPr>
          </w:p>
        </w:tc>
        <w:tc>
          <w:tcPr>
            <w:tcW w:w="2430" w:type="pct"/>
            <w:gridSpan w:val="2"/>
            <w:shd w:val="clear" w:color="auto" w:fill="C6EFCE"/>
            <w:noWrap/>
            <w:vAlign w:val="center"/>
          </w:tcPr>
          <w:p w14:paraId="25027273" w14:textId="77777777" w:rsidR="001B7F98" w:rsidRPr="001961AA" w:rsidRDefault="001B7F98" w:rsidP="001B7F98">
            <w:pPr>
              <w:spacing w:after="0"/>
              <w:jc w:val="right"/>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Instalment amount</w:t>
            </w:r>
          </w:p>
        </w:tc>
        <w:tc>
          <w:tcPr>
            <w:tcW w:w="2225" w:type="pct"/>
            <w:shd w:val="clear" w:color="auto" w:fill="C6EFCE"/>
            <w:noWrap/>
            <w:vAlign w:val="center"/>
          </w:tcPr>
          <w:p w14:paraId="69ED5BF3" w14:textId="42E7AA6C" w:rsidR="001B7F98" w:rsidRPr="001961AA" w:rsidRDefault="001B7F98" w:rsidP="001B7F9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EUR 688</w:t>
            </w:r>
            <w:r w:rsidRPr="001961AA">
              <w:rPr>
                <w:noProof/>
                <w:lang w:val="en-GB"/>
              </w:rPr>
              <w:t xml:space="preserve"> </w:t>
            </w:r>
            <w:r w:rsidRPr="001961AA">
              <w:rPr>
                <w:rFonts w:ascii="Times New Roman" w:hAnsi="Times New Roman"/>
                <w:noProof/>
                <w:color w:val="006100"/>
                <w:sz w:val="20"/>
                <w:lang w:val="en-GB"/>
              </w:rPr>
              <w:t>829</w:t>
            </w:r>
            <w:r w:rsidRPr="001961AA">
              <w:rPr>
                <w:noProof/>
                <w:lang w:val="en-GB"/>
              </w:rPr>
              <w:t xml:space="preserve"> </w:t>
            </w:r>
            <w:r w:rsidRPr="001961AA">
              <w:rPr>
                <w:rFonts w:ascii="Times New Roman" w:hAnsi="Times New Roman"/>
                <w:noProof/>
                <w:color w:val="006100"/>
                <w:sz w:val="20"/>
                <w:lang w:val="en-GB"/>
              </w:rPr>
              <w:t>691</w:t>
            </w:r>
          </w:p>
        </w:tc>
      </w:tr>
    </w:tbl>
    <w:p w14:paraId="3C1AE9D9" w14:textId="0D64AA45" w:rsidR="005529A4" w:rsidRPr="001961AA" w:rsidRDefault="005529A4" w:rsidP="00232882">
      <w:pPr>
        <w:spacing w:before="120" w:after="120"/>
        <w:rPr>
          <w:rFonts w:ascii="Times New Roman" w:hAnsi="Times New Roman" w:cs="Times New Roman"/>
          <w:noProof/>
          <w:lang w:val="en-GB"/>
        </w:rPr>
      </w:pPr>
    </w:p>
    <w:p w14:paraId="68D9092B" w14:textId="739023B1" w:rsidR="00232882" w:rsidRPr="001961AA" w:rsidRDefault="00232882" w:rsidP="00420B74">
      <w:pPr>
        <w:pStyle w:val="ManualNumPar1"/>
        <w:rPr>
          <w:noProof/>
          <w:lang w:val="en-GB"/>
        </w:rPr>
      </w:pPr>
      <w:r w:rsidRPr="001961AA">
        <w:rPr>
          <w:noProof/>
          <w:lang w:val="en-GB"/>
        </w:rPr>
        <w:t>Fourth instalment (non-repayable support) :</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EFCE"/>
        <w:tblLayout w:type="fixed"/>
        <w:tblLook w:val="04A0" w:firstRow="1" w:lastRow="0" w:firstColumn="1" w:lastColumn="0" w:noHBand="0" w:noVBand="1"/>
      </w:tblPr>
      <w:tblGrid>
        <w:gridCol w:w="792"/>
        <w:gridCol w:w="4164"/>
        <w:gridCol w:w="710"/>
        <w:gridCol w:w="4540"/>
      </w:tblGrid>
      <w:tr w:rsidR="00232882" w:rsidRPr="001961AA" w14:paraId="23480F07" w14:textId="77777777" w:rsidTr="001B6E83">
        <w:trPr>
          <w:trHeight w:val="300"/>
          <w:tblHeader/>
        </w:trPr>
        <w:tc>
          <w:tcPr>
            <w:tcW w:w="388" w:type="pct"/>
            <w:shd w:val="clear" w:color="auto" w:fill="BDD7EE"/>
            <w:noWrap/>
            <w:vAlign w:val="center"/>
            <w:hideMark/>
          </w:tcPr>
          <w:p w14:paraId="69419D0C" w14:textId="77777777" w:rsidR="00232882" w:rsidRPr="001961AA" w:rsidRDefault="00232882" w:rsidP="00DF5893">
            <w:pPr>
              <w:spacing w:before="120" w:after="120"/>
              <w:jc w:val="center"/>
              <w:rPr>
                <w:rFonts w:ascii="Times New Roman" w:eastAsia="Times New Roman" w:hAnsi="Times New Roman" w:cs="Times New Roman"/>
                <w:b/>
                <w:bCs/>
                <w:noProof/>
                <w:color w:val="000000"/>
                <w:sz w:val="20"/>
                <w:szCs w:val="20"/>
                <w:lang w:val="en-GB"/>
              </w:rPr>
            </w:pPr>
            <w:r w:rsidRPr="001961AA">
              <w:rPr>
                <w:rFonts w:ascii="Times New Roman" w:hAnsi="Times New Roman"/>
                <w:b/>
                <w:noProof/>
                <w:color w:val="000000"/>
                <w:sz w:val="20"/>
                <w:lang w:val="en-GB"/>
              </w:rPr>
              <w:t>Seq. nb</w:t>
            </w:r>
          </w:p>
        </w:tc>
        <w:tc>
          <w:tcPr>
            <w:tcW w:w="2040" w:type="pct"/>
            <w:shd w:val="clear" w:color="auto" w:fill="BDD7EE"/>
            <w:noWrap/>
            <w:vAlign w:val="center"/>
            <w:hideMark/>
          </w:tcPr>
          <w:p w14:paraId="1532BAD1" w14:textId="77777777" w:rsidR="00232882" w:rsidRPr="001961AA" w:rsidRDefault="00232882" w:rsidP="00727EEC">
            <w:pPr>
              <w:spacing w:before="120" w:after="120"/>
              <w:jc w:val="center"/>
              <w:rPr>
                <w:rFonts w:ascii="Times New Roman" w:eastAsia="Times New Roman" w:hAnsi="Times New Roman" w:cs="Times New Roman"/>
                <w:b/>
                <w:bCs/>
                <w:noProof/>
                <w:color w:val="000000"/>
                <w:sz w:val="20"/>
                <w:szCs w:val="20"/>
                <w:lang w:val="en-GB"/>
              </w:rPr>
            </w:pPr>
            <w:r w:rsidRPr="001961AA">
              <w:rPr>
                <w:rFonts w:ascii="Times New Roman" w:hAnsi="Times New Roman"/>
                <w:b/>
                <w:noProof/>
                <w:color w:val="000000"/>
                <w:sz w:val="20"/>
                <w:lang w:val="en-GB"/>
              </w:rPr>
              <w:t>Name of the measure</w:t>
            </w:r>
          </w:p>
        </w:tc>
        <w:tc>
          <w:tcPr>
            <w:tcW w:w="347" w:type="pct"/>
            <w:shd w:val="clear" w:color="auto" w:fill="BDD7EE"/>
            <w:noWrap/>
            <w:vAlign w:val="center"/>
            <w:hideMark/>
          </w:tcPr>
          <w:p w14:paraId="56359527" w14:textId="77777777" w:rsidR="00232882" w:rsidRPr="001961AA" w:rsidRDefault="00232882" w:rsidP="00727EEC">
            <w:pPr>
              <w:spacing w:before="120" w:after="120"/>
              <w:jc w:val="center"/>
              <w:rPr>
                <w:rFonts w:ascii="Times New Roman" w:eastAsia="Times New Roman" w:hAnsi="Times New Roman" w:cs="Times New Roman"/>
                <w:b/>
                <w:bCs/>
                <w:noProof/>
                <w:color w:val="000000"/>
                <w:sz w:val="20"/>
                <w:szCs w:val="20"/>
                <w:lang w:val="en-GB"/>
              </w:rPr>
            </w:pPr>
            <w:r w:rsidRPr="001961AA">
              <w:rPr>
                <w:rFonts w:ascii="Times New Roman" w:hAnsi="Times New Roman"/>
                <w:b/>
                <w:noProof/>
                <w:color w:val="000000"/>
                <w:sz w:val="20"/>
                <w:lang w:val="en-GB"/>
              </w:rPr>
              <w:t>M/T</w:t>
            </w:r>
          </w:p>
        </w:tc>
        <w:tc>
          <w:tcPr>
            <w:tcW w:w="2224" w:type="pct"/>
            <w:shd w:val="clear" w:color="auto" w:fill="BDD7EE"/>
            <w:noWrap/>
            <w:vAlign w:val="center"/>
            <w:hideMark/>
          </w:tcPr>
          <w:p w14:paraId="60A7DFF8" w14:textId="77777777" w:rsidR="00232882" w:rsidRPr="001961AA" w:rsidRDefault="00232882" w:rsidP="00727EEC">
            <w:pPr>
              <w:spacing w:before="120" w:after="120"/>
              <w:jc w:val="center"/>
              <w:rPr>
                <w:rFonts w:ascii="Times New Roman" w:eastAsia="Times New Roman" w:hAnsi="Times New Roman" w:cs="Times New Roman"/>
                <w:b/>
                <w:bCs/>
                <w:noProof/>
                <w:color w:val="000000"/>
                <w:sz w:val="20"/>
                <w:szCs w:val="20"/>
                <w:lang w:val="en-GB"/>
              </w:rPr>
            </w:pPr>
            <w:r w:rsidRPr="001961AA">
              <w:rPr>
                <w:rFonts w:ascii="Times New Roman" w:hAnsi="Times New Roman"/>
                <w:b/>
                <w:noProof/>
                <w:color w:val="000000"/>
                <w:sz w:val="20"/>
                <w:lang w:val="en-GB"/>
              </w:rPr>
              <w:t>Name</w:t>
            </w:r>
          </w:p>
        </w:tc>
      </w:tr>
      <w:tr w:rsidR="00232882" w:rsidRPr="001961AA" w14:paraId="41963B44" w14:textId="77777777" w:rsidTr="001B6E83">
        <w:trPr>
          <w:trHeight w:val="315"/>
        </w:trPr>
        <w:tc>
          <w:tcPr>
            <w:tcW w:w="388" w:type="pct"/>
            <w:shd w:val="clear" w:color="auto" w:fill="C6EFCE"/>
            <w:noWrap/>
            <w:vAlign w:val="center"/>
            <w:hideMark/>
          </w:tcPr>
          <w:p w14:paraId="1E69F66B"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6</w:t>
            </w:r>
          </w:p>
        </w:tc>
        <w:tc>
          <w:tcPr>
            <w:tcW w:w="2040" w:type="pct"/>
            <w:shd w:val="clear" w:color="auto" w:fill="C6EFCE"/>
            <w:noWrap/>
            <w:vAlign w:val="center"/>
            <w:hideMark/>
          </w:tcPr>
          <w:p w14:paraId="621F3372"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Renovation of private and social housing (I-1A)</w:t>
            </w:r>
          </w:p>
        </w:tc>
        <w:tc>
          <w:tcPr>
            <w:tcW w:w="347" w:type="pct"/>
            <w:shd w:val="clear" w:color="auto" w:fill="C6EFCE"/>
            <w:noWrap/>
            <w:vAlign w:val="center"/>
            <w:hideMark/>
          </w:tcPr>
          <w:p w14:paraId="62058EAE"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T</w:t>
            </w:r>
          </w:p>
        </w:tc>
        <w:tc>
          <w:tcPr>
            <w:tcW w:w="2224" w:type="pct"/>
            <w:shd w:val="clear" w:color="auto" w:fill="C6EFCE"/>
            <w:noWrap/>
            <w:vAlign w:val="center"/>
            <w:hideMark/>
          </w:tcPr>
          <w:p w14:paraId="0A3F8321"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Renovation of private residential and social housing (step 2)</w:t>
            </w:r>
          </w:p>
        </w:tc>
      </w:tr>
      <w:tr w:rsidR="00232882" w:rsidRPr="001961AA" w14:paraId="335724AC" w14:textId="77777777" w:rsidTr="001B6E83">
        <w:trPr>
          <w:trHeight w:val="315"/>
        </w:trPr>
        <w:tc>
          <w:tcPr>
            <w:tcW w:w="388" w:type="pct"/>
            <w:shd w:val="clear" w:color="auto" w:fill="C6EFCE"/>
            <w:noWrap/>
            <w:vAlign w:val="center"/>
            <w:hideMark/>
          </w:tcPr>
          <w:p w14:paraId="3B6C74F9"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12</w:t>
            </w:r>
          </w:p>
        </w:tc>
        <w:tc>
          <w:tcPr>
            <w:tcW w:w="2040" w:type="pct"/>
            <w:shd w:val="clear" w:color="auto" w:fill="C6EFCE"/>
            <w:noWrap/>
            <w:vAlign w:val="center"/>
            <w:hideMark/>
          </w:tcPr>
          <w:p w14:paraId="4AD0430E"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Public building renovations (I-1B)</w:t>
            </w:r>
          </w:p>
        </w:tc>
        <w:tc>
          <w:tcPr>
            <w:tcW w:w="347" w:type="pct"/>
            <w:shd w:val="clear" w:color="auto" w:fill="C6EFCE"/>
            <w:noWrap/>
            <w:vAlign w:val="center"/>
            <w:hideMark/>
          </w:tcPr>
          <w:p w14:paraId="32A95EAE"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T</w:t>
            </w:r>
          </w:p>
        </w:tc>
        <w:tc>
          <w:tcPr>
            <w:tcW w:w="2224" w:type="pct"/>
            <w:shd w:val="clear" w:color="auto" w:fill="C6EFCE"/>
            <w:noWrap/>
            <w:vAlign w:val="center"/>
            <w:hideMark/>
          </w:tcPr>
          <w:p w14:paraId="26A216F3"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Renovation of public buildings (step 1)</w:t>
            </w:r>
          </w:p>
        </w:tc>
      </w:tr>
      <w:tr w:rsidR="00232882" w:rsidRPr="001961AA" w14:paraId="63197C8C" w14:textId="77777777" w:rsidTr="001B6E83">
        <w:trPr>
          <w:trHeight w:val="315"/>
        </w:trPr>
        <w:tc>
          <w:tcPr>
            <w:tcW w:w="388" w:type="pct"/>
            <w:shd w:val="clear" w:color="auto" w:fill="C6EFCE"/>
            <w:noWrap/>
            <w:vAlign w:val="center"/>
            <w:hideMark/>
          </w:tcPr>
          <w:p w14:paraId="31269D66"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15</w:t>
            </w:r>
          </w:p>
        </w:tc>
        <w:tc>
          <w:tcPr>
            <w:tcW w:w="2040" w:type="pct"/>
            <w:shd w:val="clear" w:color="auto" w:fill="C6EFCE"/>
            <w:noWrap/>
            <w:vAlign w:val="center"/>
            <w:hideMark/>
          </w:tcPr>
          <w:p w14:paraId="31710D66"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Regulatory framework for the H2 market (R-1.04)</w:t>
            </w:r>
          </w:p>
        </w:tc>
        <w:tc>
          <w:tcPr>
            <w:tcW w:w="347" w:type="pct"/>
            <w:shd w:val="clear" w:color="auto" w:fill="C6EFCE"/>
            <w:noWrap/>
            <w:vAlign w:val="center"/>
            <w:hideMark/>
          </w:tcPr>
          <w:p w14:paraId="591BD67F"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w:t>
            </w:r>
          </w:p>
        </w:tc>
        <w:tc>
          <w:tcPr>
            <w:tcW w:w="2224" w:type="pct"/>
            <w:shd w:val="clear" w:color="auto" w:fill="C6EFCE"/>
            <w:noWrap/>
            <w:vAlign w:val="center"/>
            <w:hideMark/>
          </w:tcPr>
          <w:p w14:paraId="1C00BB2D"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Entry into force of the new or modified laws and related regulations to enable market development of H2</w:t>
            </w:r>
          </w:p>
        </w:tc>
      </w:tr>
      <w:tr w:rsidR="00232882" w:rsidRPr="001961AA" w14:paraId="452C3FBA" w14:textId="77777777" w:rsidTr="001B6E83">
        <w:trPr>
          <w:trHeight w:val="315"/>
        </w:trPr>
        <w:tc>
          <w:tcPr>
            <w:tcW w:w="388" w:type="pct"/>
            <w:shd w:val="clear" w:color="auto" w:fill="C6EFCE"/>
            <w:noWrap/>
            <w:vAlign w:val="center"/>
            <w:hideMark/>
          </w:tcPr>
          <w:p w14:paraId="63CBE079"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15bis</w:t>
            </w:r>
          </w:p>
        </w:tc>
        <w:tc>
          <w:tcPr>
            <w:tcW w:w="2040" w:type="pct"/>
            <w:shd w:val="clear" w:color="auto" w:fill="C6EFCE"/>
            <w:noWrap/>
            <w:vAlign w:val="center"/>
            <w:hideMark/>
          </w:tcPr>
          <w:p w14:paraId="1F6F6517"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Regulatory framework for the CO2 market in Flanders (R-1.05)</w:t>
            </w:r>
          </w:p>
        </w:tc>
        <w:tc>
          <w:tcPr>
            <w:tcW w:w="347" w:type="pct"/>
            <w:shd w:val="clear" w:color="auto" w:fill="C6EFCE"/>
            <w:noWrap/>
            <w:vAlign w:val="center"/>
            <w:hideMark/>
          </w:tcPr>
          <w:p w14:paraId="0F85E2C0"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w:t>
            </w:r>
          </w:p>
        </w:tc>
        <w:tc>
          <w:tcPr>
            <w:tcW w:w="2224" w:type="pct"/>
            <w:shd w:val="clear" w:color="auto" w:fill="C6EFCE"/>
            <w:noWrap/>
            <w:vAlign w:val="center"/>
            <w:hideMark/>
          </w:tcPr>
          <w:p w14:paraId="1E58867E"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Entry into force of the new or modified decrees and related regulations to enable market development of CO2 in Flanders</w:t>
            </w:r>
          </w:p>
        </w:tc>
      </w:tr>
      <w:tr w:rsidR="00232882" w:rsidRPr="001961AA" w14:paraId="1372FA28" w14:textId="77777777" w:rsidTr="001B6E83">
        <w:trPr>
          <w:trHeight w:val="315"/>
        </w:trPr>
        <w:tc>
          <w:tcPr>
            <w:tcW w:w="388" w:type="pct"/>
            <w:shd w:val="clear" w:color="auto" w:fill="C6EFCE"/>
            <w:noWrap/>
            <w:vAlign w:val="center"/>
            <w:hideMark/>
          </w:tcPr>
          <w:p w14:paraId="4D95A600"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15ter</w:t>
            </w:r>
          </w:p>
        </w:tc>
        <w:tc>
          <w:tcPr>
            <w:tcW w:w="2040" w:type="pct"/>
            <w:shd w:val="clear" w:color="auto" w:fill="C6EFCE"/>
            <w:noWrap/>
            <w:vAlign w:val="center"/>
            <w:hideMark/>
          </w:tcPr>
          <w:p w14:paraId="010E2944"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Regulatory framework for the CO2 market in Wallonia (R-1.06)</w:t>
            </w:r>
          </w:p>
        </w:tc>
        <w:tc>
          <w:tcPr>
            <w:tcW w:w="347" w:type="pct"/>
            <w:shd w:val="clear" w:color="auto" w:fill="C6EFCE"/>
            <w:noWrap/>
            <w:vAlign w:val="center"/>
            <w:hideMark/>
          </w:tcPr>
          <w:p w14:paraId="1751D253"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w:t>
            </w:r>
          </w:p>
        </w:tc>
        <w:tc>
          <w:tcPr>
            <w:tcW w:w="2224" w:type="pct"/>
            <w:shd w:val="clear" w:color="auto" w:fill="C6EFCE"/>
            <w:noWrap/>
            <w:vAlign w:val="center"/>
            <w:hideMark/>
          </w:tcPr>
          <w:p w14:paraId="38FE6B9B"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Entry into force of the new or modified decrees and related regulations to enable market development of CO2 in Wallonia</w:t>
            </w:r>
          </w:p>
        </w:tc>
      </w:tr>
      <w:tr w:rsidR="00232882" w:rsidRPr="001961AA" w14:paraId="27D4D29F" w14:textId="77777777" w:rsidTr="001B6E83">
        <w:trPr>
          <w:trHeight w:val="315"/>
        </w:trPr>
        <w:tc>
          <w:tcPr>
            <w:tcW w:w="388" w:type="pct"/>
            <w:shd w:val="clear" w:color="auto" w:fill="C6EFCE"/>
            <w:noWrap/>
            <w:vAlign w:val="center"/>
            <w:hideMark/>
          </w:tcPr>
          <w:p w14:paraId="3CF38E6C"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19</w:t>
            </w:r>
          </w:p>
        </w:tc>
        <w:tc>
          <w:tcPr>
            <w:tcW w:w="2040" w:type="pct"/>
            <w:shd w:val="clear" w:color="auto" w:fill="C6EFCE"/>
            <w:noWrap/>
            <w:vAlign w:val="center"/>
            <w:hideMark/>
          </w:tcPr>
          <w:p w14:paraId="66ABA06C"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An industrial value chain for hydrogen transition (I-1.15)</w:t>
            </w:r>
          </w:p>
        </w:tc>
        <w:tc>
          <w:tcPr>
            <w:tcW w:w="347" w:type="pct"/>
            <w:shd w:val="clear" w:color="auto" w:fill="C6EFCE"/>
            <w:noWrap/>
            <w:vAlign w:val="center"/>
            <w:hideMark/>
          </w:tcPr>
          <w:p w14:paraId="61362B3F"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w:t>
            </w:r>
          </w:p>
        </w:tc>
        <w:tc>
          <w:tcPr>
            <w:tcW w:w="2224" w:type="pct"/>
            <w:shd w:val="clear" w:color="auto" w:fill="C6EFCE"/>
            <w:noWrap/>
            <w:vAlign w:val="center"/>
            <w:hideMark/>
          </w:tcPr>
          <w:p w14:paraId="7625EBD2" w14:textId="4C81B87E"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Award of contracts under the 2nd call for projects</w:t>
            </w:r>
          </w:p>
        </w:tc>
      </w:tr>
      <w:tr w:rsidR="00232882" w:rsidRPr="001961AA" w14:paraId="2C998E6B" w14:textId="77777777" w:rsidTr="001B6E83">
        <w:trPr>
          <w:trHeight w:val="315"/>
        </w:trPr>
        <w:tc>
          <w:tcPr>
            <w:tcW w:w="388" w:type="pct"/>
            <w:shd w:val="clear" w:color="auto" w:fill="C6EFCE"/>
            <w:noWrap/>
            <w:vAlign w:val="center"/>
            <w:hideMark/>
          </w:tcPr>
          <w:p w14:paraId="2AA0F701"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36</w:t>
            </w:r>
          </w:p>
        </w:tc>
        <w:tc>
          <w:tcPr>
            <w:tcW w:w="2040" w:type="pct"/>
            <w:shd w:val="clear" w:color="auto" w:fill="C6EFCE"/>
            <w:noWrap/>
            <w:vAlign w:val="center"/>
            <w:hideMark/>
          </w:tcPr>
          <w:p w14:paraId="7C30A1A6"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Biodiversity and adaptation to climate change (I-1.22)</w:t>
            </w:r>
          </w:p>
        </w:tc>
        <w:tc>
          <w:tcPr>
            <w:tcW w:w="347" w:type="pct"/>
            <w:shd w:val="clear" w:color="auto" w:fill="C6EFCE"/>
            <w:noWrap/>
            <w:vAlign w:val="center"/>
            <w:hideMark/>
          </w:tcPr>
          <w:p w14:paraId="70B657A9"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T</w:t>
            </w:r>
          </w:p>
        </w:tc>
        <w:tc>
          <w:tcPr>
            <w:tcW w:w="2224" w:type="pct"/>
            <w:shd w:val="clear" w:color="auto" w:fill="C6EFCE"/>
            <w:noWrap/>
            <w:vAlign w:val="center"/>
            <w:hideMark/>
          </w:tcPr>
          <w:p w14:paraId="1E4DE010"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Land management measures applied (forests, protected area) and remeandering projects in progress</w:t>
            </w:r>
          </w:p>
        </w:tc>
      </w:tr>
      <w:tr w:rsidR="00232882" w:rsidRPr="001961AA" w14:paraId="57754A21" w14:textId="77777777" w:rsidTr="001B6E83">
        <w:trPr>
          <w:trHeight w:val="315"/>
        </w:trPr>
        <w:tc>
          <w:tcPr>
            <w:tcW w:w="388" w:type="pct"/>
            <w:shd w:val="clear" w:color="auto" w:fill="C6EFCE"/>
            <w:noWrap/>
            <w:vAlign w:val="center"/>
            <w:hideMark/>
          </w:tcPr>
          <w:p w14:paraId="19F97916"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44</w:t>
            </w:r>
          </w:p>
        </w:tc>
        <w:tc>
          <w:tcPr>
            <w:tcW w:w="2040" w:type="pct"/>
            <w:shd w:val="clear" w:color="auto" w:fill="C6EFCE"/>
            <w:noWrap/>
            <w:vAlign w:val="center"/>
            <w:hideMark/>
          </w:tcPr>
          <w:p w14:paraId="12A70F25"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Cybersecure and resilient digital society (I-2.01)</w:t>
            </w:r>
          </w:p>
        </w:tc>
        <w:tc>
          <w:tcPr>
            <w:tcW w:w="347" w:type="pct"/>
            <w:shd w:val="clear" w:color="auto" w:fill="C6EFCE"/>
            <w:noWrap/>
            <w:vAlign w:val="center"/>
            <w:hideMark/>
          </w:tcPr>
          <w:p w14:paraId="2DFCC33A"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T</w:t>
            </w:r>
          </w:p>
        </w:tc>
        <w:tc>
          <w:tcPr>
            <w:tcW w:w="2224" w:type="pct"/>
            <w:shd w:val="clear" w:color="auto" w:fill="C6EFCE"/>
            <w:noWrap/>
            <w:vAlign w:val="center"/>
            <w:hideMark/>
          </w:tcPr>
          <w:p w14:paraId="54DA582B"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Notification of award for eight public tenders</w:t>
            </w:r>
          </w:p>
        </w:tc>
      </w:tr>
      <w:tr w:rsidR="00232882" w:rsidRPr="001961AA" w14:paraId="6E3753EB" w14:textId="77777777" w:rsidTr="001B6E83">
        <w:trPr>
          <w:trHeight w:val="315"/>
        </w:trPr>
        <w:tc>
          <w:tcPr>
            <w:tcW w:w="388" w:type="pct"/>
            <w:shd w:val="clear" w:color="auto" w:fill="C6EFCE"/>
            <w:noWrap/>
            <w:vAlign w:val="center"/>
            <w:hideMark/>
          </w:tcPr>
          <w:p w14:paraId="49A9AC07"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46</w:t>
            </w:r>
          </w:p>
        </w:tc>
        <w:tc>
          <w:tcPr>
            <w:tcW w:w="2040" w:type="pct"/>
            <w:shd w:val="clear" w:color="auto" w:fill="C6EFCE"/>
            <w:noWrap/>
            <w:vAlign w:val="center"/>
            <w:hideMark/>
          </w:tcPr>
          <w:p w14:paraId="0D3972CB"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Cybersecure and resilient digital society (I-2.01)</w:t>
            </w:r>
          </w:p>
        </w:tc>
        <w:tc>
          <w:tcPr>
            <w:tcW w:w="347" w:type="pct"/>
            <w:shd w:val="clear" w:color="auto" w:fill="C6EFCE"/>
            <w:noWrap/>
            <w:vAlign w:val="center"/>
            <w:hideMark/>
          </w:tcPr>
          <w:p w14:paraId="6FF59EF3"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T</w:t>
            </w:r>
          </w:p>
        </w:tc>
        <w:tc>
          <w:tcPr>
            <w:tcW w:w="2224" w:type="pct"/>
            <w:shd w:val="clear" w:color="auto" w:fill="C6EFCE"/>
            <w:noWrap/>
            <w:vAlign w:val="center"/>
            <w:hideMark/>
          </w:tcPr>
          <w:p w14:paraId="3CDFBBE0"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Instruments to increase cyber resilience available to the general public</w:t>
            </w:r>
          </w:p>
        </w:tc>
      </w:tr>
      <w:tr w:rsidR="00232882" w:rsidRPr="001961AA" w14:paraId="1A4D49EE" w14:textId="77777777" w:rsidTr="001B6E83">
        <w:trPr>
          <w:trHeight w:val="315"/>
        </w:trPr>
        <w:tc>
          <w:tcPr>
            <w:tcW w:w="388" w:type="pct"/>
            <w:shd w:val="clear" w:color="auto" w:fill="C6EFCE"/>
            <w:noWrap/>
            <w:vAlign w:val="center"/>
            <w:hideMark/>
          </w:tcPr>
          <w:p w14:paraId="5B9B4C84"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51</w:t>
            </w:r>
          </w:p>
        </w:tc>
        <w:tc>
          <w:tcPr>
            <w:tcW w:w="2040" w:type="pct"/>
            <w:shd w:val="clear" w:color="auto" w:fill="C6EFCE"/>
            <w:noWrap/>
            <w:vAlign w:val="center"/>
            <w:hideMark/>
          </w:tcPr>
          <w:p w14:paraId="6FD33E64"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Digitalisation IPSS (I-2.04) (sub-measure 2)</w:t>
            </w:r>
          </w:p>
        </w:tc>
        <w:tc>
          <w:tcPr>
            <w:tcW w:w="347" w:type="pct"/>
            <w:shd w:val="clear" w:color="auto" w:fill="C6EFCE"/>
            <w:noWrap/>
            <w:vAlign w:val="center"/>
            <w:hideMark/>
          </w:tcPr>
          <w:p w14:paraId="160D6563"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T</w:t>
            </w:r>
          </w:p>
        </w:tc>
        <w:tc>
          <w:tcPr>
            <w:tcW w:w="2224" w:type="pct"/>
            <w:shd w:val="clear" w:color="auto" w:fill="C6EFCE"/>
            <w:noWrap/>
            <w:vAlign w:val="center"/>
            <w:hideMark/>
          </w:tcPr>
          <w:p w14:paraId="1AF73F8A"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All Public Institute for Social Security (IPSS) communications are digital and data is centralized / consolidated</w:t>
            </w:r>
          </w:p>
        </w:tc>
      </w:tr>
      <w:tr w:rsidR="00232882" w:rsidRPr="001961AA" w14:paraId="47AB97EF" w14:textId="77777777" w:rsidTr="001B6E83">
        <w:trPr>
          <w:trHeight w:val="315"/>
        </w:trPr>
        <w:tc>
          <w:tcPr>
            <w:tcW w:w="388" w:type="pct"/>
            <w:shd w:val="clear" w:color="auto" w:fill="C6EFCE"/>
            <w:noWrap/>
            <w:vAlign w:val="center"/>
            <w:hideMark/>
          </w:tcPr>
          <w:p w14:paraId="2219FD2A"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59</w:t>
            </w:r>
          </w:p>
        </w:tc>
        <w:tc>
          <w:tcPr>
            <w:tcW w:w="2040" w:type="pct"/>
            <w:shd w:val="clear" w:color="auto" w:fill="C6EFCE"/>
            <w:noWrap/>
            <w:vAlign w:val="center"/>
            <w:hideMark/>
          </w:tcPr>
          <w:p w14:paraId="5A11F598"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 xml:space="preserve">Digitalisation SPF (I-2.05) (Sub-measure 1: Digital transformation of Justice) </w:t>
            </w:r>
          </w:p>
        </w:tc>
        <w:tc>
          <w:tcPr>
            <w:tcW w:w="347" w:type="pct"/>
            <w:shd w:val="clear" w:color="auto" w:fill="C6EFCE"/>
            <w:noWrap/>
            <w:vAlign w:val="center"/>
            <w:hideMark/>
          </w:tcPr>
          <w:p w14:paraId="7E07B10A"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w:t>
            </w:r>
          </w:p>
        </w:tc>
        <w:tc>
          <w:tcPr>
            <w:tcW w:w="2224" w:type="pct"/>
            <w:shd w:val="clear" w:color="auto" w:fill="C6EFCE"/>
            <w:noWrap/>
            <w:vAlign w:val="center"/>
            <w:hideMark/>
          </w:tcPr>
          <w:p w14:paraId="081FD142"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Database for the collection of real-time data</w:t>
            </w:r>
          </w:p>
        </w:tc>
      </w:tr>
      <w:tr w:rsidR="00232882" w:rsidRPr="001961AA" w14:paraId="2F1EB812" w14:textId="77777777" w:rsidTr="001B6E83">
        <w:trPr>
          <w:trHeight w:val="315"/>
        </w:trPr>
        <w:tc>
          <w:tcPr>
            <w:tcW w:w="388" w:type="pct"/>
            <w:shd w:val="clear" w:color="auto" w:fill="C6EFCE"/>
            <w:noWrap/>
            <w:vAlign w:val="center"/>
            <w:hideMark/>
          </w:tcPr>
          <w:p w14:paraId="1CF08631"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71</w:t>
            </w:r>
          </w:p>
        </w:tc>
        <w:tc>
          <w:tcPr>
            <w:tcW w:w="2040" w:type="pct"/>
            <w:shd w:val="clear" w:color="auto" w:fill="C6EFCE"/>
            <w:noWrap/>
            <w:vAlign w:val="center"/>
            <w:hideMark/>
          </w:tcPr>
          <w:p w14:paraId="5258BB86"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Regional data exchange platform (I-2.10)</w:t>
            </w:r>
          </w:p>
        </w:tc>
        <w:tc>
          <w:tcPr>
            <w:tcW w:w="347" w:type="pct"/>
            <w:shd w:val="clear" w:color="auto" w:fill="C6EFCE"/>
            <w:noWrap/>
            <w:vAlign w:val="center"/>
            <w:hideMark/>
          </w:tcPr>
          <w:p w14:paraId="311EE696"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T</w:t>
            </w:r>
          </w:p>
        </w:tc>
        <w:tc>
          <w:tcPr>
            <w:tcW w:w="2224" w:type="pct"/>
            <w:shd w:val="clear" w:color="auto" w:fill="C6EFCE"/>
            <w:noWrap/>
            <w:vAlign w:val="center"/>
            <w:hideMark/>
          </w:tcPr>
          <w:p w14:paraId="0980D958"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10 public administrations are supported for the deployment of projects on the regional data platform</w:t>
            </w:r>
          </w:p>
        </w:tc>
      </w:tr>
      <w:tr w:rsidR="00232882" w:rsidRPr="001961AA" w14:paraId="71BD2002" w14:textId="77777777" w:rsidTr="001B6E83">
        <w:trPr>
          <w:trHeight w:val="315"/>
        </w:trPr>
        <w:tc>
          <w:tcPr>
            <w:tcW w:w="388" w:type="pct"/>
            <w:shd w:val="clear" w:color="auto" w:fill="C6EFCE"/>
            <w:noWrap/>
            <w:vAlign w:val="center"/>
            <w:hideMark/>
          </w:tcPr>
          <w:p w14:paraId="48885FBB"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79</w:t>
            </w:r>
          </w:p>
        </w:tc>
        <w:tc>
          <w:tcPr>
            <w:tcW w:w="2040" w:type="pct"/>
            <w:shd w:val="clear" w:color="auto" w:fill="C6EFCE"/>
            <w:noWrap/>
            <w:vAlign w:val="center"/>
            <w:hideMark/>
          </w:tcPr>
          <w:p w14:paraId="32CD76EE"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E-government: tendering procedure (R-2.02)</w:t>
            </w:r>
          </w:p>
        </w:tc>
        <w:tc>
          <w:tcPr>
            <w:tcW w:w="347" w:type="pct"/>
            <w:shd w:val="clear" w:color="auto" w:fill="C6EFCE"/>
            <w:noWrap/>
            <w:vAlign w:val="center"/>
            <w:hideMark/>
          </w:tcPr>
          <w:p w14:paraId="0F5854D1"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w:t>
            </w:r>
          </w:p>
        </w:tc>
        <w:tc>
          <w:tcPr>
            <w:tcW w:w="2224" w:type="pct"/>
            <w:shd w:val="clear" w:color="auto" w:fill="C6EFCE"/>
            <w:noWrap/>
            <w:vAlign w:val="center"/>
            <w:hideMark/>
          </w:tcPr>
          <w:p w14:paraId="4ABA8CEC"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Implementation of the new tool</w:t>
            </w:r>
          </w:p>
        </w:tc>
      </w:tr>
      <w:tr w:rsidR="00232882" w:rsidRPr="001961AA" w14:paraId="0546D49C" w14:textId="77777777" w:rsidTr="001B6E83">
        <w:trPr>
          <w:trHeight w:val="315"/>
        </w:trPr>
        <w:tc>
          <w:tcPr>
            <w:tcW w:w="388" w:type="pct"/>
            <w:shd w:val="clear" w:color="auto" w:fill="C6EFCE"/>
            <w:noWrap/>
            <w:vAlign w:val="center"/>
            <w:hideMark/>
          </w:tcPr>
          <w:p w14:paraId="7F81EA9A"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83</w:t>
            </w:r>
          </w:p>
        </w:tc>
        <w:tc>
          <w:tcPr>
            <w:tcW w:w="2040" w:type="pct"/>
            <w:shd w:val="clear" w:color="auto" w:fill="C6EFCE"/>
            <w:noWrap/>
            <w:vAlign w:val="center"/>
            <w:hideMark/>
          </w:tcPr>
          <w:p w14:paraId="36121C25"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Development of an AI institute in order to use this technology to meet societal challenges (I-2.14)</w:t>
            </w:r>
          </w:p>
        </w:tc>
        <w:tc>
          <w:tcPr>
            <w:tcW w:w="347" w:type="pct"/>
            <w:shd w:val="clear" w:color="auto" w:fill="C6EFCE"/>
            <w:noWrap/>
            <w:vAlign w:val="center"/>
            <w:hideMark/>
          </w:tcPr>
          <w:p w14:paraId="6FCE7734"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T</w:t>
            </w:r>
          </w:p>
        </w:tc>
        <w:tc>
          <w:tcPr>
            <w:tcW w:w="2224" w:type="pct"/>
            <w:shd w:val="clear" w:color="auto" w:fill="C6EFCE"/>
            <w:noWrap/>
            <w:vAlign w:val="center"/>
            <w:hideMark/>
          </w:tcPr>
          <w:p w14:paraId="5EBFF5D5"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AI services delivered by the AI for the Common Good Institute</w:t>
            </w:r>
          </w:p>
        </w:tc>
      </w:tr>
      <w:tr w:rsidR="00232882" w:rsidRPr="001961AA" w14:paraId="7834C4E2" w14:textId="77777777" w:rsidTr="001B6E83">
        <w:trPr>
          <w:trHeight w:val="315"/>
        </w:trPr>
        <w:tc>
          <w:tcPr>
            <w:tcW w:w="388" w:type="pct"/>
            <w:shd w:val="clear" w:color="auto" w:fill="C6EFCE"/>
            <w:noWrap/>
            <w:vAlign w:val="center"/>
            <w:hideMark/>
          </w:tcPr>
          <w:p w14:paraId="09570B30"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94</w:t>
            </w:r>
          </w:p>
        </w:tc>
        <w:tc>
          <w:tcPr>
            <w:tcW w:w="2040" w:type="pct"/>
            <w:shd w:val="clear" w:color="auto" w:fill="C6EFCE"/>
            <w:noWrap/>
            <w:vAlign w:val="center"/>
            <w:hideMark/>
          </w:tcPr>
          <w:p w14:paraId="6B54F1D9"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Cycling infrastructure (I-3A)</w:t>
            </w:r>
          </w:p>
        </w:tc>
        <w:tc>
          <w:tcPr>
            <w:tcW w:w="347" w:type="pct"/>
            <w:shd w:val="clear" w:color="auto" w:fill="C6EFCE"/>
            <w:noWrap/>
            <w:vAlign w:val="center"/>
            <w:hideMark/>
          </w:tcPr>
          <w:p w14:paraId="34CF01A0"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w:t>
            </w:r>
          </w:p>
        </w:tc>
        <w:tc>
          <w:tcPr>
            <w:tcW w:w="2224" w:type="pct"/>
            <w:shd w:val="clear" w:color="auto" w:fill="C6EFCE"/>
            <w:noWrap/>
            <w:vAlign w:val="center"/>
            <w:hideMark/>
          </w:tcPr>
          <w:p w14:paraId="047E3145"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Start of all cycling and walking projects</w:t>
            </w:r>
          </w:p>
        </w:tc>
      </w:tr>
      <w:tr w:rsidR="00232882" w:rsidRPr="001961AA" w14:paraId="57E0D143" w14:textId="77777777" w:rsidTr="001B6E83">
        <w:trPr>
          <w:trHeight w:val="315"/>
        </w:trPr>
        <w:tc>
          <w:tcPr>
            <w:tcW w:w="388" w:type="pct"/>
            <w:shd w:val="clear" w:color="auto" w:fill="C6EFCE"/>
            <w:noWrap/>
            <w:vAlign w:val="center"/>
            <w:hideMark/>
          </w:tcPr>
          <w:p w14:paraId="1B72015F"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95</w:t>
            </w:r>
          </w:p>
        </w:tc>
        <w:tc>
          <w:tcPr>
            <w:tcW w:w="2040" w:type="pct"/>
            <w:shd w:val="clear" w:color="auto" w:fill="C6EFCE"/>
            <w:noWrap/>
            <w:vAlign w:val="center"/>
            <w:hideMark/>
          </w:tcPr>
          <w:p w14:paraId="7FAB694F"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Cycling infrastructure (I-3A)</w:t>
            </w:r>
          </w:p>
        </w:tc>
        <w:tc>
          <w:tcPr>
            <w:tcW w:w="347" w:type="pct"/>
            <w:shd w:val="clear" w:color="auto" w:fill="C6EFCE"/>
            <w:noWrap/>
            <w:vAlign w:val="center"/>
            <w:hideMark/>
          </w:tcPr>
          <w:p w14:paraId="6DF3E6B2"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T</w:t>
            </w:r>
          </w:p>
        </w:tc>
        <w:tc>
          <w:tcPr>
            <w:tcW w:w="2224" w:type="pct"/>
            <w:shd w:val="clear" w:color="auto" w:fill="C6EFCE"/>
            <w:noWrap/>
            <w:vAlign w:val="center"/>
            <w:hideMark/>
          </w:tcPr>
          <w:p w14:paraId="40E62330"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New and refurbished cycling roads</w:t>
            </w:r>
          </w:p>
        </w:tc>
      </w:tr>
      <w:tr w:rsidR="00232882" w:rsidRPr="001961AA" w14:paraId="6A423A05" w14:textId="77777777" w:rsidTr="001B6E83">
        <w:trPr>
          <w:trHeight w:val="315"/>
        </w:trPr>
        <w:tc>
          <w:tcPr>
            <w:tcW w:w="388" w:type="pct"/>
            <w:shd w:val="clear" w:color="auto" w:fill="C6EFCE"/>
            <w:noWrap/>
            <w:vAlign w:val="center"/>
            <w:hideMark/>
          </w:tcPr>
          <w:p w14:paraId="66C8D599"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102</w:t>
            </w:r>
          </w:p>
        </w:tc>
        <w:tc>
          <w:tcPr>
            <w:tcW w:w="2040" w:type="pct"/>
            <w:shd w:val="clear" w:color="auto" w:fill="C6EFCE"/>
            <w:noWrap/>
            <w:vAlign w:val="center"/>
            <w:hideMark/>
          </w:tcPr>
          <w:p w14:paraId="41B73BC1"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Enhancing public transport in Wallonia (I-3B)</w:t>
            </w:r>
          </w:p>
        </w:tc>
        <w:tc>
          <w:tcPr>
            <w:tcW w:w="347" w:type="pct"/>
            <w:shd w:val="clear" w:color="auto" w:fill="C6EFCE"/>
            <w:noWrap/>
            <w:vAlign w:val="center"/>
            <w:hideMark/>
          </w:tcPr>
          <w:p w14:paraId="2D7C278B"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w:t>
            </w:r>
          </w:p>
        </w:tc>
        <w:tc>
          <w:tcPr>
            <w:tcW w:w="2224" w:type="pct"/>
            <w:shd w:val="clear" w:color="auto" w:fill="C6EFCE"/>
            <w:noWrap/>
            <w:vAlign w:val="center"/>
            <w:hideMark/>
          </w:tcPr>
          <w:p w14:paraId="0F05BD77" w14:textId="278F89A6"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Signature of revised public service contract of OTW (‘Opérateur de Transport de Wallonie’)</w:t>
            </w:r>
          </w:p>
        </w:tc>
      </w:tr>
      <w:tr w:rsidR="00232882" w:rsidRPr="001961AA" w14:paraId="7B81E82F" w14:textId="77777777" w:rsidTr="001B6E83">
        <w:trPr>
          <w:trHeight w:val="315"/>
        </w:trPr>
        <w:tc>
          <w:tcPr>
            <w:tcW w:w="388" w:type="pct"/>
            <w:shd w:val="clear" w:color="auto" w:fill="C6EFCE"/>
            <w:noWrap/>
            <w:vAlign w:val="center"/>
            <w:hideMark/>
          </w:tcPr>
          <w:p w14:paraId="09B8D013"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109</w:t>
            </w:r>
          </w:p>
        </w:tc>
        <w:tc>
          <w:tcPr>
            <w:tcW w:w="2040" w:type="pct"/>
            <w:shd w:val="clear" w:color="auto" w:fill="C6EFCE"/>
            <w:noWrap/>
            <w:vAlign w:val="center"/>
            <w:hideMark/>
          </w:tcPr>
          <w:p w14:paraId="12131EDB"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Go Live of rail IT modules (I-3E)</w:t>
            </w:r>
          </w:p>
        </w:tc>
        <w:tc>
          <w:tcPr>
            <w:tcW w:w="347" w:type="pct"/>
            <w:shd w:val="clear" w:color="auto" w:fill="C6EFCE"/>
            <w:noWrap/>
            <w:vAlign w:val="center"/>
            <w:hideMark/>
          </w:tcPr>
          <w:p w14:paraId="029362A5"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T</w:t>
            </w:r>
          </w:p>
        </w:tc>
        <w:tc>
          <w:tcPr>
            <w:tcW w:w="2224" w:type="pct"/>
            <w:shd w:val="clear" w:color="auto" w:fill="C6EFCE"/>
            <w:noWrap/>
            <w:vAlign w:val="center"/>
            <w:hideMark/>
          </w:tcPr>
          <w:p w14:paraId="6B3C186C"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Go Live of rail IT modules</w:t>
            </w:r>
          </w:p>
        </w:tc>
      </w:tr>
      <w:tr w:rsidR="00232882" w:rsidRPr="001961AA" w14:paraId="22E2AB3E" w14:textId="77777777" w:rsidTr="001B6E83">
        <w:trPr>
          <w:trHeight w:val="315"/>
        </w:trPr>
        <w:tc>
          <w:tcPr>
            <w:tcW w:w="388" w:type="pct"/>
            <w:shd w:val="clear" w:color="auto" w:fill="C6EFCE"/>
            <w:noWrap/>
            <w:vAlign w:val="center"/>
            <w:hideMark/>
          </w:tcPr>
          <w:p w14:paraId="41B55B12"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114</w:t>
            </w:r>
          </w:p>
        </w:tc>
        <w:tc>
          <w:tcPr>
            <w:tcW w:w="2040" w:type="pct"/>
            <w:shd w:val="clear" w:color="auto" w:fill="C6EFCE"/>
            <w:noWrap/>
            <w:vAlign w:val="center"/>
            <w:hideMark/>
          </w:tcPr>
          <w:p w14:paraId="65738F16"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Greening the bus fleet (I-3G)</w:t>
            </w:r>
          </w:p>
        </w:tc>
        <w:tc>
          <w:tcPr>
            <w:tcW w:w="347" w:type="pct"/>
            <w:shd w:val="clear" w:color="auto" w:fill="C6EFCE"/>
            <w:noWrap/>
            <w:vAlign w:val="center"/>
            <w:hideMark/>
          </w:tcPr>
          <w:p w14:paraId="1D453F1F"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T</w:t>
            </w:r>
          </w:p>
        </w:tc>
        <w:tc>
          <w:tcPr>
            <w:tcW w:w="2224" w:type="pct"/>
            <w:shd w:val="clear" w:color="auto" w:fill="C6EFCE"/>
            <w:noWrap/>
            <w:vAlign w:val="center"/>
            <w:hideMark/>
          </w:tcPr>
          <w:p w14:paraId="049352F8"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Formal order for green busses and related charging infrastructure in Flanders and Brussels</w:t>
            </w:r>
          </w:p>
        </w:tc>
      </w:tr>
      <w:tr w:rsidR="00232882" w:rsidRPr="001961AA" w14:paraId="4B9BF15E" w14:textId="77777777" w:rsidTr="001B6E83">
        <w:trPr>
          <w:trHeight w:val="315"/>
        </w:trPr>
        <w:tc>
          <w:tcPr>
            <w:tcW w:w="388" w:type="pct"/>
            <w:shd w:val="clear" w:color="auto" w:fill="C6EFCE"/>
            <w:noWrap/>
            <w:vAlign w:val="center"/>
            <w:hideMark/>
          </w:tcPr>
          <w:p w14:paraId="6CD0375F"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125</w:t>
            </w:r>
          </w:p>
        </w:tc>
        <w:tc>
          <w:tcPr>
            <w:tcW w:w="2040" w:type="pct"/>
            <w:shd w:val="clear" w:color="auto" w:fill="C6EFCE"/>
            <w:noWrap/>
            <w:vAlign w:val="center"/>
            <w:hideMark/>
          </w:tcPr>
          <w:p w14:paraId="0AE92D27"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Emission fraud (R-3.07)</w:t>
            </w:r>
          </w:p>
        </w:tc>
        <w:tc>
          <w:tcPr>
            <w:tcW w:w="347" w:type="pct"/>
            <w:shd w:val="clear" w:color="auto" w:fill="C6EFCE"/>
            <w:noWrap/>
            <w:vAlign w:val="center"/>
            <w:hideMark/>
          </w:tcPr>
          <w:p w14:paraId="2E75EB8A"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w:t>
            </w:r>
          </w:p>
        </w:tc>
        <w:tc>
          <w:tcPr>
            <w:tcW w:w="2224" w:type="pct"/>
            <w:shd w:val="clear" w:color="auto" w:fill="C6EFCE"/>
            <w:noWrap/>
            <w:vAlign w:val="center"/>
            <w:hideMark/>
          </w:tcPr>
          <w:p w14:paraId="7CD9D3B6"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IT system that integrates emission data with observations of periodic technical and road safety inspections operational</w:t>
            </w:r>
          </w:p>
        </w:tc>
      </w:tr>
      <w:tr w:rsidR="00232882" w:rsidRPr="001961AA" w14:paraId="4AEDD63C" w14:textId="77777777" w:rsidTr="001B6E83">
        <w:trPr>
          <w:trHeight w:val="315"/>
        </w:trPr>
        <w:tc>
          <w:tcPr>
            <w:tcW w:w="388" w:type="pct"/>
            <w:shd w:val="clear" w:color="auto" w:fill="C6EFCE"/>
            <w:noWrap/>
            <w:vAlign w:val="center"/>
            <w:hideMark/>
          </w:tcPr>
          <w:p w14:paraId="38876D8E"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129</w:t>
            </w:r>
          </w:p>
        </w:tc>
        <w:tc>
          <w:tcPr>
            <w:tcW w:w="2040" w:type="pct"/>
            <w:shd w:val="clear" w:color="auto" w:fill="C6EFCE"/>
            <w:noWrap/>
            <w:vAlign w:val="center"/>
            <w:hideMark/>
          </w:tcPr>
          <w:p w14:paraId="3E82A239"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Global action plan against early school leaving (R-4.03)</w:t>
            </w:r>
          </w:p>
        </w:tc>
        <w:tc>
          <w:tcPr>
            <w:tcW w:w="347" w:type="pct"/>
            <w:shd w:val="clear" w:color="auto" w:fill="C6EFCE"/>
            <w:noWrap/>
            <w:vAlign w:val="center"/>
            <w:hideMark/>
          </w:tcPr>
          <w:p w14:paraId="3496430B"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w:t>
            </w:r>
          </w:p>
        </w:tc>
        <w:tc>
          <w:tcPr>
            <w:tcW w:w="2224" w:type="pct"/>
            <w:shd w:val="clear" w:color="auto" w:fill="C6EFCE"/>
            <w:noWrap/>
            <w:vAlign w:val="center"/>
            <w:hideMark/>
          </w:tcPr>
          <w:p w14:paraId="0396CAC7"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New comprehensive plan against school dropout</w:t>
            </w:r>
          </w:p>
        </w:tc>
      </w:tr>
      <w:tr w:rsidR="00232882" w:rsidRPr="001961AA" w14:paraId="513D0A47" w14:textId="77777777" w:rsidTr="001B6E83">
        <w:trPr>
          <w:trHeight w:val="315"/>
        </w:trPr>
        <w:tc>
          <w:tcPr>
            <w:tcW w:w="388" w:type="pct"/>
            <w:shd w:val="clear" w:color="auto" w:fill="C6EFCE"/>
            <w:noWrap/>
            <w:vAlign w:val="center"/>
            <w:hideMark/>
          </w:tcPr>
          <w:p w14:paraId="2140A081"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138</w:t>
            </w:r>
          </w:p>
        </w:tc>
        <w:tc>
          <w:tcPr>
            <w:tcW w:w="2040" w:type="pct"/>
            <w:shd w:val="clear" w:color="auto" w:fill="C6EFCE"/>
            <w:noWrap/>
            <w:vAlign w:val="center"/>
            <w:hideMark/>
          </w:tcPr>
          <w:p w14:paraId="475A2D22"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Digital turnaround for Brussels schools (I-4.05)</w:t>
            </w:r>
          </w:p>
        </w:tc>
        <w:tc>
          <w:tcPr>
            <w:tcW w:w="347" w:type="pct"/>
            <w:shd w:val="clear" w:color="auto" w:fill="C6EFCE"/>
            <w:noWrap/>
            <w:vAlign w:val="center"/>
            <w:hideMark/>
          </w:tcPr>
          <w:p w14:paraId="69825B00"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T</w:t>
            </w:r>
          </w:p>
        </w:tc>
        <w:tc>
          <w:tcPr>
            <w:tcW w:w="2224" w:type="pct"/>
            <w:shd w:val="clear" w:color="auto" w:fill="C6EFCE"/>
            <w:noWrap/>
            <w:vAlign w:val="center"/>
            <w:hideMark/>
          </w:tcPr>
          <w:p w14:paraId="48E9ED2F"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Equipping schools/institutions with adequate ICT devices and infrastructure to improve the overall performance of education systems</w:t>
            </w:r>
          </w:p>
        </w:tc>
      </w:tr>
      <w:tr w:rsidR="00232882" w:rsidRPr="001961AA" w14:paraId="063FFE34" w14:textId="77777777" w:rsidTr="001B6E83">
        <w:trPr>
          <w:trHeight w:val="315"/>
        </w:trPr>
        <w:tc>
          <w:tcPr>
            <w:tcW w:w="388" w:type="pct"/>
            <w:shd w:val="clear" w:color="auto" w:fill="C6EFCE"/>
            <w:noWrap/>
            <w:vAlign w:val="center"/>
            <w:hideMark/>
          </w:tcPr>
          <w:p w14:paraId="2DC01658"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139</w:t>
            </w:r>
          </w:p>
        </w:tc>
        <w:tc>
          <w:tcPr>
            <w:tcW w:w="2040" w:type="pct"/>
            <w:shd w:val="clear" w:color="auto" w:fill="C6EFCE"/>
            <w:noWrap/>
            <w:vAlign w:val="center"/>
            <w:hideMark/>
          </w:tcPr>
          <w:p w14:paraId="3D25EB8F"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Re-qualification strategy (R-4.05)</w:t>
            </w:r>
          </w:p>
        </w:tc>
        <w:tc>
          <w:tcPr>
            <w:tcW w:w="347" w:type="pct"/>
            <w:shd w:val="clear" w:color="auto" w:fill="C6EFCE"/>
            <w:noWrap/>
            <w:vAlign w:val="center"/>
            <w:hideMark/>
          </w:tcPr>
          <w:p w14:paraId="72CAB2A0"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w:t>
            </w:r>
          </w:p>
        </w:tc>
        <w:tc>
          <w:tcPr>
            <w:tcW w:w="2224" w:type="pct"/>
            <w:shd w:val="clear" w:color="auto" w:fill="C6EFCE"/>
            <w:noWrap/>
            <w:vAlign w:val="center"/>
            <w:hideMark/>
          </w:tcPr>
          <w:p w14:paraId="6533909F"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Adoption of regulatory texts by the Brussels Government to promote integration of vulnerable groups into the labour market</w:t>
            </w:r>
          </w:p>
        </w:tc>
      </w:tr>
      <w:tr w:rsidR="00232882" w:rsidRPr="001961AA" w14:paraId="60B4EBD3" w14:textId="77777777" w:rsidTr="001B6E83">
        <w:trPr>
          <w:trHeight w:val="315"/>
        </w:trPr>
        <w:tc>
          <w:tcPr>
            <w:tcW w:w="388" w:type="pct"/>
            <w:shd w:val="clear" w:color="auto" w:fill="C6EFCE"/>
            <w:noWrap/>
            <w:vAlign w:val="center"/>
            <w:hideMark/>
          </w:tcPr>
          <w:p w14:paraId="6007CD95"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144</w:t>
            </w:r>
          </w:p>
        </w:tc>
        <w:tc>
          <w:tcPr>
            <w:tcW w:w="2040" w:type="pct"/>
            <w:shd w:val="clear" w:color="auto" w:fill="C6EFCE"/>
            <w:noWrap/>
            <w:vAlign w:val="center"/>
            <w:hideMark/>
          </w:tcPr>
          <w:p w14:paraId="2666ABEA"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Re-qualification strategy (I-4.07)</w:t>
            </w:r>
          </w:p>
        </w:tc>
        <w:tc>
          <w:tcPr>
            <w:tcW w:w="347" w:type="pct"/>
            <w:shd w:val="clear" w:color="auto" w:fill="C6EFCE"/>
            <w:noWrap/>
            <w:vAlign w:val="center"/>
            <w:hideMark/>
          </w:tcPr>
          <w:p w14:paraId="4BDE013B"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T</w:t>
            </w:r>
          </w:p>
        </w:tc>
        <w:tc>
          <w:tcPr>
            <w:tcW w:w="2224" w:type="pct"/>
            <w:shd w:val="clear" w:color="auto" w:fill="C6EFCE"/>
            <w:noWrap/>
            <w:vAlign w:val="center"/>
            <w:hideMark/>
          </w:tcPr>
          <w:p w14:paraId="1EE20A61"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Competence profile and job counselling</w:t>
            </w:r>
          </w:p>
        </w:tc>
      </w:tr>
      <w:tr w:rsidR="00232882" w:rsidRPr="001961AA" w14:paraId="0DA92500" w14:textId="77777777" w:rsidTr="001B6E83">
        <w:trPr>
          <w:trHeight w:val="315"/>
        </w:trPr>
        <w:tc>
          <w:tcPr>
            <w:tcW w:w="388" w:type="pct"/>
            <w:shd w:val="clear" w:color="auto" w:fill="C6EFCE"/>
            <w:noWrap/>
            <w:vAlign w:val="center"/>
            <w:hideMark/>
          </w:tcPr>
          <w:p w14:paraId="17C7ED86"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146</w:t>
            </w:r>
          </w:p>
        </w:tc>
        <w:tc>
          <w:tcPr>
            <w:tcW w:w="2040" w:type="pct"/>
            <w:shd w:val="clear" w:color="auto" w:fill="C6EFCE"/>
            <w:noWrap/>
            <w:vAlign w:val="center"/>
            <w:hideMark/>
          </w:tcPr>
          <w:p w14:paraId="6BEFE86C"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E-inclusion for Belgium (I-4.08)</w:t>
            </w:r>
          </w:p>
        </w:tc>
        <w:tc>
          <w:tcPr>
            <w:tcW w:w="347" w:type="pct"/>
            <w:shd w:val="clear" w:color="auto" w:fill="C6EFCE"/>
            <w:noWrap/>
            <w:vAlign w:val="center"/>
            <w:hideMark/>
          </w:tcPr>
          <w:p w14:paraId="6DB460A8"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T</w:t>
            </w:r>
          </w:p>
        </w:tc>
        <w:tc>
          <w:tcPr>
            <w:tcW w:w="2224" w:type="pct"/>
            <w:shd w:val="clear" w:color="auto" w:fill="C6EFCE"/>
            <w:noWrap/>
            <w:vAlign w:val="center"/>
            <w:hideMark/>
          </w:tcPr>
          <w:p w14:paraId="3BECFCC0"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Award of grants</w:t>
            </w:r>
          </w:p>
        </w:tc>
      </w:tr>
      <w:tr w:rsidR="00232882" w:rsidRPr="001961AA" w14:paraId="53773408" w14:textId="77777777" w:rsidTr="001B6E83">
        <w:trPr>
          <w:trHeight w:val="315"/>
        </w:trPr>
        <w:tc>
          <w:tcPr>
            <w:tcW w:w="388" w:type="pct"/>
            <w:shd w:val="clear" w:color="auto" w:fill="C6EFCE"/>
            <w:noWrap/>
            <w:vAlign w:val="center"/>
            <w:hideMark/>
          </w:tcPr>
          <w:p w14:paraId="2CFD1CE9"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147</w:t>
            </w:r>
          </w:p>
        </w:tc>
        <w:tc>
          <w:tcPr>
            <w:tcW w:w="2040" w:type="pct"/>
            <w:shd w:val="clear" w:color="auto" w:fill="C6EFCE"/>
            <w:noWrap/>
            <w:vAlign w:val="center"/>
            <w:hideMark/>
          </w:tcPr>
          <w:p w14:paraId="054ADB0F"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Digital platforms for prisoners (I-4.09)</w:t>
            </w:r>
          </w:p>
        </w:tc>
        <w:tc>
          <w:tcPr>
            <w:tcW w:w="347" w:type="pct"/>
            <w:shd w:val="clear" w:color="auto" w:fill="C6EFCE"/>
            <w:noWrap/>
            <w:vAlign w:val="center"/>
            <w:hideMark/>
          </w:tcPr>
          <w:p w14:paraId="23C27BB5"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T</w:t>
            </w:r>
          </w:p>
        </w:tc>
        <w:tc>
          <w:tcPr>
            <w:tcW w:w="2224" w:type="pct"/>
            <w:shd w:val="clear" w:color="auto" w:fill="C6EFCE"/>
            <w:noWrap/>
            <w:vAlign w:val="center"/>
            <w:hideMark/>
          </w:tcPr>
          <w:p w14:paraId="77109D80"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Completion of roll-out</w:t>
            </w:r>
          </w:p>
        </w:tc>
      </w:tr>
      <w:tr w:rsidR="00232882" w:rsidRPr="001961AA" w14:paraId="71A996F7" w14:textId="77777777" w:rsidTr="001B6E83">
        <w:trPr>
          <w:trHeight w:val="315"/>
        </w:trPr>
        <w:tc>
          <w:tcPr>
            <w:tcW w:w="388" w:type="pct"/>
            <w:shd w:val="clear" w:color="auto" w:fill="C6EFCE"/>
            <w:noWrap/>
            <w:vAlign w:val="center"/>
            <w:hideMark/>
          </w:tcPr>
          <w:p w14:paraId="1F13EC8D"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148</w:t>
            </w:r>
          </w:p>
        </w:tc>
        <w:tc>
          <w:tcPr>
            <w:tcW w:w="2040" w:type="pct"/>
            <w:shd w:val="clear" w:color="auto" w:fill="C6EFCE"/>
            <w:noWrap/>
            <w:vAlign w:val="center"/>
            <w:hideMark/>
          </w:tcPr>
          <w:p w14:paraId="5A66A84D"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Gender and work (I-4.10)</w:t>
            </w:r>
          </w:p>
        </w:tc>
        <w:tc>
          <w:tcPr>
            <w:tcW w:w="347" w:type="pct"/>
            <w:shd w:val="clear" w:color="auto" w:fill="C6EFCE"/>
            <w:noWrap/>
            <w:vAlign w:val="center"/>
            <w:hideMark/>
          </w:tcPr>
          <w:p w14:paraId="2F536BF6"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T</w:t>
            </w:r>
          </w:p>
        </w:tc>
        <w:tc>
          <w:tcPr>
            <w:tcW w:w="2224" w:type="pct"/>
            <w:shd w:val="clear" w:color="auto" w:fill="C6EFCE"/>
            <w:noWrap/>
            <w:vAlign w:val="center"/>
            <w:hideMark/>
          </w:tcPr>
          <w:p w14:paraId="2E619BFA"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Participation of women to field-projects</w:t>
            </w:r>
          </w:p>
        </w:tc>
      </w:tr>
      <w:tr w:rsidR="00232882" w:rsidRPr="001961AA" w14:paraId="4EC52FB8" w14:textId="77777777" w:rsidTr="001B6E83">
        <w:trPr>
          <w:trHeight w:val="315"/>
        </w:trPr>
        <w:tc>
          <w:tcPr>
            <w:tcW w:w="388" w:type="pct"/>
            <w:shd w:val="clear" w:color="auto" w:fill="C6EFCE"/>
            <w:noWrap/>
            <w:vAlign w:val="center"/>
            <w:hideMark/>
          </w:tcPr>
          <w:p w14:paraId="12117712"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151</w:t>
            </w:r>
          </w:p>
        </w:tc>
        <w:tc>
          <w:tcPr>
            <w:tcW w:w="2040" w:type="pct"/>
            <w:shd w:val="clear" w:color="auto" w:fill="C6EFCE"/>
            <w:noWrap/>
            <w:vAlign w:val="center"/>
            <w:hideMark/>
          </w:tcPr>
          <w:p w14:paraId="4311B266"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Development of public utility housing and housing for vulnerable persons (I-4.12)</w:t>
            </w:r>
          </w:p>
        </w:tc>
        <w:tc>
          <w:tcPr>
            <w:tcW w:w="347" w:type="pct"/>
            <w:shd w:val="clear" w:color="auto" w:fill="C6EFCE"/>
            <w:noWrap/>
            <w:vAlign w:val="center"/>
            <w:hideMark/>
          </w:tcPr>
          <w:p w14:paraId="18F5CA20"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T</w:t>
            </w:r>
          </w:p>
        </w:tc>
        <w:tc>
          <w:tcPr>
            <w:tcW w:w="2224" w:type="pct"/>
            <w:shd w:val="clear" w:color="auto" w:fill="C6EFCE"/>
            <w:noWrap/>
            <w:vAlign w:val="center"/>
            <w:hideMark/>
          </w:tcPr>
          <w:p w14:paraId="2857E3A6"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Award of part of the works</w:t>
            </w:r>
          </w:p>
        </w:tc>
      </w:tr>
      <w:tr w:rsidR="00232882" w:rsidRPr="001961AA" w14:paraId="63205CC3" w14:textId="77777777" w:rsidTr="001B6E83">
        <w:trPr>
          <w:trHeight w:val="315"/>
        </w:trPr>
        <w:tc>
          <w:tcPr>
            <w:tcW w:w="388" w:type="pct"/>
            <w:shd w:val="clear" w:color="auto" w:fill="C6EFCE"/>
            <w:noWrap/>
            <w:vAlign w:val="center"/>
            <w:hideMark/>
          </w:tcPr>
          <w:p w14:paraId="7DC48C91"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158</w:t>
            </w:r>
          </w:p>
        </w:tc>
        <w:tc>
          <w:tcPr>
            <w:tcW w:w="2040" w:type="pct"/>
            <w:shd w:val="clear" w:color="auto" w:fill="C6EFCE"/>
            <w:noWrap/>
            <w:vAlign w:val="center"/>
            <w:hideMark/>
          </w:tcPr>
          <w:p w14:paraId="78519800"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Pension and end of career (R-4.07)</w:t>
            </w:r>
          </w:p>
        </w:tc>
        <w:tc>
          <w:tcPr>
            <w:tcW w:w="347" w:type="pct"/>
            <w:shd w:val="clear" w:color="auto" w:fill="C6EFCE"/>
            <w:noWrap/>
            <w:vAlign w:val="center"/>
            <w:hideMark/>
          </w:tcPr>
          <w:p w14:paraId="6D41259E"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w:t>
            </w:r>
          </w:p>
        </w:tc>
        <w:tc>
          <w:tcPr>
            <w:tcW w:w="2224" w:type="pct"/>
            <w:shd w:val="clear" w:color="auto" w:fill="C6EFCE"/>
            <w:noWrap/>
            <w:vAlign w:val="center"/>
            <w:hideMark/>
          </w:tcPr>
          <w:p w14:paraId="774D14B5"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Adoption of the pension reform</w:t>
            </w:r>
          </w:p>
        </w:tc>
      </w:tr>
      <w:tr w:rsidR="00232882" w:rsidRPr="001961AA" w14:paraId="4E1AFEF4" w14:textId="77777777" w:rsidTr="001B6E83">
        <w:trPr>
          <w:trHeight w:val="315"/>
        </w:trPr>
        <w:tc>
          <w:tcPr>
            <w:tcW w:w="388" w:type="pct"/>
            <w:shd w:val="clear" w:color="auto" w:fill="C6EFCE"/>
            <w:noWrap/>
            <w:vAlign w:val="center"/>
            <w:hideMark/>
          </w:tcPr>
          <w:p w14:paraId="6B938C2A"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165</w:t>
            </w:r>
          </w:p>
        </w:tc>
        <w:tc>
          <w:tcPr>
            <w:tcW w:w="2040" w:type="pct"/>
            <w:shd w:val="clear" w:color="auto" w:fill="C6EFCE"/>
            <w:noWrap/>
            <w:vAlign w:val="center"/>
            <w:hideMark/>
          </w:tcPr>
          <w:p w14:paraId="1675139B"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Learning and career-offensive (I-5.04)</w:t>
            </w:r>
          </w:p>
        </w:tc>
        <w:tc>
          <w:tcPr>
            <w:tcW w:w="347" w:type="pct"/>
            <w:shd w:val="clear" w:color="auto" w:fill="C6EFCE"/>
            <w:noWrap/>
            <w:vAlign w:val="center"/>
            <w:hideMark/>
          </w:tcPr>
          <w:p w14:paraId="247DEDF6"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T</w:t>
            </w:r>
          </w:p>
        </w:tc>
        <w:tc>
          <w:tcPr>
            <w:tcW w:w="2224" w:type="pct"/>
            <w:shd w:val="clear" w:color="auto" w:fill="C6EFCE"/>
            <w:noWrap/>
            <w:vAlign w:val="center"/>
            <w:hideMark/>
          </w:tcPr>
          <w:p w14:paraId="0E1EC93E"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 xml:space="preserve">Support to enterprises in Flanders via competency checks and calls for projects </w:t>
            </w:r>
          </w:p>
        </w:tc>
      </w:tr>
      <w:tr w:rsidR="00232882" w:rsidRPr="001961AA" w14:paraId="354608F3" w14:textId="77777777" w:rsidTr="001B6E83">
        <w:trPr>
          <w:trHeight w:val="315"/>
        </w:trPr>
        <w:tc>
          <w:tcPr>
            <w:tcW w:w="388" w:type="pct"/>
            <w:shd w:val="clear" w:color="auto" w:fill="C6EFCE"/>
            <w:noWrap/>
            <w:vAlign w:val="center"/>
            <w:hideMark/>
          </w:tcPr>
          <w:p w14:paraId="7CB3AFA7"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166</w:t>
            </w:r>
          </w:p>
        </w:tc>
        <w:tc>
          <w:tcPr>
            <w:tcW w:w="2040" w:type="pct"/>
            <w:shd w:val="clear" w:color="auto" w:fill="C6EFCE"/>
            <w:noWrap/>
            <w:vAlign w:val="center"/>
            <w:hideMark/>
          </w:tcPr>
          <w:p w14:paraId="146691C8"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Strategy for relaunching the labour market focused on the efficiency and optimisation of activation and training policies (I-5.05)</w:t>
            </w:r>
          </w:p>
        </w:tc>
        <w:tc>
          <w:tcPr>
            <w:tcW w:w="347" w:type="pct"/>
            <w:shd w:val="clear" w:color="auto" w:fill="C6EFCE"/>
            <w:noWrap/>
            <w:vAlign w:val="center"/>
            <w:hideMark/>
          </w:tcPr>
          <w:p w14:paraId="3DF35FBA"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T</w:t>
            </w:r>
          </w:p>
        </w:tc>
        <w:tc>
          <w:tcPr>
            <w:tcW w:w="2224" w:type="pct"/>
            <w:shd w:val="clear" w:color="auto" w:fill="C6EFCE"/>
            <w:noWrap/>
            <w:vAlign w:val="center"/>
            <w:hideMark/>
          </w:tcPr>
          <w:p w14:paraId="3CAC33A5"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Activation support to job seekers and workers in Brussels</w:t>
            </w:r>
          </w:p>
        </w:tc>
      </w:tr>
      <w:tr w:rsidR="00232882" w:rsidRPr="001961AA" w14:paraId="57CB6C6D" w14:textId="77777777" w:rsidTr="001B6E83">
        <w:trPr>
          <w:trHeight w:val="315"/>
        </w:trPr>
        <w:tc>
          <w:tcPr>
            <w:tcW w:w="388" w:type="pct"/>
            <w:shd w:val="clear" w:color="auto" w:fill="C6EFCE"/>
            <w:noWrap/>
            <w:vAlign w:val="center"/>
            <w:hideMark/>
          </w:tcPr>
          <w:p w14:paraId="5AD21B1B"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170</w:t>
            </w:r>
          </w:p>
        </w:tc>
        <w:tc>
          <w:tcPr>
            <w:tcW w:w="2040" w:type="pct"/>
            <w:shd w:val="clear" w:color="auto" w:fill="C6EFCE"/>
            <w:noWrap/>
            <w:vAlign w:val="center"/>
            <w:hideMark/>
          </w:tcPr>
          <w:p w14:paraId="4966C9ED"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Digital Skills (I-5.06)</w:t>
            </w:r>
          </w:p>
        </w:tc>
        <w:tc>
          <w:tcPr>
            <w:tcW w:w="347" w:type="pct"/>
            <w:shd w:val="clear" w:color="auto" w:fill="C6EFCE"/>
            <w:noWrap/>
            <w:vAlign w:val="center"/>
            <w:hideMark/>
          </w:tcPr>
          <w:p w14:paraId="075D7140"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w:t>
            </w:r>
          </w:p>
        </w:tc>
        <w:tc>
          <w:tcPr>
            <w:tcW w:w="2224" w:type="pct"/>
            <w:shd w:val="clear" w:color="auto" w:fill="C6EFCE"/>
            <w:noWrap/>
            <w:vAlign w:val="center"/>
            <w:hideMark/>
          </w:tcPr>
          <w:p w14:paraId="26CE6A29"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Digital tools and services to citizens, employers and the Flemish Public Employment Service (VDAB) partners fully deployed in Flanders</w:t>
            </w:r>
          </w:p>
        </w:tc>
      </w:tr>
      <w:tr w:rsidR="00232882" w:rsidRPr="001961AA" w14:paraId="2ED63F5A" w14:textId="77777777" w:rsidTr="001B6E83">
        <w:trPr>
          <w:trHeight w:val="315"/>
        </w:trPr>
        <w:tc>
          <w:tcPr>
            <w:tcW w:w="388" w:type="pct"/>
            <w:shd w:val="clear" w:color="auto" w:fill="C6EFCE"/>
            <w:noWrap/>
            <w:vAlign w:val="center"/>
            <w:hideMark/>
          </w:tcPr>
          <w:p w14:paraId="320B8104"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180</w:t>
            </w:r>
          </w:p>
        </w:tc>
        <w:tc>
          <w:tcPr>
            <w:tcW w:w="2040" w:type="pct"/>
            <w:shd w:val="clear" w:color="auto" w:fill="C6EFCE"/>
            <w:noWrap/>
            <w:vAlign w:val="center"/>
            <w:hideMark/>
          </w:tcPr>
          <w:p w14:paraId="7E61541C"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Nuclear medicine (I-5.08)</w:t>
            </w:r>
          </w:p>
        </w:tc>
        <w:tc>
          <w:tcPr>
            <w:tcW w:w="347" w:type="pct"/>
            <w:shd w:val="clear" w:color="auto" w:fill="C6EFCE"/>
            <w:noWrap/>
            <w:vAlign w:val="center"/>
            <w:hideMark/>
          </w:tcPr>
          <w:p w14:paraId="76E4B852"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w:t>
            </w:r>
          </w:p>
        </w:tc>
        <w:tc>
          <w:tcPr>
            <w:tcW w:w="2224" w:type="pct"/>
            <w:shd w:val="clear" w:color="auto" w:fill="C6EFCE"/>
            <w:noWrap/>
            <w:vAlign w:val="center"/>
            <w:hideMark/>
          </w:tcPr>
          <w:p w14:paraId="3F800F42"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Technology package finalised</w:t>
            </w:r>
          </w:p>
        </w:tc>
      </w:tr>
      <w:tr w:rsidR="00232882" w:rsidRPr="001961AA" w14:paraId="1053C03C" w14:textId="77777777" w:rsidTr="001B6E83">
        <w:trPr>
          <w:trHeight w:val="315"/>
        </w:trPr>
        <w:tc>
          <w:tcPr>
            <w:tcW w:w="388" w:type="pct"/>
            <w:shd w:val="clear" w:color="auto" w:fill="C6EFCE"/>
            <w:noWrap/>
            <w:vAlign w:val="center"/>
            <w:hideMark/>
          </w:tcPr>
          <w:p w14:paraId="6C493A82"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188</w:t>
            </w:r>
          </w:p>
        </w:tc>
        <w:tc>
          <w:tcPr>
            <w:tcW w:w="2040" w:type="pct"/>
            <w:shd w:val="clear" w:color="auto" w:fill="C6EFCE"/>
            <w:noWrap/>
            <w:vAlign w:val="center"/>
            <w:hideMark/>
          </w:tcPr>
          <w:p w14:paraId="50566CC2"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Relocation of food and development of logistics platforms (I-5.12)</w:t>
            </w:r>
          </w:p>
        </w:tc>
        <w:tc>
          <w:tcPr>
            <w:tcW w:w="347" w:type="pct"/>
            <w:shd w:val="clear" w:color="auto" w:fill="C6EFCE"/>
            <w:noWrap/>
            <w:vAlign w:val="center"/>
            <w:hideMark/>
          </w:tcPr>
          <w:p w14:paraId="1E973F19"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w:t>
            </w:r>
          </w:p>
        </w:tc>
        <w:tc>
          <w:tcPr>
            <w:tcW w:w="2224" w:type="pct"/>
            <w:shd w:val="clear" w:color="auto" w:fill="C6EFCE"/>
            <w:noWrap/>
            <w:vAlign w:val="center"/>
            <w:hideMark/>
          </w:tcPr>
          <w:p w14:paraId="2B5C55C9" w14:textId="6955AC30"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Award of public works contracts by the 2 intermunicipal companies (SPI, IGRETEC) for the construction of infrastructure for the food sector</w:t>
            </w:r>
          </w:p>
        </w:tc>
      </w:tr>
      <w:tr w:rsidR="00232882" w:rsidRPr="001961AA" w14:paraId="342B3D91" w14:textId="77777777" w:rsidTr="001B6E83">
        <w:trPr>
          <w:trHeight w:val="315"/>
        </w:trPr>
        <w:tc>
          <w:tcPr>
            <w:tcW w:w="388" w:type="pct"/>
            <w:shd w:val="clear" w:color="auto" w:fill="C6EFCE"/>
            <w:noWrap/>
            <w:vAlign w:val="center"/>
            <w:hideMark/>
          </w:tcPr>
          <w:p w14:paraId="78028AD2"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199</w:t>
            </w:r>
          </w:p>
        </w:tc>
        <w:tc>
          <w:tcPr>
            <w:tcW w:w="2040" w:type="pct"/>
            <w:shd w:val="clear" w:color="auto" w:fill="C6EFCE"/>
            <w:noWrap/>
            <w:vAlign w:val="center"/>
            <w:hideMark/>
          </w:tcPr>
          <w:p w14:paraId="14949001"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Belgium Builds Back Circular (I-5.15)</w:t>
            </w:r>
          </w:p>
        </w:tc>
        <w:tc>
          <w:tcPr>
            <w:tcW w:w="347" w:type="pct"/>
            <w:shd w:val="clear" w:color="auto" w:fill="C6EFCE"/>
            <w:noWrap/>
            <w:vAlign w:val="center"/>
            <w:hideMark/>
          </w:tcPr>
          <w:p w14:paraId="226537A1"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w:t>
            </w:r>
          </w:p>
        </w:tc>
        <w:tc>
          <w:tcPr>
            <w:tcW w:w="2224" w:type="pct"/>
            <w:shd w:val="clear" w:color="auto" w:fill="C6EFCE"/>
            <w:noWrap/>
            <w:vAlign w:val="center"/>
            <w:hideMark/>
          </w:tcPr>
          <w:p w14:paraId="2013D6FC"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Award of public contracts for circular projects</w:t>
            </w:r>
          </w:p>
        </w:tc>
      </w:tr>
      <w:tr w:rsidR="00232882" w:rsidRPr="001961AA" w14:paraId="203388A8" w14:textId="77777777" w:rsidTr="001B6E83">
        <w:trPr>
          <w:trHeight w:val="315"/>
        </w:trPr>
        <w:tc>
          <w:tcPr>
            <w:tcW w:w="388" w:type="pct"/>
            <w:shd w:val="clear" w:color="auto" w:fill="C6EFCE"/>
            <w:noWrap/>
            <w:vAlign w:val="center"/>
            <w:hideMark/>
          </w:tcPr>
          <w:p w14:paraId="79E5AA1B"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208</w:t>
            </w:r>
          </w:p>
        </w:tc>
        <w:tc>
          <w:tcPr>
            <w:tcW w:w="2040" w:type="pct"/>
            <w:shd w:val="clear" w:color="auto" w:fill="C6EFCE"/>
            <w:noWrap/>
            <w:vAlign w:val="center"/>
            <w:hideMark/>
          </w:tcPr>
          <w:p w14:paraId="7ABBC41E"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Spending reviews (R-6)</w:t>
            </w:r>
          </w:p>
        </w:tc>
        <w:tc>
          <w:tcPr>
            <w:tcW w:w="347" w:type="pct"/>
            <w:shd w:val="clear" w:color="auto" w:fill="C6EFCE"/>
            <w:noWrap/>
            <w:vAlign w:val="center"/>
            <w:hideMark/>
          </w:tcPr>
          <w:p w14:paraId="105FABE9"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w:t>
            </w:r>
          </w:p>
        </w:tc>
        <w:tc>
          <w:tcPr>
            <w:tcW w:w="2224" w:type="pct"/>
            <w:shd w:val="clear" w:color="auto" w:fill="C6EFCE"/>
            <w:noWrap/>
            <w:vAlign w:val="center"/>
            <w:hideMark/>
          </w:tcPr>
          <w:p w14:paraId="4152CA9C"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Spending review ex-post analysis</w:t>
            </w:r>
          </w:p>
        </w:tc>
      </w:tr>
      <w:tr w:rsidR="00232882" w:rsidRPr="001961AA" w14:paraId="4642CC13" w14:textId="77777777" w:rsidTr="001B6E83">
        <w:trPr>
          <w:trHeight w:val="315"/>
        </w:trPr>
        <w:tc>
          <w:tcPr>
            <w:tcW w:w="388" w:type="pct"/>
            <w:shd w:val="clear" w:color="auto" w:fill="C6EFCE"/>
            <w:noWrap/>
            <w:vAlign w:val="center"/>
            <w:hideMark/>
          </w:tcPr>
          <w:p w14:paraId="740E6188"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211</w:t>
            </w:r>
          </w:p>
        </w:tc>
        <w:tc>
          <w:tcPr>
            <w:tcW w:w="2040" w:type="pct"/>
            <w:shd w:val="clear" w:color="auto" w:fill="C6EFCE"/>
            <w:noWrap/>
            <w:vAlign w:val="center"/>
            <w:hideMark/>
          </w:tcPr>
          <w:p w14:paraId="66C089B4"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Revision of the code on air, climate and energy - RBC (R-7.01)</w:t>
            </w:r>
          </w:p>
        </w:tc>
        <w:tc>
          <w:tcPr>
            <w:tcW w:w="347" w:type="pct"/>
            <w:shd w:val="clear" w:color="auto" w:fill="C6EFCE"/>
            <w:noWrap/>
            <w:vAlign w:val="center"/>
            <w:hideMark/>
          </w:tcPr>
          <w:p w14:paraId="036F9C6E"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w:t>
            </w:r>
          </w:p>
        </w:tc>
        <w:tc>
          <w:tcPr>
            <w:tcW w:w="2224" w:type="pct"/>
            <w:shd w:val="clear" w:color="auto" w:fill="C6EFCE"/>
            <w:noWrap/>
            <w:vAlign w:val="center"/>
            <w:hideMark/>
          </w:tcPr>
          <w:p w14:paraId="6BD0D9DC"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New obligations for building renovation</w:t>
            </w:r>
          </w:p>
        </w:tc>
      </w:tr>
      <w:tr w:rsidR="00232882" w:rsidRPr="001961AA" w14:paraId="14A36A2F" w14:textId="77777777" w:rsidTr="001B6E83">
        <w:trPr>
          <w:trHeight w:val="315"/>
        </w:trPr>
        <w:tc>
          <w:tcPr>
            <w:tcW w:w="388" w:type="pct"/>
            <w:shd w:val="clear" w:color="auto" w:fill="C6EFCE"/>
            <w:noWrap/>
            <w:vAlign w:val="center"/>
            <w:hideMark/>
          </w:tcPr>
          <w:p w14:paraId="0B9BD830"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212</w:t>
            </w:r>
          </w:p>
        </w:tc>
        <w:tc>
          <w:tcPr>
            <w:tcW w:w="2040" w:type="pct"/>
            <w:shd w:val="clear" w:color="auto" w:fill="C6EFCE"/>
            <w:noWrap/>
            <w:vAlign w:val="center"/>
            <w:hideMark/>
          </w:tcPr>
          <w:p w14:paraId="74C15066"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Improved energy subsidy scheme- RBC (I-7.01)</w:t>
            </w:r>
          </w:p>
        </w:tc>
        <w:tc>
          <w:tcPr>
            <w:tcW w:w="347" w:type="pct"/>
            <w:shd w:val="clear" w:color="auto" w:fill="C6EFCE"/>
            <w:noWrap/>
            <w:vAlign w:val="center"/>
            <w:hideMark/>
          </w:tcPr>
          <w:p w14:paraId="37364447"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T</w:t>
            </w:r>
          </w:p>
        </w:tc>
        <w:tc>
          <w:tcPr>
            <w:tcW w:w="2224" w:type="pct"/>
            <w:shd w:val="clear" w:color="auto" w:fill="C6EFCE"/>
            <w:noWrap/>
            <w:vAlign w:val="center"/>
            <w:hideMark/>
          </w:tcPr>
          <w:p w14:paraId="37E62EEF"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Energy grants for low-income households</w:t>
            </w:r>
          </w:p>
        </w:tc>
      </w:tr>
      <w:tr w:rsidR="00232882" w:rsidRPr="001961AA" w14:paraId="3BE07B82" w14:textId="77777777" w:rsidTr="001B6E83">
        <w:trPr>
          <w:trHeight w:val="315"/>
        </w:trPr>
        <w:tc>
          <w:tcPr>
            <w:tcW w:w="388" w:type="pct"/>
            <w:shd w:val="clear" w:color="auto" w:fill="C6EFCE"/>
            <w:noWrap/>
            <w:vAlign w:val="center"/>
            <w:hideMark/>
          </w:tcPr>
          <w:p w14:paraId="5C2D3B01"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214</w:t>
            </w:r>
          </w:p>
        </w:tc>
        <w:tc>
          <w:tcPr>
            <w:tcW w:w="2040" w:type="pct"/>
            <w:shd w:val="clear" w:color="auto" w:fill="C6EFCE"/>
            <w:noWrap/>
            <w:vAlign w:val="center"/>
            <w:hideMark/>
          </w:tcPr>
          <w:p w14:paraId="4E3D7C77" w14:textId="1BA77F30"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Energy grants - German-speaking Community (I-7.03)</w:t>
            </w:r>
          </w:p>
        </w:tc>
        <w:tc>
          <w:tcPr>
            <w:tcW w:w="347" w:type="pct"/>
            <w:shd w:val="clear" w:color="auto" w:fill="C6EFCE"/>
            <w:noWrap/>
            <w:vAlign w:val="center"/>
            <w:hideMark/>
          </w:tcPr>
          <w:p w14:paraId="27DCB8AC"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T</w:t>
            </w:r>
          </w:p>
        </w:tc>
        <w:tc>
          <w:tcPr>
            <w:tcW w:w="2224" w:type="pct"/>
            <w:shd w:val="clear" w:color="auto" w:fill="C6EFCE"/>
            <w:noWrap/>
            <w:vAlign w:val="center"/>
            <w:hideMark/>
          </w:tcPr>
          <w:p w14:paraId="59A57759"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Renovation of private housing</w:t>
            </w:r>
          </w:p>
        </w:tc>
      </w:tr>
      <w:tr w:rsidR="00232882" w:rsidRPr="001961AA" w14:paraId="45D07658" w14:textId="77777777" w:rsidTr="001B6E83">
        <w:trPr>
          <w:trHeight w:val="315"/>
        </w:trPr>
        <w:tc>
          <w:tcPr>
            <w:tcW w:w="388" w:type="pct"/>
            <w:shd w:val="clear" w:color="auto" w:fill="C6EFCE"/>
            <w:noWrap/>
            <w:vAlign w:val="center"/>
            <w:hideMark/>
          </w:tcPr>
          <w:p w14:paraId="2DEEEC77"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219</w:t>
            </w:r>
          </w:p>
        </w:tc>
        <w:tc>
          <w:tcPr>
            <w:tcW w:w="2040" w:type="pct"/>
            <w:shd w:val="clear" w:color="auto" w:fill="C6EFCE"/>
            <w:noWrap/>
            <w:vAlign w:val="center"/>
            <w:hideMark/>
          </w:tcPr>
          <w:p w14:paraId="41F25A96"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Research platform for energy transition (I-7.11)</w:t>
            </w:r>
          </w:p>
        </w:tc>
        <w:tc>
          <w:tcPr>
            <w:tcW w:w="347" w:type="pct"/>
            <w:shd w:val="clear" w:color="auto" w:fill="C6EFCE"/>
            <w:noWrap/>
            <w:vAlign w:val="center"/>
            <w:hideMark/>
          </w:tcPr>
          <w:p w14:paraId="0989FFAB"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w:t>
            </w:r>
          </w:p>
        </w:tc>
        <w:tc>
          <w:tcPr>
            <w:tcW w:w="2224" w:type="pct"/>
            <w:shd w:val="clear" w:color="auto" w:fill="C6EFCE"/>
            <w:noWrap/>
            <w:vAlign w:val="center"/>
            <w:hideMark/>
          </w:tcPr>
          <w:p w14:paraId="0E21E810"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Release of public tenders for equipment</w:t>
            </w:r>
          </w:p>
        </w:tc>
      </w:tr>
      <w:tr w:rsidR="00232882" w:rsidRPr="001961AA" w14:paraId="6943CF38" w14:textId="77777777" w:rsidTr="001B6E83">
        <w:trPr>
          <w:trHeight w:val="315"/>
        </w:trPr>
        <w:tc>
          <w:tcPr>
            <w:tcW w:w="388" w:type="pct"/>
            <w:shd w:val="clear" w:color="auto" w:fill="C6EFCE"/>
            <w:noWrap/>
            <w:vAlign w:val="center"/>
            <w:hideMark/>
          </w:tcPr>
          <w:p w14:paraId="6958E136"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221</w:t>
            </w:r>
          </w:p>
        </w:tc>
        <w:tc>
          <w:tcPr>
            <w:tcW w:w="2040" w:type="pct"/>
            <w:shd w:val="clear" w:color="auto" w:fill="C6EFCE"/>
            <w:noWrap/>
            <w:vAlign w:val="center"/>
            <w:hideMark/>
          </w:tcPr>
          <w:p w14:paraId="11C4CD41"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Energy import infrastructure (I-7.12)</w:t>
            </w:r>
          </w:p>
        </w:tc>
        <w:tc>
          <w:tcPr>
            <w:tcW w:w="347" w:type="pct"/>
            <w:shd w:val="clear" w:color="auto" w:fill="C6EFCE"/>
            <w:noWrap/>
            <w:vAlign w:val="center"/>
            <w:hideMark/>
          </w:tcPr>
          <w:p w14:paraId="4602FB06"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w:t>
            </w:r>
          </w:p>
        </w:tc>
        <w:tc>
          <w:tcPr>
            <w:tcW w:w="2224" w:type="pct"/>
            <w:shd w:val="clear" w:color="auto" w:fill="C6EFCE"/>
            <w:noWrap/>
            <w:vAlign w:val="center"/>
            <w:hideMark/>
          </w:tcPr>
          <w:p w14:paraId="7B64E8CC"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Award of contracts under the call for projects</w:t>
            </w:r>
          </w:p>
        </w:tc>
      </w:tr>
      <w:tr w:rsidR="00B70459" w:rsidRPr="001961AA" w14:paraId="0DC91251" w14:textId="77777777" w:rsidTr="001B6E83">
        <w:trPr>
          <w:trHeight w:val="315"/>
        </w:trPr>
        <w:tc>
          <w:tcPr>
            <w:tcW w:w="388" w:type="pct"/>
            <w:shd w:val="clear" w:color="auto" w:fill="C6EFCE"/>
            <w:noWrap/>
            <w:vAlign w:val="center"/>
          </w:tcPr>
          <w:p w14:paraId="7E60ADE7" w14:textId="275BC1C6" w:rsidR="00B70459" w:rsidRPr="001961AA" w:rsidRDefault="00B70459" w:rsidP="00B70459">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223</w:t>
            </w:r>
          </w:p>
        </w:tc>
        <w:tc>
          <w:tcPr>
            <w:tcW w:w="2040" w:type="pct"/>
            <w:shd w:val="clear" w:color="auto" w:fill="C6EFCE"/>
            <w:noWrap/>
            <w:vAlign w:val="center"/>
          </w:tcPr>
          <w:p w14:paraId="5DFC7791" w14:textId="0625A0D3" w:rsidR="00B70459" w:rsidRPr="001961AA" w:rsidRDefault="00B70459" w:rsidP="00B70459">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Call for the decarbonisation of industry (I-7.13)</w:t>
            </w:r>
          </w:p>
        </w:tc>
        <w:tc>
          <w:tcPr>
            <w:tcW w:w="347" w:type="pct"/>
            <w:shd w:val="clear" w:color="auto" w:fill="C6EFCE"/>
            <w:noWrap/>
            <w:vAlign w:val="center"/>
          </w:tcPr>
          <w:p w14:paraId="3983F13C" w14:textId="6C977499" w:rsidR="00B70459" w:rsidRPr="001961AA" w:rsidRDefault="00B70459" w:rsidP="00B70459">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w:t>
            </w:r>
          </w:p>
        </w:tc>
        <w:tc>
          <w:tcPr>
            <w:tcW w:w="2224" w:type="pct"/>
            <w:shd w:val="clear" w:color="auto" w:fill="C6EFCE"/>
            <w:noWrap/>
            <w:vAlign w:val="center"/>
          </w:tcPr>
          <w:p w14:paraId="15CA526E" w14:textId="553CAC5D" w:rsidR="00B70459" w:rsidRPr="001961AA" w:rsidRDefault="00B06ECF" w:rsidP="00B70459">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Award of contracts under the call for projects</w:t>
            </w:r>
          </w:p>
        </w:tc>
      </w:tr>
      <w:tr w:rsidR="00FE65C1" w:rsidRPr="001961AA" w14:paraId="2FC67D5C" w14:textId="77777777" w:rsidTr="003225F7">
        <w:trPr>
          <w:trHeight w:val="315"/>
        </w:trPr>
        <w:tc>
          <w:tcPr>
            <w:tcW w:w="388" w:type="pct"/>
            <w:shd w:val="clear" w:color="auto" w:fill="C6EFCE"/>
            <w:noWrap/>
            <w:vAlign w:val="center"/>
          </w:tcPr>
          <w:p w14:paraId="23CDF039" w14:textId="77A5EA8B" w:rsidR="00FE65C1" w:rsidRPr="001961AA" w:rsidRDefault="00FE65C1" w:rsidP="00B70459">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228</w:t>
            </w:r>
          </w:p>
        </w:tc>
        <w:tc>
          <w:tcPr>
            <w:tcW w:w="2040" w:type="pct"/>
            <w:shd w:val="clear" w:color="auto" w:fill="C6EFCE"/>
            <w:noWrap/>
            <w:vAlign w:val="center"/>
          </w:tcPr>
          <w:p w14:paraId="2E856F3C" w14:textId="66C34CAC" w:rsidR="00FE65C1" w:rsidRPr="001961AA" w:rsidRDefault="00FE65C1" w:rsidP="00B70459">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Appeal procedure to the State Council (R-7.02)</w:t>
            </w:r>
          </w:p>
        </w:tc>
        <w:tc>
          <w:tcPr>
            <w:tcW w:w="347" w:type="pct"/>
            <w:shd w:val="clear" w:color="auto" w:fill="C6EFCE"/>
            <w:noWrap/>
            <w:vAlign w:val="center"/>
          </w:tcPr>
          <w:p w14:paraId="500910EF" w14:textId="210AFAAA" w:rsidR="00FE65C1" w:rsidRPr="001961AA" w:rsidRDefault="00FE65C1" w:rsidP="00B70459">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w:t>
            </w:r>
          </w:p>
        </w:tc>
        <w:tc>
          <w:tcPr>
            <w:tcW w:w="2224" w:type="pct"/>
            <w:shd w:val="clear" w:color="auto" w:fill="C6EFCE"/>
            <w:noWrap/>
            <w:vAlign w:val="center"/>
          </w:tcPr>
          <w:p w14:paraId="06DB8D40" w14:textId="7ECE6A84" w:rsidR="00FE65C1" w:rsidRPr="001961AA" w:rsidRDefault="00A23BFB" w:rsidP="00B70459">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Entry into force of legislation</w:t>
            </w:r>
          </w:p>
        </w:tc>
      </w:tr>
      <w:tr w:rsidR="00B70459" w:rsidRPr="001961AA" w14:paraId="4201D475" w14:textId="77777777" w:rsidTr="001B6E83">
        <w:trPr>
          <w:trHeight w:val="315"/>
        </w:trPr>
        <w:tc>
          <w:tcPr>
            <w:tcW w:w="388" w:type="pct"/>
            <w:shd w:val="clear" w:color="auto" w:fill="C6EFCE"/>
            <w:noWrap/>
            <w:vAlign w:val="center"/>
            <w:hideMark/>
          </w:tcPr>
          <w:p w14:paraId="60CB862E" w14:textId="77777777" w:rsidR="00B70459" w:rsidRPr="001961AA" w:rsidRDefault="00B70459" w:rsidP="00B70459">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230</w:t>
            </w:r>
          </w:p>
        </w:tc>
        <w:tc>
          <w:tcPr>
            <w:tcW w:w="2040" w:type="pct"/>
            <w:shd w:val="clear" w:color="auto" w:fill="C6EFCE"/>
            <w:noWrap/>
            <w:vAlign w:val="center"/>
            <w:hideMark/>
          </w:tcPr>
          <w:p w14:paraId="7AE76D5F" w14:textId="77777777" w:rsidR="00B70459" w:rsidRPr="001961AA" w:rsidRDefault="00B70459" w:rsidP="00B70459">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Acceleration of the energy transition (R-7.04)</w:t>
            </w:r>
          </w:p>
        </w:tc>
        <w:tc>
          <w:tcPr>
            <w:tcW w:w="347" w:type="pct"/>
            <w:shd w:val="clear" w:color="auto" w:fill="C6EFCE"/>
            <w:noWrap/>
            <w:vAlign w:val="center"/>
            <w:hideMark/>
          </w:tcPr>
          <w:p w14:paraId="1B5BCD79" w14:textId="77777777" w:rsidR="00B70459" w:rsidRPr="001961AA" w:rsidRDefault="00B70459" w:rsidP="00B70459">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w:t>
            </w:r>
          </w:p>
        </w:tc>
        <w:tc>
          <w:tcPr>
            <w:tcW w:w="2224" w:type="pct"/>
            <w:shd w:val="clear" w:color="auto" w:fill="C6EFCE"/>
            <w:noWrap/>
            <w:vAlign w:val="center"/>
            <w:hideMark/>
          </w:tcPr>
          <w:p w14:paraId="2BE66D74" w14:textId="77777777" w:rsidR="00B70459" w:rsidRPr="001961AA" w:rsidRDefault="00B70459" w:rsidP="00B70459">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Entry into force of legislation</w:t>
            </w:r>
          </w:p>
        </w:tc>
      </w:tr>
      <w:tr w:rsidR="00B70459" w:rsidRPr="001961AA" w14:paraId="1BF28558" w14:textId="77777777" w:rsidTr="001B6E83">
        <w:trPr>
          <w:trHeight w:val="315"/>
        </w:trPr>
        <w:tc>
          <w:tcPr>
            <w:tcW w:w="388" w:type="pct"/>
            <w:shd w:val="clear" w:color="auto" w:fill="C6EFCE"/>
            <w:noWrap/>
            <w:vAlign w:val="center"/>
          </w:tcPr>
          <w:p w14:paraId="36F2FA7C" w14:textId="77777777" w:rsidR="00B70459" w:rsidRPr="001961AA" w:rsidRDefault="00B70459" w:rsidP="00B70459">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233</w:t>
            </w:r>
          </w:p>
        </w:tc>
        <w:tc>
          <w:tcPr>
            <w:tcW w:w="2040" w:type="pct"/>
            <w:shd w:val="clear" w:color="auto" w:fill="C6EFCE"/>
            <w:noWrap/>
            <w:vAlign w:val="center"/>
          </w:tcPr>
          <w:p w14:paraId="22802E28" w14:textId="77777777" w:rsidR="00B70459" w:rsidRPr="001961AA" w:rsidRDefault="00B70459" w:rsidP="00B70459">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Optimization of energy distribution (I-7.17)</w:t>
            </w:r>
          </w:p>
        </w:tc>
        <w:tc>
          <w:tcPr>
            <w:tcW w:w="347" w:type="pct"/>
            <w:shd w:val="clear" w:color="auto" w:fill="C6EFCE"/>
            <w:noWrap/>
            <w:vAlign w:val="center"/>
          </w:tcPr>
          <w:p w14:paraId="2A777678" w14:textId="77777777" w:rsidR="00B70459" w:rsidRPr="001961AA" w:rsidRDefault="00B70459" w:rsidP="00B70459">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w:t>
            </w:r>
          </w:p>
        </w:tc>
        <w:tc>
          <w:tcPr>
            <w:tcW w:w="2224" w:type="pct"/>
            <w:shd w:val="clear" w:color="auto" w:fill="C6EFCE"/>
            <w:noWrap/>
            <w:vAlign w:val="center"/>
          </w:tcPr>
          <w:p w14:paraId="4408AD70" w14:textId="77777777" w:rsidR="00B70459" w:rsidRPr="001961AA" w:rsidRDefault="00B70459" w:rsidP="00B70459">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Award of subsidies to the two main electricity network operators in the Walloon Region</w:t>
            </w:r>
          </w:p>
        </w:tc>
      </w:tr>
      <w:tr w:rsidR="00B70459" w:rsidRPr="001961AA" w14:paraId="5444A108" w14:textId="77777777" w:rsidTr="001B6E83">
        <w:trPr>
          <w:trHeight w:val="315"/>
        </w:trPr>
        <w:tc>
          <w:tcPr>
            <w:tcW w:w="388" w:type="pct"/>
            <w:shd w:val="clear" w:color="auto" w:fill="C6EFCE"/>
            <w:noWrap/>
            <w:vAlign w:val="center"/>
            <w:hideMark/>
          </w:tcPr>
          <w:p w14:paraId="5B4053C2" w14:textId="77777777" w:rsidR="00B70459" w:rsidRPr="001961AA" w:rsidRDefault="00B70459" w:rsidP="00B70459">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235</w:t>
            </w:r>
          </w:p>
        </w:tc>
        <w:tc>
          <w:tcPr>
            <w:tcW w:w="2040" w:type="pct"/>
            <w:shd w:val="clear" w:color="auto" w:fill="C6EFCE"/>
            <w:noWrap/>
            <w:vAlign w:val="center"/>
            <w:hideMark/>
          </w:tcPr>
          <w:p w14:paraId="4DDA2FB6" w14:textId="77777777" w:rsidR="00B70459" w:rsidRPr="001961AA" w:rsidRDefault="00B70459" w:rsidP="00B70459">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Call for innovative renewable energy production initiatives (I-7.18)</w:t>
            </w:r>
          </w:p>
        </w:tc>
        <w:tc>
          <w:tcPr>
            <w:tcW w:w="347" w:type="pct"/>
            <w:shd w:val="clear" w:color="auto" w:fill="C6EFCE"/>
            <w:noWrap/>
            <w:vAlign w:val="center"/>
            <w:hideMark/>
          </w:tcPr>
          <w:p w14:paraId="46654B15" w14:textId="77777777" w:rsidR="00B70459" w:rsidRPr="001961AA" w:rsidRDefault="00B70459" w:rsidP="00B70459">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w:t>
            </w:r>
          </w:p>
        </w:tc>
        <w:tc>
          <w:tcPr>
            <w:tcW w:w="2224" w:type="pct"/>
            <w:shd w:val="clear" w:color="auto" w:fill="C6EFCE"/>
            <w:noWrap/>
            <w:vAlign w:val="center"/>
            <w:hideMark/>
          </w:tcPr>
          <w:p w14:paraId="36FE4909" w14:textId="77777777" w:rsidR="00B70459" w:rsidRPr="001961AA" w:rsidRDefault="00B70459" w:rsidP="00B70459">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Award of contracts under the calls for projects</w:t>
            </w:r>
          </w:p>
        </w:tc>
      </w:tr>
      <w:tr w:rsidR="00B70459" w:rsidRPr="001961AA" w14:paraId="7C2E77BD" w14:textId="77777777" w:rsidTr="001B6E83">
        <w:trPr>
          <w:trHeight w:val="315"/>
        </w:trPr>
        <w:tc>
          <w:tcPr>
            <w:tcW w:w="388" w:type="pct"/>
            <w:shd w:val="clear" w:color="auto" w:fill="C6EFCE"/>
            <w:noWrap/>
            <w:vAlign w:val="center"/>
            <w:hideMark/>
          </w:tcPr>
          <w:p w14:paraId="67E283AD" w14:textId="77777777" w:rsidR="00B70459" w:rsidRPr="001961AA" w:rsidRDefault="00B70459" w:rsidP="00B70459">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248</w:t>
            </w:r>
          </w:p>
        </w:tc>
        <w:tc>
          <w:tcPr>
            <w:tcW w:w="2040" w:type="pct"/>
            <w:shd w:val="clear" w:color="auto" w:fill="C6EFCE"/>
            <w:noWrap/>
            <w:vAlign w:val="center"/>
            <w:hideMark/>
          </w:tcPr>
          <w:p w14:paraId="77E26088" w14:textId="455FEF0B" w:rsidR="00B70459" w:rsidRPr="001961AA" w:rsidRDefault="00B70459" w:rsidP="00B70459">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SMELD – FED (I-5.18)</w:t>
            </w:r>
          </w:p>
        </w:tc>
        <w:tc>
          <w:tcPr>
            <w:tcW w:w="347" w:type="pct"/>
            <w:shd w:val="clear" w:color="auto" w:fill="C6EFCE"/>
            <w:noWrap/>
            <w:vAlign w:val="center"/>
            <w:hideMark/>
          </w:tcPr>
          <w:p w14:paraId="429E35B2" w14:textId="77777777" w:rsidR="00B70459" w:rsidRPr="001961AA" w:rsidRDefault="00B70459" w:rsidP="00B70459">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w:t>
            </w:r>
          </w:p>
        </w:tc>
        <w:tc>
          <w:tcPr>
            <w:tcW w:w="2224" w:type="pct"/>
            <w:shd w:val="clear" w:color="auto" w:fill="C6EFCE"/>
            <w:noWrap/>
            <w:vAlign w:val="center"/>
            <w:hideMark/>
          </w:tcPr>
          <w:p w14:paraId="4A7EC3E8" w14:textId="77777777" w:rsidR="00B70459" w:rsidRPr="001961AA" w:rsidRDefault="00B70459" w:rsidP="00B70459">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Preparatory study on the requirements for setting up the melting furnace</w:t>
            </w:r>
          </w:p>
        </w:tc>
      </w:tr>
      <w:tr w:rsidR="00B70459" w:rsidRPr="001961AA" w14:paraId="250541D0" w14:textId="77777777" w:rsidTr="001B6E83">
        <w:trPr>
          <w:trHeight w:val="315"/>
        </w:trPr>
        <w:tc>
          <w:tcPr>
            <w:tcW w:w="388" w:type="pct"/>
            <w:shd w:val="clear" w:color="auto" w:fill="C6EFCE"/>
            <w:noWrap/>
            <w:vAlign w:val="center"/>
          </w:tcPr>
          <w:p w14:paraId="1DB49369" w14:textId="77777777" w:rsidR="00B70459" w:rsidRPr="001961AA" w:rsidRDefault="00B70459" w:rsidP="00B70459">
            <w:pPr>
              <w:spacing w:after="0"/>
              <w:jc w:val="center"/>
              <w:rPr>
                <w:rFonts w:ascii="Times New Roman" w:eastAsia="Times New Roman" w:hAnsi="Times New Roman" w:cs="Times New Roman"/>
                <w:noProof/>
                <w:color w:val="006100"/>
                <w:sz w:val="20"/>
                <w:szCs w:val="20"/>
                <w:lang w:val="en-GB" w:eastAsia="en-IE"/>
              </w:rPr>
            </w:pPr>
          </w:p>
        </w:tc>
        <w:tc>
          <w:tcPr>
            <w:tcW w:w="2388" w:type="pct"/>
            <w:gridSpan w:val="2"/>
            <w:shd w:val="clear" w:color="auto" w:fill="C6EFCE"/>
            <w:noWrap/>
            <w:vAlign w:val="center"/>
          </w:tcPr>
          <w:p w14:paraId="3387DF77" w14:textId="77777777" w:rsidR="00B70459" w:rsidRPr="001961AA" w:rsidRDefault="00B70459" w:rsidP="00B70459">
            <w:pPr>
              <w:spacing w:after="0"/>
              <w:jc w:val="right"/>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Instalment amount</w:t>
            </w:r>
          </w:p>
        </w:tc>
        <w:tc>
          <w:tcPr>
            <w:tcW w:w="2224" w:type="pct"/>
            <w:shd w:val="clear" w:color="auto" w:fill="C6EFCE"/>
            <w:noWrap/>
            <w:vAlign w:val="center"/>
          </w:tcPr>
          <w:p w14:paraId="7E94942B" w14:textId="21DC36E1" w:rsidR="00B70459" w:rsidRPr="001961AA" w:rsidRDefault="00B70459" w:rsidP="00B70459">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EUR 1</w:t>
            </w:r>
            <w:r w:rsidRPr="001961AA">
              <w:rPr>
                <w:noProof/>
                <w:lang w:val="en-GB"/>
              </w:rPr>
              <w:t xml:space="preserve"> </w:t>
            </w:r>
            <w:r w:rsidRPr="001961AA">
              <w:rPr>
                <w:rFonts w:ascii="Times New Roman" w:hAnsi="Times New Roman"/>
                <w:noProof/>
                <w:color w:val="006100"/>
                <w:sz w:val="20"/>
                <w:lang w:val="en-GB"/>
              </w:rPr>
              <w:t>022</w:t>
            </w:r>
            <w:r w:rsidRPr="001961AA">
              <w:rPr>
                <w:noProof/>
                <w:lang w:val="en-GB"/>
              </w:rPr>
              <w:t xml:space="preserve"> </w:t>
            </w:r>
            <w:r w:rsidRPr="001961AA">
              <w:rPr>
                <w:rFonts w:ascii="Times New Roman" w:hAnsi="Times New Roman"/>
                <w:noProof/>
                <w:color w:val="006100"/>
                <w:sz w:val="20"/>
                <w:lang w:val="en-GB"/>
              </w:rPr>
              <w:t>767</w:t>
            </w:r>
            <w:r w:rsidRPr="001961AA">
              <w:rPr>
                <w:noProof/>
                <w:lang w:val="en-GB"/>
              </w:rPr>
              <w:t xml:space="preserve"> </w:t>
            </w:r>
            <w:r w:rsidRPr="001961AA">
              <w:rPr>
                <w:rFonts w:ascii="Times New Roman" w:hAnsi="Times New Roman"/>
                <w:noProof/>
                <w:color w:val="006100"/>
                <w:sz w:val="20"/>
                <w:lang w:val="en-GB"/>
              </w:rPr>
              <w:t>247</w:t>
            </w:r>
          </w:p>
        </w:tc>
      </w:tr>
    </w:tbl>
    <w:p w14:paraId="58E55F75" w14:textId="57DDE897" w:rsidR="009A3987" w:rsidRPr="001961AA" w:rsidRDefault="009A3987">
      <w:pPr>
        <w:rPr>
          <w:rFonts w:ascii="Times New Roman" w:hAnsi="Times New Roman" w:cs="Times New Roman"/>
          <w:noProof/>
          <w:lang w:val="en-GB"/>
        </w:rPr>
      </w:pPr>
    </w:p>
    <w:p w14:paraId="593A11C5" w14:textId="4DA9E8AC" w:rsidR="009E3581" w:rsidRPr="001961AA" w:rsidRDefault="009E3581">
      <w:pPr>
        <w:rPr>
          <w:rFonts w:ascii="Times New Roman" w:hAnsi="Times New Roman" w:cs="Times New Roman"/>
          <w:noProof/>
          <w:lang w:val="en-GB"/>
        </w:rPr>
      </w:pPr>
    </w:p>
    <w:p w14:paraId="387EF395" w14:textId="77777777" w:rsidR="009E3581" w:rsidRPr="001961AA" w:rsidRDefault="009E3581">
      <w:pPr>
        <w:rPr>
          <w:rFonts w:ascii="Times New Roman" w:hAnsi="Times New Roman" w:cs="Times New Roman"/>
          <w:noProof/>
          <w:lang w:val="en-GB"/>
        </w:rPr>
      </w:pPr>
    </w:p>
    <w:p w14:paraId="6035AB0E" w14:textId="2017EF87" w:rsidR="00232882" w:rsidRPr="001961AA" w:rsidRDefault="00232882" w:rsidP="00420B74">
      <w:pPr>
        <w:pStyle w:val="ManualNumPar1"/>
        <w:rPr>
          <w:noProof/>
          <w:lang w:val="en-GB"/>
        </w:rPr>
      </w:pPr>
      <w:bookmarkStart w:id="10" w:name="_Hlk148370212"/>
      <w:r w:rsidRPr="001961AA">
        <w:rPr>
          <w:noProof/>
          <w:lang w:val="en-GB"/>
        </w:rPr>
        <w:t>Fifth instalment (non-repayable support) :</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3999"/>
        <w:gridCol w:w="708"/>
        <w:gridCol w:w="4683"/>
      </w:tblGrid>
      <w:tr w:rsidR="00232882" w:rsidRPr="001961AA" w14:paraId="6AD6CA11" w14:textId="77777777" w:rsidTr="00767AF4">
        <w:trPr>
          <w:trHeight w:val="300"/>
          <w:tblHeader/>
        </w:trPr>
        <w:tc>
          <w:tcPr>
            <w:tcW w:w="400" w:type="pct"/>
            <w:tcBorders>
              <w:bottom w:val="single" w:sz="4" w:space="0" w:color="auto"/>
            </w:tcBorders>
            <w:shd w:val="clear" w:color="auto" w:fill="BDD7EE"/>
            <w:noWrap/>
            <w:vAlign w:val="center"/>
            <w:hideMark/>
          </w:tcPr>
          <w:bookmarkEnd w:id="10"/>
          <w:p w14:paraId="05F01048" w14:textId="77777777" w:rsidR="00232882" w:rsidRPr="001961AA" w:rsidRDefault="00232882" w:rsidP="00727EEC">
            <w:pPr>
              <w:spacing w:before="120" w:after="120"/>
              <w:jc w:val="center"/>
              <w:rPr>
                <w:rFonts w:ascii="Times New Roman" w:eastAsia="Times New Roman" w:hAnsi="Times New Roman" w:cs="Times New Roman"/>
                <w:b/>
                <w:bCs/>
                <w:noProof/>
                <w:color w:val="000000"/>
                <w:sz w:val="20"/>
                <w:szCs w:val="20"/>
                <w:lang w:val="en-GB"/>
              </w:rPr>
            </w:pPr>
            <w:r w:rsidRPr="001961AA">
              <w:rPr>
                <w:rFonts w:ascii="Times New Roman" w:hAnsi="Times New Roman"/>
                <w:b/>
                <w:noProof/>
                <w:color w:val="000000"/>
                <w:sz w:val="20"/>
                <w:lang w:val="en-GB"/>
              </w:rPr>
              <w:t>Seq. nb</w:t>
            </w:r>
          </w:p>
        </w:tc>
        <w:tc>
          <w:tcPr>
            <w:tcW w:w="1959" w:type="pct"/>
            <w:tcBorders>
              <w:bottom w:val="single" w:sz="4" w:space="0" w:color="auto"/>
            </w:tcBorders>
            <w:shd w:val="clear" w:color="auto" w:fill="BDD7EE"/>
            <w:noWrap/>
            <w:vAlign w:val="center"/>
            <w:hideMark/>
          </w:tcPr>
          <w:p w14:paraId="65AD459D" w14:textId="77777777" w:rsidR="00232882" w:rsidRPr="001961AA" w:rsidRDefault="00232882" w:rsidP="00727EEC">
            <w:pPr>
              <w:spacing w:before="120" w:after="120"/>
              <w:jc w:val="center"/>
              <w:rPr>
                <w:rFonts w:ascii="Times New Roman" w:eastAsia="Times New Roman" w:hAnsi="Times New Roman" w:cs="Times New Roman"/>
                <w:b/>
                <w:bCs/>
                <w:noProof/>
                <w:color w:val="000000"/>
                <w:sz w:val="20"/>
                <w:szCs w:val="20"/>
                <w:lang w:val="en-GB"/>
              </w:rPr>
            </w:pPr>
            <w:r w:rsidRPr="001961AA">
              <w:rPr>
                <w:rFonts w:ascii="Times New Roman" w:hAnsi="Times New Roman"/>
                <w:b/>
                <w:noProof/>
                <w:color w:val="000000"/>
                <w:sz w:val="20"/>
                <w:lang w:val="en-GB"/>
              </w:rPr>
              <w:t>Name of the measure</w:t>
            </w:r>
          </w:p>
        </w:tc>
        <w:tc>
          <w:tcPr>
            <w:tcW w:w="347" w:type="pct"/>
            <w:tcBorders>
              <w:bottom w:val="single" w:sz="4" w:space="0" w:color="auto"/>
            </w:tcBorders>
            <w:shd w:val="clear" w:color="auto" w:fill="BDD7EE"/>
            <w:noWrap/>
            <w:vAlign w:val="center"/>
            <w:hideMark/>
          </w:tcPr>
          <w:p w14:paraId="43547F5D" w14:textId="77777777" w:rsidR="00232882" w:rsidRPr="001961AA" w:rsidRDefault="00232882" w:rsidP="00727EEC">
            <w:pPr>
              <w:spacing w:before="120" w:after="120"/>
              <w:jc w:val="center"/>
              <w:rPr>
                <w:rFonts w:ascii="Times New Roman" w:eastAsia="Times New Roman" w:hAnsi="Times New Roman" w:cs="Times New Roman"/>
                <w:b/>
                <w:bCs/>
                <w:noProof/>
                <w:color w:val="000000"/>
                <w:sz w:val="20"/>
                <w:szCs w:val="20"/>
                <w:lang w:val="en-GB"/>
              </w:rPr>
            </w:pPr>
            <w:r w:rsidRPr="001961AA">
              <w:rPr>
                <w:rFonts w:ascii="Times New Roman" w:hAnsi="Times New Roman"/>
                <w:b/>
                <w:noProof/>
                <w:color w:val="000000"/>
                <w:sz w:val="20"/>
                <w:lang w:val="en-GB"/>
              </w:rPr>
              <w:t>M/T</w:t>
            </w:r>
          </w:p>
        </w:tc>
        <w:tc>
          <w:tcPr>
            <w:tcW w:w="2294" w:type="pct"/>
            <w:tcBorders>
              <w:bottom w:val="single" w:sz="4" w:space="0" w:color="auto"/>
            </w:tcBorders>
            <w:shd w:val="clear" w:color="auto" w:fill="BDD7EE"/>
            <w:noWrap/>
            <w:vAlign w:val="center"/>
            <w:hideMark/>
          </w:tcPr>
          <w:p w14:paraId="1BA6D8C5" w14:textId="77777777" w:rsidR="00232882" w:rsidRPr="001961AA" w:rsidRDefault="00232882" w:rsidP="00727EEC">
            <w:pPr>
              <w:spacing w:before="120" w:after="120"/>
              <w:jc w:val="center"/>
              <w:rPr>
                <w:rFonts w:ascii="Times New Roman" w:eastAsia="Times New Roman" w:hAnsi="Times New Roman" w:cs="Times New Roman"/>
                <w:b/>
                <w:bCs/>
                <w:noProof/>
                <w:color w:val="000000"/>
                <w:sz w:val="20"/>
                <w:szCs w:val="20"/>
                <w:lang w:val="en-GB"/>
              </w:rPr>
            </w:pPr>
            <w:r w:rsidRPr="001961AA">
              <w:rPr>
                <w:rFonts w:ascii="Times New Roman" w:hAnsi="Times New Roman"/>
                <w:b/>
                <w:noProof/>
                <w:color w:val="000000"/>
                <w:sz w:val="20"/>
                <w:lang w:val="en-GB"/>
              </w:rPr>
              <w:t>Name</w:t>
            </w:r>
          </w:p>
        </w:tc>
      </w:tr>
      <w:tr w:rsidR="00232882" w:rsidRPr="001961AA" w14:paraId="06073AF1" w14:textId="77777777" w:rsidTr="00767AF4">
        <w:trPr>
          <w:trHeight w:val="315"/>
        </w:trPr>
        <w:tc>
          <w:tcPr>
            <w:tcW w:w="400" w:type="pct"/>
            <w:shd w:val="clear" w:color="000000" w:fill="C6EFCE"/>
            <w:noWrap/>
            <w:vAlign w:val="center"/>
            <w:hideMark/>
          </w:tcPr>
          <w:p w14:paraId="4D12D979"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7</w:t>
            </w:r>
          </w:p>
        </w:tc>
        <w:tc>
          <w:tcPr>
            <w:tcW w:w="1959" w:type="pct"/>
            <w:shd w:val="clear" w:color="000000" w:fill="C6EFCE"/>
            <w:noWrap/>
            <w:vAlign w:val="center"/>
            <w:hideMark/>
          </w:tcPr>
          <w:p w14:paraId="672DD4FD"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Renovation of private and social housing (I-1A)</w:t>
            </w:r>
          </w:p>
        </w:tc>
        <w:tc>
          <w:tcPr>
            <w:tcW w:w="347" w:type="pct"/>
            <w:shd w:val="clear" w:color="000000" w:fill="C6EFCE"/>
            <w:noWrap/>
            <w:vAlign w:val="center"/>
            <w:hideMark/>
          </w:tcPr>
          <w:p w14:paraId="6450EC89"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T</w:t>
            </w:r>
          </w:p>
        </w:tc>
        <w:tc>
          <w:tcPr>
            <w:tcW w:w="2294" w:type="pct"/>
            <w:shd w:val="clear" w:color="000000" w:fill="C6EFCE"/>
            <w:noWrap/>
            <w:vAlign w:val="center"/>
            <w:hideMark/>
          </w:tcPr>
          <w:p w14:paraId="0F8F42ED"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Renovations of private residential and social housing (step 3)</w:t>
            </w:r>
          </w:p>
        </w:tc>
      </w:tr>
      <w:tr w:rsidR="00232882" w:rsidRPr="001961AA" w14:paraId="19457967" w14:textId="77777777" w:rsidTr="00767AF4">
        <w:trPr>
          <w:trHeight w:val="315"/>
        </w:trPr>
        <w:tc>
          <w:tcPr>
            <w:tcW w:w="400" w:type="pct"/>
            <w:shd w:val="clear" w:color="000000" w:fill="C6EFCE"/>
            <w:noWrap/>
            <w:vAlign w:val="center"/>
            <w:hideMark/>
          </w:tcPr>
          <w:p w14:paraId="5E6CF5E8"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13</w:t>
            </w:r>
          </w:p>
        </w:tc>
        <w:tc>
          <w:tcPr>
            <w:tcW w:w="1959" w:type="pct"/>
            <w:shd w:val="clear" w:color="000000" w:fill="C6EFCE"/>
            <w:noWrap/>
            <w:vAlign w:val="center"/>
            <w:hideMark/>
          </w:tcPr>
          <w:p w14:paraId="1522B4A1"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Public building renovations (I-1B)</w:t>
            </w:r>
          </w:p>
        </w:tc>
        <w:tc>
          <w:tcPr>
            <w:tcW w:w="347" w:type="pct"/>
            <w:shd w:val="clear" w:color="000000" w:fill="C6EFCE"/>
            <w:noWrap/>
            <w:vAlign w:val="center"/>
            <w:hideMark/>
          </w:tcPr>
          <w:p w14:paraId="6F7834D1"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T</w:t>
            </w:r>
          </w:p>
        </w:tc>
        <w:tc>
          <w:tcPr>
            <w:tcW w:w="2294" w:type="pct"/>
            <w:shd w:val="clear" w:color="000000" w:fill="C6EFCE"/>
            <w:noWrap/>
            <w:vAlign w:val="center"/>
            <w:hideMark/>
          </w:tcPr>
          <w:p w14:paraId="718F15D5"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Renovation of public buildings (step 2)</w:t>
            </w:r>
          </w:p>
        </w:tc>
      </w:tr>
      <w:tr w:rsidR="00232882" w:rsidRPr="001961AA" w14:paraId="58A07644" w14:textId="77777777" w:rsidTr="00767AF4">
        <w:trPr>
          <w:trHeight w:val="315"/>
        </w:trPr>
        <w:tc>
          <w:tcPr>
            <w:tcW w:w="400" w:type="pct"/>
            <w:shd w:val="clear" w:color="000000" w:fill="C6EFCE"/>
            <w:noWrap/>
            <w:vAlign w:val="center"/>
            <w:hideMark/>
          </w:tcPr>
          <w:p w14:paraId="194F22FC"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20</w:t>
            </w:r>
          </w:p>
        </w:tc>
        <w:tc>
          <w:tcPr>
            <w:tcW w:w="1959" w:type="pct"/>
            <w:shd w:val="clear" w:color="000000" w:fill="C6EFCE"/>
            <w:noWrap/>
            <w:vAlign w:val="center"/>
            <w:hideMark/>
          </w:tcPr>
          <w:p w14:paraId="0BFDEABA"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An industrial value chain for hydrogen transition (I-1.15)</w:t>
            </w:r>
          </w:p>
        </w:tc>
        <w:tc>
          <w:tcPr>
            <w:tcW w:w="347" w:type="pct"/>
            <w:shd w:val="clear" w:color="000000" w:fill="C6EFCE"/>
            <w:noWrap/>
            <w:vAlign w:val="center"/>
            <w:hideMark/>
          </w:tcPr>
          <w:p w14:paraId="2722987F"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w:t>
            </w:r>
          </w:p>
        </w:tc>
        <w:tc>
          <w:tcPr>
            <w:tcW w:w="2294" w:type="pct"/>
            <w:shd w:val="clear" w:color="000000" w:fill="C6EFCE"/>
            <w:noWrap/>
            <w:vAlign w:val="center"/>
            <w:hideMark/>
          </w:tcPr>
          <w:p w14:paraId="7540F914" w14:textId="48A070E8"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Completion of all awarded projects in the calls for projects</w:t>
            </w:r>
          </w:p>
        </w:tc>
      </w:tr>
      <w:tr w:rsidR="00232882" w:rsidRPr="001961AA" w14:paraId="3139E518" w14:textId="77777777" w:rsidTr="00767AF4">
        <w:trPr>
          <w:trHeight w:val="315"/>
        </w:trPr>
        <w:tc>
          <w:tcPr>
            <w:tcW w:w="400" w:type="pct"/>
            <w:shd w:val="clear" w:color="000000" w:fill="C6EFCE"/>
            <w:noWrap/>
            <w:vAlign w:val="center"/>
            <w:hideMark/>
          </w:tcPr>
          <w:p w14:paraId="1EE5EE3D"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49</w:t>
            </w:r>
          </w:p>
        </w:tc>
        <w:tc>
          <w:tcPr>
            <w:tcW w:w="1959" w:type="pct"/>
            <w:shd w:val="clear" w:color="000000" w:fill="C6EFCE"/>
            <w:noWrap/>
            <w:vAlign w:val="center"/>
            <w:hideMark/>
          </w:tcPr>
          <w:p w14:paraId="75F16456"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Cybersecurity: 5G (I-2.02)</w:t>
            </w:r>
          </w:p>
        </w:tc>
        <w:tc>
          <w:tcPr>
            <w:tcW w:w="347" w:type="pct"/>
            <w:shd w:val="clear" w:color="000000" w:fill="C6EFCE"/>
            <w:noWrap/>
            <w:vAlign w:val="center"/>
            <w:hideMark/>
          </w:tcPr>
          <w:p w14:paraId="48A330B3"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w:t>
            </w:r>
          </w:p>
        </w:tc>
        <w:tc>
          <w:tcPr>
            <w:tcW w:w="2294" w:type="pct"/>
            <w:shd w:val="clear" w:color="000000" w:fill="C6EFCE"/>
            <w:noWrap/>
            <w:vAlign w:val="center"/>
            <w:hideMark/>
          </w:tcPr>
          <w:p w14:paraId="37902DCD"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Reinforced interception capabilities of the judicial police in a 5G context</w:t>
            </w:r>
          </w:p>
        </w:tc>
      </w:tr>
      <w:tr w:rsidR="00232882" w:rsidRPr="001961AA" w14:paraId="4001DCD5" w14:textId="77777777" w:rsidTr="00767AF4">
        <w:trPr>
          <w:trHeight w:val="315"/>
        </w:trPr>
        <w:tc>
          <w:tcPr>
            <w:tcW w:w="400" w:type="pct"/>
            <w:shd w:val="clear" w:color="000000" w:fill="C6EFCE"/>
            <w:noWrap/>
            <w:vAlign w:val="center"/>
            <w:hideMark/>
          </w:tcPr>
          <w:p w14:paraId="15169879"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50</w:t>
            </w:r>
          </w:p>
        </w:tc>
        <w:tc>
          <w:tcPr>
            <w:tcW w:w="1959" w:type="pct"/>
            <w:shd w:val="clear" w:color="000000" w:fill="C6EFCE"/>
            <w:noWrap/>
            <w:vAlign w:val="center"/>
            <w:hideMark/>
          </w:tcPr>
          <w:p w14:paraId="1EE409C3"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Cybersecurity: NTSU/CTIF interception and safeguard (I-2.03)</w:t>
            </w:r>
          </w:p>
        </w:tc>
        <w:tc>
          <w:tcPr>
            <w:tcW w:w="347" w:type="pct"/>
            <w:shd w:val="clear" w:color="000000" w:fill="C6EFCE"/>
            <w:noWrap/>
            <w:vAlign w:val="center"/>
            <w:hideMark/>
          </w:tcPr>
          <w:p w14:paraId="2D575356"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w:t>
            </w:r>
          </w:p>
        </w:tc>
        <w:tc>
          <w:tcPr>
            <w:tcW w:w="2294" w:type="pct"/>
            <w:shd w:val="clear" w:color="000000" w:fill="C6EFCE"/>
            <w:noWrap/>
            <w:vAlign w:val="center"/>
            <w:hideMark/>
          </w:tcPr>
          <w:p w14:paraId="0A24C763"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Digital registry of intercepted private communications managed by the National Technical and Tactical Support Unit of the Belgian federal police</w:t>
            </w:r>
          </w:p>
        </w:tc>
      </w:tr>
      <w:tr w:rsidR="00232882" w:rsidRPr="001961AA" w14:paraId="399BE324" w14:textId="77777777" w:rsidTr="00767AF4">
        <w:trPr>
          <w:trHeight w:val="315"/>
        </w:trPr>
        <w:tc>
          <w:tcPr>
            <w:tcW w:w="400" w:type="pct"/>
            <w:shd w:val="clear" w:color="000000" w:fill="C6EFCE"/>
            <w:noWrap/>
            <w:vAlign w:val="center"/>
            <w:hideMark/>
          </w:tcPr>
          <w:p w14:paraId="2281B63E"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60</w:t>
            </w:r>
          </w:p>
        </w:tc>
        <w:tc>
          <w:tcPr>
            <w:tcW w:w="1959" w:type="pct"/>
            <w:shd w:val="clear" w:color="000000" w:fill="C6EFCE"/>
            <w:noWrap/>
            <w:vAlign w:val="center"/>
            <w:hideMark/>
          </w:tcPr>
          <w:p w14:paraId="65391A59"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Digitalisation SPF (I-2.05) (Sub-measure 1: Digital transformation of Justice)</w:t>
            </w:r>
          </w:p>
        </w:tc>
        <w:tc>
          <w:tcPr>
            <w:tcW w:w="347" w:type="pct"/>
            <w:shd w:val="clear" w:color="000000" w:fill="C6EFCE"/>
            <w:noWrap/>
            <w:vAlign w:val="center"/>
            <w:hideMark/>
          </w:tcPr>
          <w:p w14:paraId="5AB4C084"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w:t>
            </w:r>
          </w:p>
        </w:tc>
        <w:tc>
          <w:tcPr>
            <w:tcW w:w="2294" w:type="pct"/>
            <w:shd w:val="clear" w:color="000000" w:fill="C6EFCE"/>
            <w:noWrap/>
            <w:vAlign w:val="center"/>
            <w:hideMark/>
          </w:tcPr>
          <w:p w14:paraId="634A6F47"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New Case Management System for seven entities</w:t>
            </w:r>
          </w:p>
        </w:tc>
      </w:tr>
      <w:tr w:rsidR="00232882" w:rsidRPr="001961AA" w14:paraId="6A99A105" w14:textId="77777777" w:rsidTr="00767AF4">
        <w:trPr>
          <w:trHeight w:val="315"/>
        </w:trPr>
        <w:tc>
          <w:tcPr>
            <w:tcW w:w="400" w:type="pct"/>
            <w:shd w:val="clear" w:color="000000" w:fill="C6EFCE"/>
            <w:noWrap/>
            <w:vAlign w:val="center"/>
            <w:hideMark/>
          </w:tcPr>
          <w:p w14:paraId="2C65A895"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61</w:t>
            </w:r>
          </w:p>
        </w:tc>
        <w:tc>
          <w:tcPr>
            <w:tcW w:w="1959" w:type="pct"/>
            <w:shd w:val="clear" w:color="000000" w:fill="C6EFCE"/>
            <w:noWrap/>
            <w:vAlign w:val="center"/>
            <w:hideMark/>
          </w:tcPr>
          <w:p w14:paraId="53012110" w14:textId="30B95A4E"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Digitalisation SPF (I-2.05) (Sub-measure 10: Single Digital Gateway)</w:t>
            </w:r>
          </w:p>
        </w:tc>
        <w:tc>
          <w:tcPr>
            <w:tcW w:w="347" w:type="pct"/>
            <w:shd w:val="clear" w:color="000000" w:fill="C6EFCE"/>
            <w:noWrap/>
            <w:vAlign w:val="center"/>
            <w:hideMark/>
          </w:tcPr>
          <w:p w14:paraId="6D5E40D8"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w:t>
            </w:r>
          </w:p>
        </w:tc>
        <w:tc>
          <w:tcPr>
            <w:tcW w:w="2294" w:type="pct"/>
            <w:shd w:val="clear" w:color="000000" w:fill="C6EFCE"/>
            <w:noWrap/>
            <w:vAlign w:val="center"/>
            <w:hideMark/>
          </w:tcPr>
          <w:p w14:paraId="53EA9D19"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The front-end interface is developed</w:t>
            </w:r>
          </w:p>
        </w:tc>
      </w:tr>
      <w:tr w:rsidR="00232882" w:rsidRPr="001961AA" w14:paraId="761D099C" w14:textId="77777777" w:rsidTr="00767AF4">
        <w:trPr>
          <w:trHeight w:val="315"/>
        </w:trPr>
        <w:tc>
          <w:tcPr>
            <w:tcW w:w="400" w:type="pct"/>
            <w:shd w:val="clear" w:color="000000" w:fill="C6EFCE"/>
            <w:noWrap/>
            <w:vAlign w:val="center"/>
            <w:hideMark/>
          </w:tcPr>
          <w:p w14:paraId="22C32DF6"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64</w:t>
            </w:r>
          </w:p>
        </w:tc>
        <w:tc>
          <w:tcPr>
            <w:tcW w:w="1959" w:type="pct"/>
            <w:shd w:val="clear" w:color="000000" w:fill="C6EFCE"/>
            <w:noWrap/>
            <w:vAlign w:val="center"/>
            <w:hideMark/>
          </w:tcPr>
          <w:p w14:paraId="34C6F47C"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eHealth Services et Health Data (I-2.06)</w:t>
            </w:r>
          </w:p>
        </w:tc>
        <w:tc>
          <w:tcPr>
            <w:tcW w:w="347" w:type="pct"/>
            <w:shd w:val="clear" w:color="000000" w:fill="C6EFCE"/>
            <w:noWrap/>
            <w:vAlign w:val="center"/>
            <w:hideMark/>
          </w:tcPr>
          <w:p w14:paraId="4F9E02C7"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w:t>
            </w:r>
          </w:p>
        </w:tc>
        <w:tc>
          <w:tcPr>
            <w:tcW w:w="2294" w:type="pct"/>
            <w:shd w:val="clear" w:color="000000" w:fill="C6EFCE"/>
            <w:noWrap/>
            <w:vAlign w:val="center"/>
            <w:hideMark/>
          </w:tcPr>
          <w:p w14:paraId="7BDD5BF0"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Full roll-out of the project</w:t>
            </w:r>
          </w:p>
        </w:tc>
      </w:tr>
      <w:tr w:rsidR="00232882" w:rsidRPr="001961AA" w14:paraId="7C9F8B7F" w14:textId="77777777" w:rsidTr="00767AF4">
        <w:trPr>
          <w:trHeight w:val="315"/>
        </w:trPr>
        <w:tc>
          <w:tcPr>
            <w:tcW w:w="400" w:type="pct"/>
            <w:shd w:val="clear" w:color="000000" w:fill="C6EFCE"/>
            <w:noWrap/>
            <w:vAlign w:val="center"/>
            <w:hideMark/>
          </w:tcPr>
          <w:p w14:paraId="53069697"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65</w:t>
            </w:r>
          </w:p>
        </w:tc>
        <w:tc>
          <w:tcPr>
            <w:tcW w:w="1959" w:type="pct"/>
            <w:shd w:val="clear" w:color="000000" w:fill="C6EFCE"/>
            <w:noWrap/>
            <w:vAlign w:val="center"/>
            <w:hideMark/>
          </w:tcPr>
          <w:p w14:paraId="3ECBEE81"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Digitalisation of ONE (I-2.07)</w:t>
            </w:r>
          </w:p>
        </w:tc>
        <w:tc>
          <w:tcPr>
            <w:tcW w:w="347" w:type="pct"/>
            <w:shd w:val="clear" w:color="000000" w:fill="C6EFCE"/>
            <w:noWrap/>
            <w:vAlign w:val="center"/>
            <w:hideMark/>
          </w:tcPr>
          <w:p w14:paraId="3089A7ED"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w:t>
            </w:r>
          </w:p>
        </w:tc>
        <w:tc>
          <w:tcPr>
            <w:tcW w:w="2294" w:type="pct"/>
            <w:shd w:val="clear" w:color="000000" w:fill="C6EFCE"/>
            <w:noWrap/>
            <w:vAlign w:val="center"/>
            <w:hideMark/>
          </w:tcPr>
          <w:p w14:paraId="2BFBF981"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Entry in operation of new digital platforms</w:t>
            </w:r>
          </w:p>
        </w:tc>
      </w:tr>
      <w:tr w:rsidR="00232882" w:rsidRPr="001961AA" w14:paraId="1BFC9812" w14:textId="77777777" w:rsidTr="00767AF4">
        <w:trPr>
          <w:trHeight w:val="315"/>
        </w:trPr>
        <w:tc>
          <w:tcPr>
            <w:tcW w:w="400" w:type="pct"/>
            <w:shd w:val="clear" w:color="000000" w:fill="C6EFCE"/>
            <w:noWrap/>
            <w:vAlign w:val="center"/>
            <w:hideMark/>
          </w:tcPr>
          <w:p w14:paraId="0FB78BD7"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69</w:t>
            </w:r>
          </w:p>
        </w:tc>
        <w:tc>
          <w:tcPr>
            <w:tcW w:w="1959" w:type="pct"/>
            <w:shd w:val="clear" w:color="000000" w:fill="C6EFCE"/>
            <w:noWrap/>
            <w:vAlign w:val="center"/>
            <w:hideMark/>
          </w:tcPr>
          <w:p w14:paraId="0F7C5E99"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Digitalization of the Flemish Government (I-2.09)</w:t>
            </w:r>
          </w:p>
        </w:tc>
        <w:tc>
          <w:tcPr>
            <w:tcW w:w="347" w:type="pct"/>
            <w:shd w:val="clear" w:color="000000" w:fill="C6EFCE"/>
            <w:noWrap/>
            <w:vAlign w:val="center"/>
            <w:hideMark/>
          </w:tcPr>
          <w:p w14:paraId="3145BC7E"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w:t>
            </w:r>
          </w:p>
        </w:tc>
        <w:tc>
          <w:tcPr>
            <w:tcW w:w="2294" w:type="pct"/>
            <w:shd w:val="clear" w:color="000000" w:fill="C6EFCE"/>
            <w:noWrap/>
            <w:vAlign w:val="center"/>
            <w:hideMark/>
          </w:tcPr>
          <w:p w14:paraId="5B5D0E5B"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Development of 4 new digital features</w:t>
            </w:r>
          </w:p>
        </w:tc>
      </w:tr>
      <w:tr w:rsidR="00232882" w:rsidRPr="001961AA" w14:paraId="03F4E47C" w14:textId="77777777" w:rsidTr="00767AF4">
        <w:trPr>
          <w:trHeight w:val="315"/>
        </w:trPr>
        <w:tc>
          <w:tcPr>
            <w:tcW w:w="400" w:type="pct"/>
            <w:shd w:val="clear" w:color="000000" w:fill="C6EFCE"/>
            <w:noWrap/>
            <w:vAlign w:val="center"/>
            <w:hideMark/>
          </w:tcPr>
          <w:p w14:paraId="4462AA4E"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73</w:t>
            </w:r>
          </w:p>
        </w:tc>
        <w:tc>
          <w:tcPr>
            <w:tcW w:w="1959" w:type="pct"/>
            <w:shd w:val="clear" w:color="000000" w:fill="C6EFCE"/>
            <w:noWrap/>
            <w:vAlign w:val="center"/>
            <w:hideMark/>
          </w:tcPr>
          <w:p w14:paraId="182C3BEB"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Digitalisation of citizen-business processes (I-2.11)</w:t>
            </w:r>
          </w:p>
        </w:tc>
        <w:tc>
          <w:tcPr>
            <w:tcW w:w="347" w:type="pct"/>
            <w:shd w:val="clear" w:color="000000" w:fill="C6EFCE"/>
            <w:noWrap/>
            <w:vAlign w:val="center"/>
            <w:hideMark/>
          </w:tcPr>
          <w:p w14:paraId="74036815"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T</w:t>
            </w:r>
          </w:p>
        </w:tc>
        <w:tc>
          <w:tcPr>
            <w:tcW w:w="2294" w:type="pct"/>
            <w:shd w:val="clear" w:color="000000" w:fill="C6EFCE"/>
            <w:noWrap/>
            <w:vAlign w:val="center"/>
            <w:hideMark/>
          </w:tcPr>
          <w:p w14:paraId="41BCD2EF"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Entry in operation of 3 online platforms (town planning permit, town planning information and environmental permit)</w:t>
            </w:r>
          </w:p>
        </w:tc>
      </w:tr>
      <w:tr w:rsidR="00232882" w:rsidRPr="001961AA" w14:paraId="4A12DA99" w14:textId="77777777" w:rsidTr="00767AF4">
        <w:trPr>
          <w:trHeight w:val="315"/>
        </w:trPr>
        <w:tc>
          <w:tcPr>
            <w:tcW w:w="400" w:type="pct"/>
            <w:shd w:val="clear" w:color="000000" w:fill="C6EFCE"/>
            <w:noWrap/>
            <w:vAlign w:val="center"/>
            <w:hideMark/>
          </w:tcPr>
          <w:p w14:paraId="64EE0B5D"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84</w:t>
            </w:r>
          </w:p>
        </w:tc>
        <w:tc>
          <w:tcPr>
            <w:tcW w:w="1959" w:type="pct"/>
            <w:shd w:val="clear" w:color="000000" w:fill="C6EFCE"/>
            <w:noWrap/>
            <w:vAlign w:val="center"/>
            <w:hideMark/>
          </w:tcPr>
          <w:p w14:paraId="1B36CFF8"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Improving the connectivity of 35 business parks in Wallonia (I-2.15)</w:t>
            </w:r>
          </w:p>
        </w:tc>
        <w:tc>
          <w:tcPr>
            <w:tcW w:w="347" w:type="pct"/>
            <w:shd w:val="clear" w:color="000000" w:fill="C6EFCE"/>
            <w:noWrap/>
            <w:vAlign w:val="center"/>
            <w:hideMark/>
          </w:tcPr>
          <w:p w14:paraId="20D52720"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T</w:t>
            </w:r>
          </w:p>
        </w:tc>
        <w:tc>
          <w:tcPr>
            <w:tcW w:w="2294" w:type="pct"/>
            <w:shd w:val="clear" w:color="000000" w:fill="C6EFCE"/>
            <w:noWrap/>
            <w:vAlign w:val="center"/>
            <w:hideMark/>
          </w:tcPr>
          <w:p w14:paraId="2C4ABBC9"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Fibre connectivity for 35 business parks</w:t>
            </w:r>
          </w:p>
        </w:tc>
      </w:tr>
      <w:tr w:rsidR="00232882" w:rsidRPr="001961AA" w14:paraId="37F8C91C" w14:textId="77777777" w:rsidTr="00767AF4">
        <w:trPr>
          <w:trHeight w:val="315"/>
        </w:trPr>
        <w:tc>
          <w:tcPr>
            <w:tcW w:w="400" w:type="pct"/>
            <w:shd w:val="clear" w:color="000000" w:fill="C6EFCE"/>
            <w:noWrap/>
            <w:vAlign w:val="center"/>
            <w:hideMark/>
          </w:tcPr>
          <w:p w14:paraId="5058EB7C"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100</w:t>
            </w:r>
          </w:p>
        </w:tc>
        <w:tc>
          <w:tcPr>
            <w:tcW w:w="1959" w:type="pct"/>
            <w:shd w:val="clear" w:color="000000" w:fill="C6EFCE"/>
            <w:noWrap/>
            <w:vAlign w:val="center"/>
            <w:hideMark/>
          </w:tcPr>
          <w:p w14:paraId="7E4ECDF5"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Enhancing public transport in Wallonia (I-3B)</w:t>
            </w:r>
          </w:p>
        </w:tc>
        <w:tc>
          <w:tcPr>
            <w:tcW w:w="347" w:type="pct"/>
            <w:shd w:val="clear" w:color="000000" w:fill="C6EFCE"/>
            <w:noWrap/>
            <w:vAlign w:val="center"/>
            <w:hideMark/>
          </w:tcPr>
          <w:p w14:paraId="30402F02"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T</w:t>
            </w:r>
          </w:p>
        </w:tc>
        <w:tc>
          <w:tcPr>
            <w:tcW w:w="2294" w:type="pct"/>
            <w:shd w:val="clear" w:color="000000" w:fill="C6EFCE"/>
            <w:noWrap/>
            <w:vAlign w:val="center"/>
            <w:hideMark/>
          </w:tcPr>
          <w:p w14:paraId="29583512" w14:textId="16BBAB9F" w:rsidR="00232882" w:rsidRPr="001961AA" w:rsidRDefault="00641CB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Operationalisation of smart road traffic lights</w:t>
            </w:r>
          </w:p>
        </w:tc>
      </w:tr>
      <w:tr w:rsidR="00232882" w:rsidRPr="001961AA" w14:paraId="7FAE6E22" w14:textId="77777777" w:rsidTr="00767AF4">
        <w:trPr>
          <w:trHeight w:val="315"/>
        </w:trPr>
        <w:tc>
          <w:tcPr>
            <w:tcW w:w="400" w:type="pct"/>
            <w:shd w:val="clear" w:color="000000" w:fill="C6EFCE"/>
            <w:noWrap/>
            <w:vAlign w:val="center"/>
            <w:hideMark/>
          </w:tcPr>
          <w:p w14:paraId="5E47FB48"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106</w:t>
            </w:r>
          </w:p>
        </w:tc>
        <w:tc>
          <w:tcPr>
            <w:tcW w:w="1959" w:type="pct"/>
            <w:shd w:val="clear" w:color="000000" w:fill="C6EFCE"/>
            <w:noWrap/>
            <w:vAlign w:val="center"/>
            <w:hideMark/>
          </w:tcPr>
          <w:p w14:paraId="0A7FD745"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Canal Albert and Trilogiport (I-3.11)</w:t>
            </w:r>
          </w:p>
        </w:tc>
        <w:tc>
          <w:tcPr>
            <w:tcW w:w="347" w:type="pct"/>
            <w:shd w:val="clear" w:color="000000" w:fill="C6EFCE"/>
            <w:noWrap/>
            <w:vAlign w:val="center"/>
            <w:hideMark/>
          </w:tcPr>
          <w:p w14:paraId="65722AEF"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w:t>
            </w:r>
          </w:p>
        </w:tc>
        <w:tc>
          <w:tcPr>
            <w:tcW w:w="2294" w:type="pct"/>
            <w:shd w:val="clear" w:color="000000" w:fill="C6EFCE"/>
            <w:noWrap/>
            <w:vAlign w:val="center"/>
            <w:hideMark/>
          </w:tcPr>
          <w:p w14:paraId="67E60DDB"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Award of contracts for the works of the bridges over Canal Albert / and a new platform at Trilogiport</w:t>
            </w:r>
          </w:p>
        </w:tc>
      </w:tr>
      <w:tr w:rsidR="00232882" w:rsidRPr="001961AA" w14:paraId="0ACBC946" w14:textId="77777777" w:rsidTr="00767AF4">
        <w:trPr>
          <w:trHeight w:val="315"/>
        </w:trPr>
        <w:tc>
          <w:tcPr>
            <w:tcW w:w="400" w:type="pct"/>
            <w:shd w:val="clear" w:color="000000" w:fill="C6EFCE"/>
            <w:noWrap/>
            <w:vAlign w:val="center"/>
            <w:hideMark/>
          </w:tcPr>
          <w:p w14:paraId="61C41DEA"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108</w:t>
            </w:r>
          </w:p>
        </w:tc>
        <w:tc>
          <w:tcPr>
            <w:tcW w:w="1959" w:type="pct"/>
            <w:shd w:val="clear" w:color="000000" w:fill="C6EFCE"/>
            <w:noWrap/>
            <w:vAlign w:val="center"/>
            <w:hideMark/>
          </w:tcPr>
          <w:p w14:paraId="3BBC74BF"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 xml:space="preserve">Unlocking of Open Data for Smart Mobility application (I-3D) </w:t>
            </w:r>
          </w:p>
        </w:tc>
        <w:tc>
          <w:tcPr>
            <w:tcW w:w="347" w:type="pct"/>
            <w:shd w:val="clear" w:color="000000" w:fill="C6EFCE"/>
            <w:noWrap/>
            <w:vAlign w:val="center"/>
            <w:hideMark/>
          </w:tcPr>
          <w:p w14:paraId="47D79BF4"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T</w:t>
            </w:r>
          </w:p>
        </w:tc>
        <w:tc>
          <w:tcPr>
            <w:tcW w:w="2294" w:type="pct"/>
            <w:shd w:val="clear" w:color="000000" w:fill="C6EFCE"/>
            <w:noWrap/>
            <w:vAlign w:val="center"/>
            <w:hideMark/>
          </w:tcPr>
          <w:p w14:paraId="3586ADF1"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 xml:space="preserve">Unlocking of Open Data for Smart Mobility application </w:t>
            </w:r>
          </w:p>
        </w:tc>
      </w:tr>
      <w:tr w:rsidR="00232882" w:rsidRPr="001961AA" w14:paraId="331A7D79" w14:textId="77777777" w:rsidTr="00767AF4">
        <w:trPr>
          <w:trHeight w:val="315"/>
        </w:trPr>
        <w:tc>
          <w:tcPr>
            <w:tcW w:w="400" w:type="pct"/>
            <w:shd w:val="clear" w:color="000000" w:fill="C6EFCE"/>
            <w:noWrap/>
            <w:vAlign w:val="center"/>
            <w:hideMark/>
          </w:tcPr>
          <w:p w14:paraId="46F54A49"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115</w:t>
            </w:r>
          </w:p>
        </w:tc>
        <w:tc>
          <w:tcPr>
            <w:tcW w:w="1959" w:type="pct"/>
            <w:shd w:val="clear" w:color="000000" w:fill="C6EFCE"/>
            <w:noWrap/>
            <w:vAlign w:val="center"/>
            <w:hideMark/>
          </w:tcPr>
          <w:p w14:paraId="4B2FB3C7"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Greening the bus fleet (I-3G)</w:t>
            </w:r>
          </w:p>
        </w:tc>
        <w:tc>
          <w:tcPr>
            <w:tcW w:w="347" w:type="pct"/>
            <w:shd w:val="clear" w:color="000000" w:fill="C6EFCE"/>
            <w:noWrap/>
            <w:vAlign w:val="center"/>
            <w:hideMark/>
          </w:tcPr>
          <w:p w14:paraId="0010AA4B"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T</w:t>
            </w:r>
          </w:p>
        </w:tc>
        <w:tc>
          <w:tcPr>
            <w:tcW w:w="2294" w:type="pct"/>
            <w:shd w:val="clear" w:color="000000" w:fill="C6EFCE"/>
            <w:noWrap/>
            <w:vAlign w:val="center"/>
            <w:hideMark/>
          </w:tcPr>
          <w:p w14:paraId="1A61C049" w14:textId="38B3A1BE"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Green buses placed in service and depots technically adapted in Flanders,  Brussels and Wallonia</w:t>
            </w:r>
          </w:p>
        </w:tc>
      </w:tr>
      <w:tr w:rsidR="00232882" w:rsidRPr="001961AA" w14:paraId="438DC717" w14:textId="77777777" w:rsidTr="00767AF4">
        <w:trPr>
          <w:trHeight w:val="315"/>
        </w:trPr>
        <w:tc>
          <w:tcPr>
            <w:tcW w:w="400" w:type="pct"/>
            <w:shd w:val="clear" w:color="000000" w:fill="C6EFCE"/>
            <w:noWrap/>
            <w:vAlign w:val="center"/>
            <w:hideMark/>
          </w:tcPr>
          <w:p w14:paraId="1A4C60FF"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122</w:t>
            </w:r>
          </w:p>
        </w:tc>
        <w:tc>
          <w:tcPr>
            <w:tcW w:w="1959" w:type="pct"/>
            <w:shd w:val="clear" w:color="000000" w:fill="C6EFCE"/>
            <w:noWrap/>
            <w:vAlign w:val="center"/>
            <w:hideMark/>
          </w:tcPr>
          <w:p w14:paraId="7F31D652"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Charging stations (I-3F)</w:t>
            </w:r>
          </w:p>
        </w:tc>
        <w:tc>
          <w:tcPr>
            <w:tcW w:w="347" w:type="pct"/>
            <w:shd w:val="clear" w:color="000000" w:fill="C6EFCE"/>
            <w:noWrap/>
            <w:vAlign w:val="center"/>
            <w:hideMark/>
          </w:tcPr>
          <w:p w14:paraId="35F81721"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T</w:t>
            </w:r>
          </w:p>
        </w:tc>
        <w:tc>
          <w:tcPr>
            <w:tcW w:w="2294" w:type="pct"/>
            <w:shd w:val="clear" w:color="000000" w:fill="C6EFCE"/>
            <w:noWrap/>
            <w:vAlign w:val="center"/>
            <w:hideMark/>
          </w:tcPr>
          <w:p w14:paraId="099C12E6"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Additional operational private, semi-public and public charging points (step 2)</w:t>
            </w:r>
          </w:p>
        </w:tc>
      </w:tr>
      <w:tr w:rsidR="00232882" w:rsidRPr="001961AA" w14:paraId="343369DD" w14:textId="77777777" w:rsidTr="00767AF4">
        <w:trPr>
          <w:trHeight w:val="315"/>
        </w:trPr>
        <w:tc>
          <w:tcPr>
            <w:tcW w:w="400" w:type="pct"/>
            <w:shd w:val="clear" w:color="000000" w:fill="C6EFCE"/>
            <w:noWrap/>
            <w:vAlign w:val="center"/>
            <w:hideMark/>
          </w:tcPr>
          <w:p w14:paraId="311B8669"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145</w:t>
            </w:r>
          </w:p>
        </w:tc>
        <w:tc>
          <w:tcPr>
            <w:tcW w:w="1959" w:type="pct"/>
            <w:shd w:val="clear" w:color="000000" w:fill="C6EFCE"/>
            <w:noWrap/>
            <w:vAlign w:val="center"/>
            <w:hideMark/>
          </w:tcPr>
          <w:p w14:paraId="080047CF"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Re-qualification strategy (I-4.07)</w:t>
            </w:r>
          </w:p>
        </w:tc>
        <w:tc>
          <w:tcPr>
            <w:tcW w:w="347" w:type="pct"/>
            <w:shd w:val="clear" w:color="000000" w:fill="C6EFCE"/>
            <w:noWrap/>
            <w:vAlign w:val="center"/>
            <w:hideMark/>
          </w:tcPr>
          <w:p w14:paraId="0DCF85A0"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T</w:t>
            </w:r>
          </w:p>
        </w:tc>
        <w:tc>
          <w:tcPr>
            <w:tcW w:w="2294" w:type="pct"/>
            <w:shd w:val="clear" w:color="000000" w:fill="C6EFCE"/>
            <w:noWrap/>
            <w:vAlign w:val="center"/>
            <w:hideMark/>
          </w:tcPr>
          <w:p w14:paraId="6D461228"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Sustainable integration pathway for people with disabilities</w:t>
            </w:r>
          </w:p>
        </w:tc>
      </w:tr>
      <w:tr w:rsidR="00232882" w:rsidRPr="001961AA" w14:paraId="3750C4F8" w14:textId="77777777" w:rsidTr="00767AF4">
        <w:trPr>
          <w:trHeight w:val="315"/>
        </w:trPr>
        <w:tc>
          <w:tcPr>
            <w:tcW w:w="400" w:type="pct"/>
            <w:shd w:val="clear" w:color="000000" w:fill="C6EFCE"/>
            <w:noWrap/>
            <w:vAlign w:val="center"/>
            <w:hideMark/>
          </w:tcPr>
          <w:p w14:paraId="33711B54"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152</w:t>
            </w:r>
          </w:p>
        </w:tc>
        <w:tc>
          <w:tcPr>
            <w:tcW w:w="1959" w:type="pct"/>
            <w:shd w:val="clear" w:color="000000" w:fill="C6EFCE"/>
            <w:noWrap/>
            <w:vAlign w:val="center"/>
            <w:hideMark/>
          </w:tcPr>
          <w:p w14:paraId="15322967"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Development of public utility housing and housing for vulnerable persons (I-4.12)</w:t>
            </w:r>
          </w:p>
        </w:tc>
        <w:tc>
          <w:tcPr>
            <w:tcW w:w="347" w:type="pct"/>
            <w:shd w:val="clear" w:color="000000" w:fill="C6EFCE"/>
            <w:noWrap/>
            <w:vAlign w:val="center"/>
            <w:hideMark/>
          </w:tcPr>
          <w:p w14:paraId="406B1DA0"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T</w:t>
            </w:r>
          </w:p>
        </w:tc>
        <w:tc>
          <w:tcPr>
            <w:tcW w:w="2294" w:type="pct"/>
            <w:shd w:val="clear" w:color="000000" w:fill="C6EFCE"/>
            <w:noWrap/>
            <w:vAlign w:val="center"/>
            <w:hideMark/>
          </w:tcPr>
          <w:p w14:paraId="685C485B"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Installation of remote assistance for people in loss of autonomy</w:t>
            </w:r>
          </w:p>
        </w:tc>
      </w:tr>
      <w:tr w:rsidR="00232882" w:rsidRPr="001961AA" w14:paraId="516961E4" w14:textId="77777777" w:rsidTr="00767AF4">
        <w:trPr>
          <w:trHeight w:val="315"/>
        </w:trPr>
        <w:tc>
          <w:tcPr>
            <w:tcW w:w="400" w:type="pct"/>
            <w:shd w:val="clear" w:color="000000" w:fill="C6EFCE"/>
            <w:noWrap/>
            <w:vAlign w:val="center"/>
            <w:hideMark/>
          </w:tcPr>
          <w:p w14:paraId="30A125E0"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160</w:t>
            </w:r>
          </w:p>
        </w:tc>
        <w:tc>
          <w:tcPr>
            <w:tcW w:w="1959" w:type="pct"/>
            <w:shd w:val="clear" w:color="000000" w:fill="C6EFCE"/>
            <w:noWrap/>
            <w:vAlign w:val="center"/>
            <w:hideMark/>
          </w:tcPr>
          <w:p w14:paraId="3136DCAA"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Upgrading of advanced training infrastructure (I-5.03)</w:t>
            </w:r>
          </w:p>
        </w:tc>
        <w:tc>
          <w:tcPr>
            <w:tcW w:w="347" w:type="pct"/>
            <w:shd w:val="clear" w:color="000000" w:fill="C6EFCE"/>
            <w:noWrap/>
            <w:vAlign w:val="center"/>
            <w:hideMark/>
          </w:tcPr>
          <w:p w14:paraId="20BC3AE1"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T</w:t>
            </w:r>
          </w:p>
        </w:tc>
        <w:tc>
          <w:tcPr>
            <w:tcW w:w="2294" w:type="pct"/>
            <w:shd w:val="clear" w:color="000000" w:fill="C6EFCE"/>
            <w:noWrap/>
            <w:vAlign w:val="center"/>
            <w:hideMark/>
          </w:tcPr>
          <w:p w14:paraId="702B8A66"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 xml:space="preserve">Buildings and equipment for training, employment services </w:t>
            </w:r>
          </w:p>
        </w:tc>
      </w:tr>
      <w:tr w:rsidR="00232882" w:rsidRPr="001961AA" w14:paraId="02E7BC8B" w14:textId="77777777" w:rsidTr="00767AF4">
        <w:trPr>
          <w:trHeight w:val="315"/>
        </w:trPr>
        <w:tc>
          <w:tcPr>
            <w:tcW w:w="400" w:type="pct"/>
            <w:shd w:val="clear" w:color="000000" w:fill="C6EFCE"/>
            <w:noWrap/>
            <w:vAlign w:val="center"/>
            <w:hideMark/>
          </w:tcPr>
          <w:p w14:paraId="52DD44F7"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161</w:t>
            </w:r>
          </w:p>
        </w:tc>
        <w:tc>
          <w:tcPr>
            <w:tcW w:w="1959" w:type="pct"/>
            <w:shd w:val="clear" w:color="000000" w:fill="C6EFCE"/>
            <w:noWrap/>
            <w:vAlign w:val="center"/>
            <w:hideMark/>
          </w:tcPr>
          <w:p w14:paraId="0DAB891B"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EU Biotech School and Health Hub (I-5.02)</w:t>
            </w:r>
          </w:p>
        </w:tc>
        <w:tc>
          <w:tcPr>
            <w:tcW w:w="347" w:type="pct"/>
            <w:shd w:val="clear" w:color="000000" w:fill="C6EFCE"/>
            <w:noWrap/>
            <w:vAlign w:val="center"/>
            <w:hideMark/>
          </w:tcPr>
          <w:p w14:paraId="08B78E54"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T</w:t>
            </w:r>
          </w:p>
        </w:tc>
        <w:tc>
          <w:tcPr>
            <w:tcW w:w="2294" w:type="pct"/>
            <w:shd w:val="clear" w:color="000000" w:fill="C6EFCE"/>
            <w:noWrap/>
            <w:vAlign w:val="center"/>
            <w:hideMark/>
          </w:tcPr>
          <w:p w14:paraId="04DBE4DE"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Building and equipment of the EU Biotech School and Health Hub</w:t>
            </w:r>
          </w:p>
        </w:tc>
      </w:tr>
      <w:tr w:rsidR="00232882" w:rsidRPr="001961AA" w14:paraId="10F60E87" w14:textId="77777777" w:rsidTr="00767AF4">
        <w:trPr>
          <w:trHeight w:val="315"/>
        </w:trPr>
        <w:tc>
          <w:tcPr>
            <w:tcW w:w="400" w:type="pct"/>
            <w:shd w:val="clear" w:color="000000" w:fill="C6EFCE"/>
            <w:noWrap/>
            <w:vAlign w:val="center"/>
            <w:hideMark/>
          </w:tcPr>
          <w:p w14:paraId="0F38D433"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190</w:t>
            </w:r>
          </w:p>
        </w:tc>
        <w:tc>
          <w:tcPr>
            <w:tcW w:w="1959" w:type="pct"/>
            <w:shd w:val="clear" w:color="000000" w:fill="C6EFCE"/>
            <w:noWrap/>
            <w:vAlign w:val="center"/>
            <w:hideMark/>
          </w:tcPr>
          <w:p w14:paraId="123168BF"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Relocation of food and development of logistics platforms (I-5.12)</w:t>
            </w:r>
          </w:p>
        </w:tc>
        <w:tc>
          <w:tcPr>
            <w:tcW w:w="347" w:type="pct"/>
            <w:shd w:val="clear" w:color="000000" w:fill="C6EFCE"/>
            <w:noWrap/>
            <w:vAlign w:val="center"/>
            <w:hideMark/>
          </w:tcPr>
          <w:p w14:paraId="0C8C250E"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T</w:t>
            </w:r>
          </w:p>
        </w:tc>
        <w:tc>
          <w:tcPr>
            <w:tcW w:w="2294" w:type="pct"/>
            <w:shd w:val="clear" w:color="000000" w:fill="C6EFCE"/>
            <w:noWrap/>
            <w:vAlign w:val="center"/>
            <w:hideMark/>
          </w:tcPr>
          <w:p w14:paraId="7776505E" w14:textId="5E50CB9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Construction of two logistic hubs completed</w:t>
            </w:r>
          </w:p>
        </w:tc>
      </w:tr>
      <w:tr w:rsidR="00232882" w:rsidRPr="001961AA" w14:paraId="582D4972" w14:textId="77777777" w:rsidTr="00767AF4">
        <w:trPr>
          <w:trHeight w:val="315"/>
        </w:trPr>
        <w:tc>
          <w:tcPr>
            <w:tcW w:w="400" w:type="pct"/>
            <w:shd w:val="clear" w:color="000000" w:fill="C6EFCE"/>
            <w:noWrap/>
            <w:vAlign w:val="center"/>
            <w:hideMark/>
          </w:tcPr>
          <w:p w14:paraId="4A980591"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192</w:t>
            </w:r>
          </w:p>
        </w:tc>
        <w:tc>
          <w:tcPr>
            <w:tcW w:w="1959" w:type="pct"/>
            <w:shd w:val="clear" w:color="000000" w:fill="C6EFCE"/>
            <w:noWrap/>
            <w:vAlign w:val="center"/>
            <w:hideMark/>
          </w:tcPr>
          <w:p w14:paraId="451A722D"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Digitisation of the Walloon tourism sector (I-5.13)</w:t>
            </w:r>
          </w:p>
        </w:tc>
        <w:tc>
          <w:tcPr>
            <w:tcW w:w="347" w:type="pct"/>
            <w:shd w:val="clear" w:color="000000" w:fill="C6EFCE"/>
            <w:noWrap/>
            <w:vAlign w:val="center"/>
            <w:hideMark/>
          </w:tcPr>
          <w:p w14:paraId="229B14C5"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T</w:t>
            </w:r>
          </w:p>
        </w:tc>
        <w:tc>
          <w:tcPr>
            <w:tcW w:w="2294" w:type="pct"/>
            <w:shd w:val="clear" w:color="000000" w:fill="C6EFCE"/>
            <w:noWrap/>
            <w:vAlign w:val="center"/>
            <w:hideMark/>
          </w:tcPr>
          <w:p w14:paraId="32789D0A"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Number of active users of the ‘outil regional de commercialisation’</w:t>
            </w:r>
          </w:p>
        </w:tc>
      </w:tr>
      <w:tr w:rsidR="00232882" w:rsidRPr="001961AA" w14:paraId="0583B047" w14:textId="77777777" w:rsidTr="00767AF4">
        <w:trPr>
          <w:trHeight w:val="315"/>
        </w:trPr>
        <w:tc>
          <w:tcPr>
            <w:tcW w:w="400" w:type="pct"/>
            <w:shd w:val="clear" w:color="000000" w:fill="C6EFCE"/>
            <w:noWrap/>
            <w:vAlign w:val="center"/>
            <w:hideMark/>
          </w:tcPr>
          <w:p w14:paraId="5C6778D3"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216</w:t>
            </w:r>
          </w:p>
        </w:tc>
        <w:tc>
          <w:tcPr>
            <w:tcW w:w="1959" w:type="pct"/>
            <w:shd w:val="clear" w:color="000000" w:fill="C6EFCE"/>
            <w:noWrap/>
            <w:vAlign w:val="center"/>
            <w:hideMark/>
          </w:tcPr>
          <w:p w14:paraId="08930B66" w14:textId="31AD7F0F"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Energy-climate measures in public buildings – Fe state (I-7.05)</w:t>
            </w:r>
          </w:p>
        </w:tc>
        <w:tc>
          <w:tcPr>
            <w:tcW w:w="347" w:type="pct"/>
            <w:shd w:val="clear" w:color="000000" w:fill="C6EFCE"/>
            <w:noWrap/>
            <w:vAlign w:val="center"/>
            <w:hideMark/>
          </w:tcPr>
          <w:p w14:paraId="0C290C3E" w14:textId="77777777" w:rsidR="00232882" w:rsidRPr="001961AA" w:rsidRDefault="00232882" w:rsidP="006A6B58">
            <w:pPr>
              <w:spacing w:after="0"/>
              <w:jc w:val="center"/>
              <w:rPr>
                <w:rFonts w:ascii="Times New Roman" w:eastAsia="Times New Roman" w:hAnsi="Times New Roman" w:cs="Times New Roman"/>
                <w:noProof/>
                <w:color w:val="000000"/>
                <w:sz w:val="20"/>
                <w:szCs w:val="20"/>
                <w:lang w:val="en-GB"/>
              </w:rPr>
            </w:pPr>
            <w:r w:rsidRPr="001961AA">
              <w:rPr>
                <w:rFonts w:ascii="Times New Roman" w:hAnsi="Times New Roman"/>
                <w:noProof/>
                <w:color w:val="000000"/>
                <w:sz w:val="20"/>
                <w:lang w:val="en-GB"/>
              </w:rPr>
              <w:t>T</w:t>
            </w:r>
          </w:p>
        </w:tc>
        <w:tc>
          <w:tcPr>
            <w:tcW w:w="2294" w:type="pct"/>
            <w:shd w:val="clear" w:color="000000" w:fill="C6EFCE"/>
            <w:noWrap/>
            <w:vAlign w:val="center"/>
            <w:hideMark/>
          </w:tcPr>
          <w:p w14:paraId="1DC7653E"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Completed energy measures</w:t>
            </w:r>
          </w:p>
        </w:tc>
      </w:tr>
      <w:tr w:rsidR="00232882" w:rsidRPr="001961AA" w14:paraId="6D936969" w14:textId="77777777" w:rsidTr="00767AF4">
        <w:trPr>
          <w:trHeight w:val="315"/>
        </w:trPr>
        <w:tc>
          <w:tcPr>
            <w:tcW w:w="400" w:type="pct"/>
            <w:shd w:val="clear" w:color="000000" w:fill="C6EFCE"/>
            <w:noWrap/>
            <w:vAlign w:val="center"/>
            <w:hideMark/>
          </w:tcPr>
          <w:p w14:paraId="280E427A"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217</w:t>
            </w:r>
          </w:p>
        </w:tc>
        <w:tc>
          <w:tcPr>
            <w:tcW w:w="1959" w:type="pct"/>
            <w:shd w:val="clear" w:color="000000" w:fill="C6EFCE"/>
            <w:noWrap/>
            <w:vAlign w:val="center"/>
            <w:hideMark/>
          </w:tcPr>
          <w:p w14:paraId="4618FC04" w14:textId="59AD1604" w:rsidR="00232882" w:rsidRPr="001961AA" w:rsidRDefault="000315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Energy measures in AWV buildings (I-7.10)</w:t>
            </w:r>
          </w:p>
        </w:tc>
        <w:tc>
          <w:tcPr>
            <w:tcW w:w="347" w:type="pct"/>
            <w:shd w:val="clear" w:color="000000" w:fill="C6EFCE"/>
            <w:noWrap/>
            <w:vAlign w:val="center"/>
            <w:hideMark/>
          </w:tcPr>
          <w:p w14:paraId="4788FA0C"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T</w:t>
            </w:r>
          </w:p>
        </w:tc>
        <w:tc>
          <w:tcPr>
            <w:tcW w:w="2294" w:type="pct"/>
            <w:shd w:val="clear" w:color="000000" w:fill="C6EFCE"/>
            <w:noWrap/>
            <w:vAlign w:val="center"/>
            <w:hideMark/>
          </w:tcPr>
          <w:p w14:paraId="6CED7AF8"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Completed energy measure projects</w:t>
            </w:r>
          </w:p>
        </w:tc>
      </w:tr>
      <w:tr w:rsidR="00232882" w:rsidRPr="001961AA" w14:paraId="2B1EE241" w14:textId="77777777" w:rsidTr="00767AF4">
        <w:trPr>
          <w:trHeight w:val="315"/>
        </w:trPr>
        <w:tc>
          <w:tcPr>
            <w:tcW w:w="400" w:type="pct"/>
            <w:shd w:val="clear" w:color="000000" w:fill="C6EFCE"/>
            <w:noWrap/>
            <w:vAlign w:val="center"/>
            <w:hideMark/>
          </w:tcPr>
          <w:p w14:paraId="4B3FE1F2"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220</w:t>
            </w:r>
          </w:p>
        </w:tc>
        <w:tc>
          <w:tcPr>
            <w:tcW w:w="1959" w:type="pct"/>
            <w:shd w:val="clear" w:color="000000" w:fill="C6EFCE"/>
            <w:noWrap/>
            <w:vAlign w:val="center"/>
            <w:hideMark/>
          </w:tcPr>
          <w:p w14:paraId="6CCBE40B"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Research platform for energy transition (I-7.11)</w:t>
            </w:r>
          </w:p>
        </w:tc>
        <w:tc>
          <w:tcPr>
            <w:tcW w:w="347" w:type="pct"/>
            <w:shd w:val="clear" w:color="000000" w:fill="C6EFCE"/>
            <w:noWrap/>
            <w:vAlign w:val="center"/>
            <w:hideMark/>
          </w:tcPr>
          <w:p w14:paraId="64F85FBF"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w:t>
            </w:r>
          </w:p>
        </w:tc>
        <w:tc>
          <w:tcPr>
            <w:tcW w:w="2294" w:type="pct"/>
            <w:shd w:val="clear" w:color="000000" w:fill="C6EFCE"/>
            <w:noWrap/>
            <w:vAlign w:val="center"/>
            <w:hideMark/>
          </w:tcPr>
          <w:p w14:paraId="277E1601"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Procurement of equipment</w:t>
            </w:r>
          </w:p>
        </w:tc>
      </w:tr>
      <w:tr w:rsidR="00232882" w:rsidRPr="001961AA" w14:paraId="74B43ADF" w14:textId="77777777" w:rsidTr="00767AF4">
        <w:trPr>
          <w:trHeight w:val="315"/>
        </w:trPr>
        <w:tc>
          <w:tcPr>
            <w:tcW w:w="400" w:type="pct"/>
            <w:shd w:val="clear" w:color="000000" w:fill="C6EFCE"/>
            <w:noWrap/>
            <w:vAlign w:val="center"/>
            <w:hideMark/>
          </w:tcPr>
          <w:p w14:paraId="3C2C21B6"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231</w:t>
            </w:r>
          </w:p>
        </w:tc>
        <w:tc>
          <w:tcPr>
            <w:tcW w:w="1959" w:type="pct"/>
            <w:shd w:val="clear" w:color="000000" w:fill="C6EFCE"/>
            <w:noWrap/>
            <w:vAlign w:val="center"/>
            <w:hideMark/>
          </w:tcPr>
          <w:p w14:paraId="04161F5C"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Acceleration of the energy transition (R-7.04)</w:t>
            </w:r>
          </w:p>
        </w:tc>
        <w:tc>
          <w:tcPr>
            <w:tcW w:w="347" w:type="pct"/>
            <w:shd w:val="clear" w:color="000000" w:fill="C6EFCE"/>
            <w:noWrap/>
            <w:vAlign w:val="center"/>
            <w:hideMark/>
          </w:tcPr>
          <w:p w14:paraId="5FBDB089"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w:t>
            </w:r>
          </w:p>
        </w:tc>
        <w:tc>
          <w:tcPr>
            <w:tcW w:w="2294" w:type="pct"/>
            <w:shd w:val="clear" w:color="000000" w:fill="C6EFCE"/>
            <w:noWrap/>
            <w:vAlign w:val="center"/>
            <w:hideMark/>
          </w:tcPr>
          <w:p w14:paraId="0B2A66BE"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Entry into force of legislation</w:t>
            </w:r>
          </w:p>
        </w:tc>
      </w:tr>
      <w:tr w:rsidR="00232882" w:rsidRPr="001961AA" w14:paraId="7377BC3D" w14:textId="77777777" w:rsidTr="00767AF4">
        <w:trPr>
          <w:trHeight w:val="315"/>
        </w:trPr>
        <w:tc>
          <w:tcPr>
            <w:tcW w:w="400" w:type="pct"/>
            <w:shd w:val="clear" w:color="000000" w:fill="C6EFCE"/>
            <w:noWrap/>
            <w:vAlign w:val="center"/>
            <w:hideMark/>
          </w:tcPr>
          <w:p w14:paraId="41437187"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232</w:t>
            </w:r>
          </w:p>
        </w:tc>
        <w:tc>
          <w:tcPr>
            <w:tcW w:w="1959" w:type="pct"/>
            <w:shd w:val="clear" w:color="000000" w:fill="C6EFCE"/>
            <w:noWrap/>
            <w:vAlign w:val="center"/>
            <w:hideMark/>
          </w:tcPr>
          <w:p w14:paraId="53670CE7"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Floating Solar (I-7.16)</w:t>
            </w:r>
          </w:p>
        </w:tc>
        <w:tc>
          <w:tcPr>
            <w:tcW w:w="347" w:type="pct"/>
            <w:shd w:val="clear" w:color="000000" w:fill="C6EFCE"/>
            <w:noWrap/>
            <w:vAlign w:val="center"/>
            <w:hideMark/>
          </w:tcPr>
          <w:p w14:paraId="3366D0FC"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w:t>
            </w:r>
          </w:p>
        </w:tc>
        <w:tc>
          <w:tcPr>
            <w:tcW w:w="2294" w:type="pct"/>
            <w:shd w:val="clear" w:color="000000" w:fill="C6EFCE"/>
            <w:noWrap/>
            <w:vAlign w:val="center"/>
            <w:hideMark/>
          </w:tcPr>
          <w:p w14:paraId="0A6C2FF0"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Full scale demonstrator operational</w:t>
            </w:r>
          </w:p>
        </w:tc>
      </w:tr>
      <w:tr w:rsidR="00232882" w:rsidRPr="001961AA" w14:paraId="7CFBFA5D" w14:textId="77777777" w:rsidTr="00767AF4">
        <w:trPr>
          <w:trHeight w:val="315"/>
        </w:trPr>
        <w:tc>
          <w:tcPr>
            <w:tcW w:w="400" w:type="pct"/>
            <w:shd w:val="clear" w:color="000000" w:fill="C6EFCE"/>
            <w:noWrap/>
            <w:vAlign w:val="center"/>
          </w:tcPr>
          <w:p w14:paraId="537D56E3"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eastAsia="en-IE"/>
              </w:rPr>
            </w:pPr>
          </w:p>
        </w:tc>
        <w:tc>
          <w:tcPr>
            <w:tcW w:w="2306" w:type="pct"/>
            <w:gridSpan w:val="2"/>
            <w:shd w:val="clear" w:color="000000" w:fill="C6EFCE"/>
            <w:noWrap/>
            <w:vAlign w:val="center"/>
          </w:tcPr>
          <w:p w14:paraId="0A7B1D82" w14:textId="77777777" w:rsidR="00232882" w:rsidRPr="001961AA" w:rsidRDefault="00232882" w:rsidP="006A6B58">
            <w:pPr>
              <w:spacing w:after="0"/>
              <w:jc w:val="right"/>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Instalment amount</w:t>
            </w:r>
          </w:p>
        </w:tc>
        <w:tc>
          <w:tcPr>
            <w:tcW w:w="2294" w:type="pct"/>
            <w:shd w:val="clear" w:color="000000" w:fill="C6EFCE"/>
            <w:noWrap/>
            <w:vAlign w:val="center"/>
          </w:tcPr>
          <w:p w14:paraId="3027ABF1" w14:textId="4FA51C0B"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EUR 560</w:t>
            </w:r>
            <w:r w:rsidRPr="001961AA">
              <w:rPr>
                <w:noProof/>
                <w:lang w:val="en-GB"/>
              </w:rPr>
              <w:t xml:space="preserve"> </w:t>
            </w:r>
            <w:r w:rsidRPr="001961AA">
              <w:rPr>
                <w:rFonts w:ascii="Times New Roman" w:hAnsi="Times New Roman"/>
                <w:noProof/>
                <w:color w:val="006100"/>
                <w:sz w:val="20"/>
                <w:lang w:val="en-GB"/>
              </w:rPr>
              <w:t>013</w:t>
            </w:r>
            <w:r w:rsidRPr="001961AA">
              <w:rPr>
                <w:noProof/>
                <w:lang w:val="en-GB"/>
              </w:rPr>
              <w:t xml:space="preserve"> </w:t>
            </w:r>
            <w:r w:rsidRPr="001961AA">
              <w:rPr>
                <w:rFonts w:ascii="Times New Roman" w:hAnsi="Times New Roman"/>
                <w:noProof/>
                <w:color w:val="006100"/>
                <w:sz w:val="20"/>
                <w:lang w:val="en-GB"/>
              </w:rPr>
              <w:t>071</w:t>
            </w:r>
          </w:p>
        </w:tc>
      </w:tr>
    </w:tbl>
    <w:p w14:paraId="69C0BC5E" w14:textId="7CEBCBC1" w:rsidR="00420B74" w:rsidRPr="001961AA" w:rsidRDefault="00420B74" w:rsidP="00232882">
      <w:pPr>
        <w:spacing w:before="120" w:after="120"/>
        <w:rPr>
          <w:rFonts w:ascii="Times New Roman" w:hAnsi="Times New Roman" w:cs="Times New Roman"/>
          <w:noProof/>
          <w:lang w:val="en-GB"/>
        </w:rPr>
      </w:pPr>
    </w:p>
    <w:p w14:paraId="22074249" w14:textId="31A7CE10" w:rsidR="00232882" w:rsidRPr="00B93C03" w:rsidRDefault="00232882" w:rsidP="00420B74">
      <w:pPr>
        <w:pStyle w:val="ManualNumPar1"/>
        <w:rPr>
          <w:noProof/>
          <w:lang w:val="fr-FR"/>
        </w:rPr>
      </w:pPr>
      <w:r w:rsidRPr="00B93C03">
        <w:rPr>
          <w:noProof/>
          <w:lang w:val="fr-FR"/>
        </w:rPr>
        <w:t>Sixth instalment (non-repayable support) :</w:t>
      </w:r>
    </w:p>
    <w:tbl>
      <w:tblPr>
        <w:tblW w:w="10206" w:type="dxa"/>
        <w:tblLayout w:type="fixed"/>
        <w:tblLook w:val="04A0" w:firstRow="1" w:lastRow="0" w:firstColumn="1" w:lastColumn="0" w:noHBand="0" w:noVBand="1"/>
      </w:tblPr>
      <w:tblGrid>
        <w:gridCol w:w="704"/>
        <w:gridCol w:w="4111"/>
        <w:gridCol w:w="680"/>
        <w:gridCol w:w="4711"/>
      </w:tblGrid>
      <w:tr w:rsidR="00232882" w:rsidRPr="001961AA" w14:paraId="72A03E5E" w14:textId="77777777" w:rsidTr="001A4297">
        <w:trPr>
          <w:trHeight w:val="300"/>
          <w:tblHeader/>
        </w:trPr>
        <w:tc>
          <w:tcPr>
            <w:tcW w:w="345" w:type="pct"/>
            <w:tcBorders>
              <w:top w:val="single" w:sz="4" w:space="0" w:color="auto"/>
              <w:left w:val="single" w:sz="4" w:space="0" w:color="auto"/>
              <w:bottom w:val="single" w:sz="4" w:space="0" w:color="auto"/>
              <w:right w:val="single" w:sz="4" w:space="0" w:color="auto"/>
            </w:tcBorders>
            <w:shd w:val="clear" w:color="auto" w:fill="BDD7EE"/>
            <w:noWrap/>
            <w:vAlign w:val="center"/>
            <w:hideMark/>
          </w:tcPr>
          <w:p w14:paraId="0B869FB9" w14:textId="77777777" w:rsidR="00232882" w:rsidRPr="001961AA" w:rsidRDefault="00232882" w:rsidP="00727EEC">
            <w:pPr>
              <w:spacing w:before="120" w:after="120"/>
              <w:jc w:val="center"/>
              <w:rPr>
                <w:rFonts w:ascii="Times New Roman" w:eastAsia="Times New Roman" w:hAnsi="Times New Roman" w:cs="Times New Roman"/>
                <w:b/>
                <w:bCs/>
                <w:noProof/>
                <w:color w:val="000000"/>
                <w:sz w:val="20"/>
                <w:szCs w:val="20"/>
                <w:lang w:val="en-GB"/>
              </w:rPr>
            </w:pPr>
            <w:r w:rsidRPr="001961AA">
              <w:rPr>
                <w:rFonts w:ascii="Times New Roman" w:hAnsi="Times New Roman"/>
                <w:b/>
                <w:noProof/>
                <w:color w:val="000000"/>
                <w:sz w:val="20"/>
                <w:lang w:val="en-GB"/>
              </w:rPr>
              <w:t>Seq. nb</w:t>
            </w:r>
          </w:p>
        </w:tc>
        <w:tc>
          <w:tcPr>
            <w:tcW w:w="2014" w:type="pct"/>
            <w:tcBorders>
              <w:top w:val="single" w:sz="4" w:space="0" w:color="auto"/>
              <w:left w:val="nil"/>
              <w:bottom w:val="single" w:sz="4" w:space="0" w:color="auto"/>
              <w:right w:val="single" w:sz="4" w:space="0" w:color="auto"/>
            </w:tcBorders>
            <w:shd w:val="clear" w:color="auto" w:fill="BDD7EE"/>
            <w:noWrap/>
            <w:vAlign w:val="center"/>
            <w:hideMark/>
          </w:tcPr>
          <w:p w14:paraId="46AA2E55" w14:textId="77777777" w:rsidR="00232882" w:rsidRPr="001961AA" w:rsidRDefault="00232882" w:rsidP="00727EEC">
            <w:pPr>
              <w:spacing w:before="120" w:after="120"/>
              <w:jc w:val="center"/>
              <w:rPr>
                <w:rFonts w:ascii="Times New Roman" w:eastAsia="Times New Roman" w:hAnsi="Times New Roman" w:cs="Times New Roman"/>
                <w:b/>
                <w:bCs/>
                <w:noProof/>
                <w:color w:val="000000"/>
                <w:sz w:val="20"/>
                <w:szCs w:val="20"/>
                <w:lang w:val="en-GB"/>
              </w:rPr>
            </w:pPr>
            <w:r w:rsidRPr="001961AA">
              <w:rPr>
                <w:rFonts w:ascii="Times New Roman" w:hAnsi="Times New Roman"/>
                <w:b/>
                <w:noProof/>
                <w:color w:val="000000"/>
                <w:sz w:val="20"/>
                <w:lang w:val="en-GB"/>
              </w:rPr>
              <w:t>Name of the measure</w:t>
            </w:r>
          </w:p>
        </w:tc>
        <w:tc>
          <w:tcPr>
            <w:tcW w:w="333" w:type="pct"/>
            <w:tcBorders>
              <w:top w:val="single" w:sz="4" w:space="0" w:color="auto"/>
              <w:left w:val="nil"/>
              <w:bottom w:val="single" w:sz="4" w:space="0" w:color="auto"/>
              <w:right w:val="single" w:sz="4" w:space="0" w:color="auto"/>
            </w:tcBorders>
            <w:shd w:val="clear" w:color="auto" w:fill="BDD7EE"/>
            <w:noWrap/>
            <w:vAlign w:val="center"/>
            <w:hideMark/>
          </w:tcPr>
          <w:p w14:paraId="09C06094" w14:textId="77777777" w:rsidR="00232882" w:rsidRPr="001961AA" w:rsidRDefault="00232882" w:rsidP="00727EEC">
            <w:pPr>
              <w:spacing w:before="120" w:after="120"/>
              <w:jc w:val="center"/>
              <w:rPr>
                <w:rFonts w:ascii="Times New Roman" w:eastAsia="Times New Roman" w:hAnsi="Times New Roman" w:cs="Times New Roman"/>
                <w:b/>
                <w:bCs/>
                <w:noProof/>
                <w:color w:val="000000"/>
                <w:sz w:val="20"/>
                <w:szCs w:val="20"/>
                <w:lang w:val="en-GB"/>
              </w:rPr>
            </w:pPr>
            <w:r w:rsidRPr="001961AA">
              <w:rPr>
                <w:rFonts w:ascii="Times New Roman" w:hAnsi="Times New Roman"/>
                <w:b/>
                <w:noProof/>
                <w:color w:val="000000"/>
                <w:sz w:val="20"/>
                <w:lang w:val="en-GB"/>
              </w:rPr>
              <w:t>M/T</w:t>
            </w:r>
          </w:p>
        </w:tc>
        <w:tc>
          <w:tcPr>
            <w:tcW w:w="2308" w:type="pct"/>
            <w:tcBorders>
              <w:top w:val="single" w:sz="4" w:space="0" w:color="auto"/>
              <w:left w:val="nil"/>
              <w:bottom w:val="single" w:sz="4" w:space="0" w:color="auto"/>
              <w:right w:val="single" w:sz="4" w:space="0" w:color="auto"/>
            </w:tcBorders>
            <w:shd w:val="clear" w:color="auto" w:fill="BDD7EE"/>
            <w:noWrap/>
            <w:vAlign w:val="center"/>
            <w:hideMark/>
          </w:tcPr>
          <w:p w14:paraId="3445BE3F" w14:textId="77777777" w:rsidR="00232882" w:rsidRPr="001961AA" w:rsidRDefault="00232882" w:rsidP="00727EEC">
            <w:pPr>
              <w:spacing w:before="120" w:after="120"/>
              <w:jc w:val="center"/>
              <w:rPr>
                <w:rFonts w:ascii="Times New Roman" w:eastAsia="Times New Roman" w:hAnsi="Times New Roman" w:cs="Times New Roman"/>
                <w:b/>
                <w:bCs/>
                <w:noProof/>
                <w:color w:val="000000"/>
                <w:sz w:val="20"/>
                <w:szCs w:val="20"/>
                <w:lang w:val="en-GB"/>
              </w:rPr>
            </w:pPr>
            <w:r w:rsidRPr="001961AA">
              <w:rPr>
                <w:rFonts w:ascii="Times New Roman" w:hAnsi="Times New Roman"/>
                <w:b/>
                <w:noProof/>
                <w:color w:val="000000"/>
                <w:sz w:val="20"/>
                <w:lang w:val="en-GB"/>
              </w:rPr>
              <w:t>Name</w:t>
            </w:r>
          </w:p>
        </w:tc>
      </w:tr>
      <w:tr w:rsidR="00232882" w:rsidRPr="001961AA" w14:paraId="08E99167" w14:textId="77777777" w:rsidTr="00575B6B">
        <w:trPr>
          <w:trHeight w:val="315"/>
        </w:trPr>
        <w:tc>
          <w:tcPr>
            <w:tcW w:w="345"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088580EE"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14</w:t>
            </w:r>
          </w:p>
        </w:tc>
        <w:tc>
          <w:tcPr>
            <w:tcW w:w="2014"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04AFE9C7"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Public building renovations (I-1B)</w:t>
            </w:r>
          </w:p>
        </w:tc>
        <w:tc>
          <w:tcPr>
            <w:tcW w:w="333"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6BA83D6C"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T</w:t>
            </w:r>
          </w:p>
        </w:tc>
        <w:tc>
          <w:tcPr>
            <w:tcW w:w="2308"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3049590A"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Renovation of public buildings (step 3)</w:t>
            </w:r>
          </w:p>
        </w:tc>
      </w:tr>
      <w:tr w:rsidR="00232882" w:rsidRPr="001961AA" w14:paraId="4E13EF53" w14:textId="77777777" w:rsidTr="00575B6B">
        <w:trPr>
          <w:trHeight w:val="315"/>
        </w:trPr>
        <w:tc>
          <w:tcPr>
            <w:tcW w:w="345"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037BDBD0"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23</w:t>
            </w:r>
          </w:p>
        </w:tc>
        <w:tc>
          <w:tcPr>
            <w:tcW w:w="2014"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41AC614D"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An industrial value chain for hydrogen transition (I-1.16)</w:t>
            </w:r>
          </w:p>
        </w:tc>
        <w:tc>
          <w:tcPr>
            <w:tcW w:w="333"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0D1D9D4B"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w:t>
            </w:r>
          </w:p>
        </w:tc>
        <w:tc>
          <w:tcPr>
            <w:tcW w:w="2308"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44280350"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Completion of projects awarded under the call for tender</w:t>
            </w:r>
          </w:p>
        </w:tc>
      </w:tr>
      <w:tr w:rsidR="00232882" w:rsidRPr="001961AA" w14:paraId="021DCF16" w14:textId="77777777" w:rsidTr="00575B6B">
        <w:trPr>
          <w:trHeight w:val="315"/>
        </w:trPr>
        <w:tc>
          <w:tcPr>
            <w:tcW w:w="345"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6DD12621"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26</w:t>
            </w:r>
          </w:p>
        </w:tc>
        <w:tc>
          <w:tcPr>
            <w:tcW w:w="2014"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0BB0BE2C"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An industrial value chain for hydrogen transition (I-1.17)</w:t>
            </w:r>
          </w:p>
        </w:tc>
        <w:tc>
          <w:tcPr>
            <w:tcW w:w="333"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167C4CF8"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w:t>
            </w:r>
          </w:p>
        </w:tc>
        <w:tc>
          <w:tcPr>
            <w:tcW w:w="2308"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39A1754D"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Completion of all projects IPCEI awarded under the call for tender</w:t>
            </w:r>
          </w:p>
        </w:tc>
      </w:tr>
      <w:tr w:rsidR="00232882" w:rsidRPr="001961AA" w14:paraId="570D9B01" w14:textId="77777777" w:rsidTr="00575B6B">
        <w:trPr>
          <w:trHeight w:val="315"/>
        </w:trPr>
        <w:tc>
          <w:tcPr>
            <w:tcW w:w="345"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4C9E36BD"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28</w:t>
            </w:r>
          </w:p>
        </w:tc>
        <w:tc>
          <w:tcPr>
            <w:tcW w:w="2014"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6CA6CFE5"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Developing the low-carbon industry (I-1.18)</w:t>
            </w:r>
          </w:p>
        </w:tc>
        <w:tc>
          <w:tcPr>
            <w:tcW w:w="333"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56826FDD"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w:t>
            </w:r>
          </w:p>
        </w:tc>
        <w:tc>
          <w:tcPr>
            <w:tcW w:w="2308"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650A4BDF"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Completion of projects awarded under the call for tender</w:t>
            </w:r>
          </w:p>
        </w:tc>
      </w:tr>
      <w:tr w:rsidR="00232882" w:rsidRPr="001961AA" w14:paraId="3D4DDFEA" w14:textId="77777777" w:rsidTr="00575B6B">
        <w:trPr>
          <w:trHeight w:val="315"/>
        </w:trPr>
        <w:tc>
          <w:tcPr>
            <w:tcW w:w="345"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40004BE8"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37</w:t>
            </w:r>
          </w:p>
        </w:tc>
        <w:tc>
          <w:tcPr>
            <w:tcW w:w="2014"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666CD540"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Biodiversity and adaptation to climate change (I-1.22)</w:t>
            </w:r>
          </w:p>
        </w:tc>
        <w:tc>
          <w:tcPr>
            <w:tcW w:w="333"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783DED82"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T</w:t>
            </w:r>
          </w:p>
        </w:tc>
        <w:tc>
          <w:tcPr>
            <w:tcW w:w="2308"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7ACD9EB1"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Land management measures applied (forests and protected area) and remeandering projects finalised</w:t>
            </w:r>
          </w:p>
        </w:tc>
      </w:tr>
      <w:tr w:rsidR="00232882" w:rsidRPr="001961AA" w14:paraId="38EE674D" w14:textId="77777777" w:rsidTr="00575B6B">
        <w:trPr>
          <w:trHeight w:val="315"/>
        </w:trPr>
        <w:tc>
          <w:tcPr>
            <w:tcW w:w="345"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6F93F856"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39</w:t>
            </w:r>
          </w:p>
        </w:tc>
        <w:tc>
          <w:tcPr>
            <w:tcW w:w="2014"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1AAADD67"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Biodiversity and adaptation to climate change (I-1.22)</w:t>
            </w:r>
          </w:p>
        </w:tc>
        <w:tc>
          <w:tcPr>
            <w:tcW w:w="333"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27FC6A19"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T</w:t>
            </w:r>
          </w:p>
        </w:tc>
        <w:tc>
          <w:tcPr>
            <w:tcW w:w="2308"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197F04F8"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Completion of two projects for national parks</w:t>
            </w:r>
          </w:p>
        </w:tc>
      </w:tr>
      <w:tr w:rsidR="00232882" w:rsidRPr="001961AA" w14:paraId="1CF87C1D" w14:textId="77777777" w:rsidTr="00575B6B">
        <w:trPr>
          <w:trHeight w:val="315"/>
        </w:trPr>
        <w:tc>
          <w:tcPr>
            <w:tcW w:w="345"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2CFDBA35"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40</w:t>
            </w:r>
          </w:p>
        </w:tc>
        <w:tc>
          <w:tcPr>
            <w:tcW w:w="2014"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1CDD56CD"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Ecological defragmentation (I-1.23)</w:t>
            </w:r>
          </w:p>
        </w:tc>
        <w:tc>
          <w:tcPr>
            <w:tcW w:w="333"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7257BE40"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T</w:t>
            </w:r>
          </w:p>
        </w:tc>
        <w:tc>
          <w:tcPr>
            <w:tcW w:w="2308"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2B2A9DE7"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Completion of projects on ecological defragmentation</w:t>
            </w:r>
          </w:p>
        </w:tc>
      </w:tr>
      <w:tr w:rsidR="00232882" w:rsidRPr="001961AA" w14:paraId="6B116C7B" w14:textId="77777777" w:rsidTr="00575B6B">
        <w:trPr>
          <w:trHeight w:val="315"/>
        </w:trPr>
        <w:tc>
          <w:tcPr>
            <w:tcW w:w="345"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03BE2C2C"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43</w:t>
            </w:r>
          </w:p>
        </w:tc>
        <w:tc>
          <w:tcPr>
            <w:tcW w:w="2014"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31B139F9"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Blue Deal (I-1.24)</w:t>
            </w:r>
          </w:p>
        </w:tc>
        <w:tc>
          <w:tcPr>
            <w:tcW w:w="333"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7709E2D1"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T</w:t>
            </w:r>
          </w:p>
        </w:tc>
        <w:tc>
          <w:tcPr>
            <w:tcW w:w="2308"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514F5234"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Completion of Blue Deal projects</w:t>
            </w:r>
          </w:p>
        </w:tc>
      </w:tr>
      <w:tr w:rsidR="00232882" w:rsidRPr="001961AA" w14:paraId="0BEEF4F0" w14:textId="77777777" w:rsidTr="00575B6B">
        <w:trPr>
          <w:trHeight w:val="315"/>
        </w:trPr>
        <w:tc>
          <w:tcPr>
            <w:tcW w:w="345"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167B917D"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48</w:t>
            </w:r>
          </w:p>
        </w:tc>
        <w:tc>
          <w:tcPr>
            <w:tcW w:w="2014"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1D8923FB"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Cybersecure and resilient digital society (I-2.01)</w:t>
            </w:r>
          </w:p>
        </w:tc>
        <w:tc>
          <w:tcPr>
            <w:tcW w:w="333"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3136172C"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w:t>
            </w:r>
          </w:p>
        </w:tc>
        <w:tc>
          <w:tcPr>
            <w:tcW w:w="2308"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0323B54D"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Delivery of cyber resilience services to Belgian society at large by the Ministry of Defence</w:t>
            </w:r>
          </w:p>
        </w:tc>
      </w:tr>
      <w:tr w:rsidR="00232882" w:rsidRPr="001961AA" w14:paraId="21A904DE" w14:textId="77777777" w:rsidTr="00575B6B">
        <w:trPr>
          <w:trHeight w:val="315"/>
        </w:trPr>
        <w:tc>
          <w:tcPr>
            <w:tcW w:w="345"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693743E0"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52</w:t>
            </w:r>
          </w:p>
        </w:tc>
        <w:tc>
          <w:tcPr>
            <w:tcW w:w="2014"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0833CB0D"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Digitalisation IPSS (I-2.04) (sub-measure 1)</w:t>
            </w:r>
          </w:p>
        </w:tc>
        <w:tc>
          <w:tcPr>
            <w:tcW w:w="333"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46015E61"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w:t>
            </w:r>
          </w:p>
        </w:tc>
        <w:tc>
          <w:tcPr>
            <w:tcW w:w="2308"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3D8E92F8"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Digital solution available - web interface (IPSS)</w:t>
            </w:r>
          </w:p>
        </w:tc>
      </w:tr>
      <w:tr w:rsidR="00232882" w:rsidRPr="001961AA" w14:paraId="1C35BF97" w14:textId="77777777" w:rsidTr="00575B6B">
        <w:trPr>
          <w:trHeight w:val="315"/>
        </w:trPr>
        <w:tc>
          <w:tcPr>
            <w:tcW w:w="345"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6C2C8B24"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53</w:t>
            </w:r>
          </w:p>
        </w:tc>
        <w:tc>
          <w:tcPr>
            <w:tcW w:w="2014"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03E2E3C3"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Digitalisation IPSS (I-2.04) (sub-measure-3)</w:t>
            </w:r>
          </w:p>
        </w:tc>
        <w:tc>
          <w:tcPr>
            <w:tcW w:w="333"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324850BC"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w:t>
            </w:r>
          </w:p>
        </w:tc>
        <w:tc>
          <w:tcPr>
            <w:tcW w:w="2308"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1B4E0C2C"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Digital solution available - Interactive platform (IPSS)</w:t>
            </w:r>
          </w:p>
        </w:tc>
      </w:tr>
      <w:tr w:rsidR="00232882" w:rsidRPr="001961AA" w14:paraId="3AD6CD20" w14:textId="77777777" w:rsidTr="00575B6B">
        <w:trPr>
          <w:trHeight w:val="315"/>
        </w:trPr>
        <w:tc>
          <w:tcPr>
            <w:tcW w:w="345"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5503C1E5"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55</w:t>
            </w:r>
          </w:p>
        </w:tc>
        <w:tc>
          <w:tcPr>
            <w:tcW w:w="2014"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0C325752"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Digitalisation SPF (I-2.05) (sub-measure: 2, 3, 4, 5, 6, 8, 9, 11 and 12)</w:t>
            </w:r>
          </w:p>
        </w:tc>
        <w:tc>
          <w:tcPr>
            <w:tcW w:w="333"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024C9233"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w:t>
            </w:r>
          </w:p>
        </w:tc>
        <w:tc>
          <w:tcPr>
            <w:tcW w:w="2308"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4E9164DA"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Projects are completed and the output is operational</w:t>
            </w:r>
          </w:p>
        </w:tc>
      </w:tr>
      <w:tr w:rsidR="00232882" w:rsidRPr="001961AA" w14:paraId="6622367E" w14:textId="77777777" w:rsidTr="00575B6B">
        <w:trPr>
          <w:trHeight w:val="315"/>
        </w:trPr>
        <w:tc>
          <w:tcPr>
            <w:tcW w:w="345"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5D880B81"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66</w:t>
            </w:r>
          </w:p>
        </w:tc>
        <w:tc>
          <w:tcPr>
            <w:tcW w:w="2014"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472E4D9F"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Digitalisation of the cultural and media sector (I-2.08)</w:t>
            </w:r>
          </w:p>
        </w:tc>
        <w:tc>
          <w:tcPr>
            <w:tcW w:w="333"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5664ACF8"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T</w:t>
            </w:r>
          </w:p>
        </w:tc>
        <w:tc>
          <w:tcPr>
            <w:tcW w:w="2308"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6F4C889F"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 xml:space="preserve">Completion of projects for digitized and enhanced audio visual and audio works </w:t>
            </w:r>
          </w:p>
        </w:tc>
      </w:tr>
      <w:tr w:rsidR="00232882" w:rsidRPr="001961AA" w14:paraId="7014571C" w14:textId="77777777" w:rsidTr="00575B6B">
        <w:trPr>
          <w:trHeight w:val="315"/>
        </w:trPr>
        <w:tc>
          <w:tcPr>
            <w:tcW w:w="345"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49916DFE"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67</w:t>
            </w:r>
          </w:p>
        </w:tc>
        <w:tc>
          <w:tcPr>
            <w:tcW w:w="2014"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6B358A87"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Digitalisation of the cultural and media sector (I-2.08)</w:t>
            </w:r>
          </w:p>
        </w:tc>
        <w:tc>
          <w:tcPr>
            <w:tcW w:w="333"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00105468"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T</w:t>
            </w:r>
          </w:p>
        </w:tc>
        <w:tc>
          <w:tcPr>
            <w:tcW w:w="2308"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0D82DAE6"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Integration by pilot cultural and media operators of technological tools</w:t>
            </w:r>
          </w:p>
        </w:tc>
      </w:tr>
      <w:tr w:rsidR="00232882" w:rsidRPr="001961AA" w14:paraId="5E302F3B" w14:textId="77777777" w:rsidTr="00575B6B">
        <w:trPr>
          <w:trHeight w:val="315"/>
        </w:trPr>
        <w:tc>
          <w:tcPr>
            <w:tcW w:w="345"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575EC573"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80</w:t>
            </w:r>
          </w:p>
        </w:tc>
        <w:tc>
          <w:tcPr>
            <w:tcW w:w="2014"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69C9B35A"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Coverage of white areas by developing very high speed fibre optic networks (I-2.13)</w:t>
            </w:r>
          </w:p>
        </w:tc>
        <w:tc>
          <w:tcPr>
            <w:tcW w:w="333"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79F27715"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T</w:t>
            </w:r>
          </w:p>
        </w:tc>
        <w:tc>
          <w:tcPr>
            <w:tcW w:w="2308"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65CF5657"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Coverage</w:t>
            </w:r>
          </w:p>
        </w:tc>
      </w:tr>
      <w:tr w:rsidR="00232882" w:rsidRPr="001961AA" w14:paraId="0DBD2439" w14:textId="77777777" w:rsidTr="00575B6B">
        <w:trPr>
          <w:trHeight w:val="315"/>
        </w:trPr>
        <w:tc>
          <w:tcPr>
            <w:tcW w:w="345"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7990CC49"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96</w:t>
            </w:r>
          </w:p>
        </w:tc>
        <w:tc>
          <w:tcPr>
            <w:tcW w:w="2014"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42FA1544"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Cycling infrastructure (I-3A)</w:t>
            </w:r>
          </w:p>
        </w:tc>
        <w:tc>
          <w:tcPr>
            <w:tcW w:w="333"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0F0E9837"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T</w:t>
            </w:r>
          </w:p>
        </w:tc>
        <w:tc>
          <w:tcPr>
            <w:tcW w:w="2308"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3DF22689"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New and refurbished cycling roads</w:t>
            </w:r>
          </w:p>
        </w:tc>
      </w:tr>
      <w:tr w:rsidR="00232882" w:rsidRPr="001961AA" w14:paraId="7FC7DEA5" w14:textId="77777777" w:rsidTr="00575B6B">
        <w:trPr>
          <w:trHeight w:val="315"/>
        </w:trPr>
        <w:tc>
          <w:tcPr>
            <w:tcW w:w="345"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2C235901"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97</w:t>
            </w:r>
          </w:p>
        </w:tc>
        <w:tc>
          <w:tcPr>
            <w:tcW w:w="2014"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631A3AFA" w14:textId="33C7C503"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Cycling infrastructure – VeloPlus – RBC (I-3.03a)</w:t>
            </w:r>
          </w:p>
        </w:tc>
        <w:tc>
          <w:tcPr>
            <w:tcW w:w="333"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00556AD5"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T</w:t>
            </w:r>
          </w:p>
        </w:tc>
        <w:tc>
          <w:tcPr>
            <w:tcW w:w="2308"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67F010F8"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New public cycling parking for residents</w:t>
            </w:r>
          </w:p>
        </w:tc>
      </w:tr>
      <w:tr w:rsidR="00232882" w:rsidRPr="001961AA" w14:paraId="117DE3F1" w14:textId="77777777" w:rsidTr="00575B6B">
        <w:trPr>
          <w:trHeight w:val="315"/>
        </w:trPr>
        <w:tc>
          <w:tcPr>
            <w:tcW w:w="345"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31B56564"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101</w:t>
            </w:r>
          </w:p>
        </w:tc>
        <w:tc>
          <w:tcPr>
            <w:tcW w:w="2014"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16FF7423"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Enhancing public transport in Wallonia (I-3B)</w:t>
            </w:r>
          </w:p>
        </w:tc>
        <w:tc>
          <w:tcPr>
            <w:tcW w:w="333"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61172F24"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T</w:t>
            </w:r>
          </w:p>
        </w:tc>
        <w:tc>
          <w:tcPr>
            <w:tcW w:w="2308"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51785C68"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Completion of works and crossroads with smart road traffic lights</w:t>
            </w:r>
          </w:p>
        </w:tc>
      </w:tr>
      <w:tr w:rsidR="00232882" w:rsidRPr="001961AA" w14:paraId="05920DD3" w14:textId="77777777" w:rsidTr="00575B6B">
        <w:trPr>
          <w:trHeight w:val="315"/>
        </w:trPr>
        <w:tc>
          <w:tcPr>
            <w:tcW w:w="345"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259E4615"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105</w:t>
            </w:r>
          </w:p>
        </w:tc>
        <w:tc>
          <w:tcPr>
            <w:tcW w:w="2014"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43F34994"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Rail refurbishment and station accessibility works (I-3C)</w:t>
            </w:r>
          </w:p>
        </w:tc>
        <w:tc>
          <w:tcPr>
            <w:tcW w:w="333"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675A8436"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T</w:t>
            </w:r>
          </w:p>
        </w:tc>
        <w:tc>
          <w:tcPr>
            <w:tcW w:w="2308"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168EF678"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Completion of rail refurbishment and modernisation works and station accessibility works (step 3)</w:t>
            </w:r>
          </w:p>
        </w:tc>
      </w:tr>
      <w:tr w:rsidR="00232882" w:rsidRPr="001961AA" w14:paraId="0F6BA37A" w14:textId="77777777" w:rsidTr="00575B6B">
        <w:trPr>
          <w:trHeight w:val="315"/>
        </w:trPr>
        <w:tc>
          <w:tcPr>
            <w:tcW w:w="345"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4F28FBEB"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107</w:t>
            </w:r>
          </w:p>
        </w:tc>
        <w:tc>
          <w:tcPr>
            <w:tcW w:w="2014"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72553CE9"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Canal Albert and Trilogiport (I-3.11)</w:t>
            </w:r>
          </w:p>
        </w:tc>
        <w:tc>
          <w:tcPr>
            <w:tcW w:w="333"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4B0EAEFB"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T</w:t>
            </w:r>
          </w:p>
        </w:tc>
        <w:tc>
          <w:tcPr>
            <w:tcW w:w="2308"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0D5BA23D"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Completion of the works of the bridges over Canal Albert / and a new platform at Trilogiport</w:t>
            </w:r>
          </w:p>
        </w:tc>
      </w:tr>
      <w:tr w:rsidR="00641CB2" w:rsidRPr="001961AA" w14:paraId="34C38D8B" w14:textId="77777777" w:rsidTr="009A3987">
        <w:trPr>
          <w:trHeight w:val="315"/>
        </w:trPr>
        <w:tc>
          <w:tcPr>
            <w:tcW w:w="345" w:type="pct"/>
            <w:tcBorders>
              <w:top w:val="single" w:sz="4" w:space="0" w:color="auto"/>
              <w:left w:val="single" w:sz="4" w:space="0" w:color="auto"/>
              <w:bottom w:val="single" w:sz="4" w:space="0" w:color="auto"/>
              <w:right w:val="single" w:sz="4" w:space="0" w:color="auto"/>
            </w:tcBorders>
            <w:shd w:val="clear" w:color="auto" w:fill="C6EFCE"/>
            <w:noWrap/>
          </w:tcPr>
          <w:p w14:paraId="7BA918BC" w14:textId="0228FBE9" w:rsidR="00641CB2" w:rsidRPr="001961AA" w:rsidRDefault="00641CB2" w:rsidP="009A3987">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115 b</w:t>
            </w:r>
          </w:p>
        </w:tc>
        <w:tc>
          <w:tcPr>
            <w:tcW w:w="2014" w:type="pct"/>
            <w:tcBorders>
              <w:top w:val="single" w:sz="4" w:space="0" w:color="auto"/>
              <w:left w:val="single" w:sz="4" w:space="0" w:color="auto"/>
              <w:bottom w:val="single" w:sz="4" w:space="0" w:color="auto"/>
              <w:right w:val="single" w:sz="4" w:space="0" w:color="auto"/>
            </w:tcBorders>
            <w:shd w:val="clear" w:color="auto" w:fill="C6EFCE"/>
            <w:noWrap/>
          </w:tcPr>
          <w:p w14:paraId="2126DF1B" w14:textId="7954CE77" w:rsidR="00641CB2" w:rsidRPr="001961AA" w:rsidRDefault="00641CB2" w:rsidP="00C854E9">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Greening the bus fleet –(I-3G)</w:t>
            </w:r>
          </w:p>
        </w:tc>
        <w:tc>
          <w:tcPr>
            <w:tcW w:w="333" w:type="pct"/>
            <w:tcBorders>
              <w:top w:val="single" w:sz="4" w:space="0" w:color="auto"/>
              <w:left w:val="single" w:sz="4" w:space="0" w:color="auto"/>
              <w:bottom w:val="single" w:sz="4" w:space="0" w:color="auto"/>
              <w:right w:val="single" w:sz="4" w:space="0" w:color="auto"/>
            </w:tcBorders>
            <w:shd w:val="clear" w:color="auto" w:fill="C6EFCE"/>
            <w:noWrap/>
          </w:tcPr>
          <w:p w14:paraId="6B49DD8E" w14:textId="4581AD9C" w:rsidR="00641CB2" w:rsidRPr="001961AA" w:rsidRDefault="00641CB2" w:rsidP="00C854E9">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T</w:t>
            </w:r>
          </w:p>
        </w:tc>
        <w:tc>
          <w:tcPr>
            <w:tcW w:w="2308" w:type="pct"/>
            <w:tcBorders>
              <w:top w:val="single" w:sz="4" w:space="0" w:color="auto"/>
              <w:left w:val="single" w:sz="4" w:space="0" w:color="auto"/>
              <w:bottom w:val="single" w:sz="4" w:space="0" w:color="auto"/>
              <w:right w:val="single" w:sz="4" w:space="0" w:color="auto"/>
            </w:tcBorders>
            <w:shd w:val="clear" w:color="auto" w:fill="C6EFCE"/>
            <w:noWrap/>
          </w:tcPr>
          <w:p w14:paraId="0BC58D1F" w14:textId="1AEE0653" w:rsidR="00641CB2" w:rsidRPr="001961AA" w:rsidRDefault="00641CB2" w:rsidP="00C854E9">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Green buses placed in service and depot newly built in Wallonia</w:t>
            </w:r>
          </w:p>
        </w:tc>
      </w:tr>
      <w:tr w:rsidR="00232882" w:rsidRPr="001961AA" w14:paraId="66CDB796" w14:textId="77777777" w:rsidTr="00575B6B">
        <w:trPr>
          <w:trHeight w:val="315"/>
        </w:trPr>
        <w:tc>
          <w:tcPr>
            <w:tcW w:w="345"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2F6B4455"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123</w:t>
            </w:r>
          </w:p>
        </w:tc>
        <w:tc>
          <w:tcPr>
            <w:tcW w:w="2014"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41292F85"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Charging stations (I-3F)</w:t>
            </w:r>
          </w:p>
        </w:tc>
        <w:tc>
          <w:tcPr>
            <w:tcW w:w="333"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6410D576" w14:textId="77777777" w:rsidR="00232882" w:rsidRPr="001961AA" w:rsidRDefault="00232882" w:rsidP="006A6B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T</w:t>
            </w:r>
          </w:p>
        </w:tc>
        <w:tc>
          <w:tcPr>
            <w:tcW w:w="2308"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74D9E907" w14:textId="77777777" w:rsidR="00232882" w:rsidRPr="001961AA" w:rsidRDefault="00232882" w:rsidP="006A6B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Additional operational private, semi-public and public charging points (step 3)</w:t>
            </w:r>
          </w:p>
        </w:tc>
      </w:tr>
      <w:tr w:rsidR="00232882" w:rsidRPr="001961AA" w14:paraId="7CED010C" w14:textId="77777777" w:rsidTr="00575B6B">
        <w:trPr>
          <w:trHeight w:val="315"/>
        </w:trPr>
        <w:tc>
          <w:tcPr>
            <w:tcW w:w="345"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7D08F40B" w14:textId="77777777" w:rsidR="00232882" w:rsidRPr="001961AA" w:rsidRDefault="00232882" w:rsidP="006726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133</w:t>
            </w:r>
          </w:p>
        </w:tc>
        <w:tc>
          <w:tcPr>
            <w:tcW w:w="2014"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5B87422E" w14:textId="77777777" w:rsidR="00232882" w:rsidRPr="001961AA" w:rsidRDefault="00232882" w:rsidP="006726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Provision of digital equipment and IT infrastructure to schools’ (I-4)</w:t>
            </w:r>
          </w:p>
        </w:tc>
        <w:tc>
          <w:tcPr>
            <w:tcW w:w="333"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6F02C609" w14:textId="77777777" w:rsidR="00232882" w:rsidRPr="001961AA" w:rsidRDefault="00232882" w:rsidP="006726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T</w:t>
            </w:r>
          </w:p>
        </w:tc>
        <w:tc>
          <w:tcPr>
            <w:tcW w:w="2308"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5874339D" w14:textId="77777777" w:rsidR="00232882" w:rsidRPr="001961AA" w:rsidRDefault="00232882" w:rsidP="006726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Equipping schools/institutions with adequate ICT devices and infrastructure to improve the overall performance of education systems</w:t>
            </w:r>
          </w:p>
        </w:tc>
      </w:tr>
      <w:tr w:rsidR="00232882" w:rsidRPr="001961AA" w14:paraId="060D5018" w14:textId="77777777" w:rsidTr="00575B6B">
        <w:trPr>
          <w:trHeight w:val="315"/>
        </w:trPr>
        <w:tc>
          <w:tcPr>
            <w:tcW w:w="345"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2B4E2298" w14:textId="77777777" w:rsidR="00232882" w:rsidRPr="001961AA" w:rsidRDefault="00232882" w:rsidP="006726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155</w:t>
            </w:r>
          </w:p>
        </w:tc>
        <w:tc>
          <w:tcPr>
            <w:tcW w:w="2014"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6F91F729" w14:textId="77777777" w:rsidR="00232882" w:rsidRPr="001961AA" w:rsidRDefault="00232882" w:rsidP="006726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Building and renovation of early childcare infrastructure (I-4.13)</w:t>
            </w:r>
          </w:p>
        </w:tc>
        <w:tc>
          <w:tcPr>
            <w:tcW w:w="333"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4DC3C6D8" w14:textId="77777777" w:rsidR="00232882" w:rsidRPr="001961AA" w:rsidRDefault="00232882" w:rsidP="006726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T</w:t>
            </w:r>
          </w:p>
        </w:tc>
        <w:tc>
          <w:tcPr>
            <w:tcW w:w="2308"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6AB03C7C" w14:textId="77777777" w:rsidR="00232882" w:rsidRPr="001961AA" w:rsidRDefault="00232882" w:rsidP="006726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Opening of childcare places</w:t>
            </w:r>
          </w:p>
        </w:tc>
      </w:tr>
      <w:tr w:rsidR="00232882" w:rsidRPr="001961AA" w14:paraId="613023AE" w14:textId="77777777" w:rsidTr="00575B6B">
        <w:trPr>
          <w:trHeight w:val="315"/>
        </w:trPr>
        <w:tc>
          <w:tcPr>
            <w:tcW w:w="345"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47C6638A" w14:textId="77777777" w:rsidR="00232882" w:rsidRPr="001961AA" w:rsidRDefault="00232882" w:rsidP="006726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153</w:t>
            </w:r>
          </w:p>
        </w:tc>
        <w:tc>
          <w:tcPr>
            <w:tcW w:w="2014"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20E56F2A" w14:textId="77777777" w:rsidR="00232882" w:rsidRPr="001961AA" w:rsidRDefault="00232882" w:rsidP="006726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Development of public utility housing and housing for vulnerable persons (I-4.12)</w:t>
            </w:r>
          </w:p>
        </w:tc>
        <w:tc>
          <w:tcPr>
            <w:tcW w:w="333"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1CE6636B" w14:textId="77777777" w:rsidR="00232882" w:rsidRPr="001961AA" w:rsidRDefault="00232882" w:rsidP="006726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T</w:t>
            </w:r>
          </w:p>
        </w:tc>
        <w:tc>
          <w:tcPr>
            <w:tcW w:w="2308"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4D80CC73" w14:textId="77777777" w:rsidR="00232882" w:rsidRPr="001961AA" w:rsidRDefault="00232882" w:rsidP="006726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Housing units ready to be occupied</w:t>
            </w:r>
          </w:p>
        </w:tc>
      </w:tr>
      <w:tr w:rsidR="00232882" w:rsidRPr="001961AA" w14:paraId="78814FAD" w14:textId="77777777" w:rsidTr="00575B6B">
        <w:trPr>
          <w:trHeight w:val="315"/>
        </w:trPr>
        <w:tc>
          <w:tcPr>
            <w:tcW w:w="345"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0ED5A421" w14:textId="77777777" w:rsidR="00232882" w:rsidRPr="001961AA" w:rsidRDefault="00232882" w:rsidP="006726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162</w:t>
            </w:r>
          </w:p>
        </w:tc>
        <w:tc>
          <w:tcPr>
            <w:tcW w:w="2014"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35063844" w14:textId="77777777" w:rsidR="00232882" w:rsidRPr="001961AA" w:rsidRDefault="00232882" w:rsidP="006726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A6K/E6K Digital and Technological Innovation and Training Hub (I-5.01)</w:t>
            </w:r>
          </w:p>
        </w:tc>
        <w:tc>
          <w:tcPr>
            <w:tcW w:w="333"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4AA95DF9" w14:textId="77777777" w:rsidR="00232882" w:rsidRPr="001961AA" w:rsidRDefault="00232882" w:rsidP="006726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T</w:t>
            </w:r>
          </w:p>
        </w:tc>
        <w:tc>
          <w:tcPr>
            <w:tcW w:w="2308"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5E86E80E" w14:textId="77777777" w:rsidR="00232882" w:rsidRPr="001961AA" w:rsidRDefault="00232882" w:rsidP="006726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Finalisation of A6K-E6K renovation and extension</w:t>
            </w:r>
          </w:p>
        </w:tc>
      </w:tr>
      <w:tr w:rsidR="00232882" w:rsidRPr="001961AA" w14:paraId="684E43B3" w14:textId="77777777" w:rsidTr="00575B6B">
        <w:trPr>
          <w:trHeight w:val="315"/>
        </w:trPr>
        <w:tc>
          <w:tcPr>
            <w:tcW w:w="345"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13DAA3F3" w14:textId="77777777" w:rsidR="00232882" w:rsidRPr="001961AA" w:rsidRDefault="00232882" w:rsidP="006726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163</w:t>
            </w:r>
          </w:p>
        </w:tc>
        <w:tc>
          <w:tcPr>
            <w:tcW w:w="2014"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45D05DBF" w14:textId="77777777" w:rsidR="00232882" w:rsidRPr="001961AA" w:rsidRDefault="00232882" w:rsidP="006726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Upgrading of advanced training infrastructure (I-5.03)</w:t>
            </w:r>
          </w:p>
        </w:tc>
        <w:tc>
          <w:tcPr>
            <w:tcW w:w="333"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65A93244" w14:textId="77777777" w:rsidR="00232882" w:rsidRPr="001961AA" w:rsidRDefault="00232882" w:rsidP="006726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T</w:t>
            </w:r>
          </w:p>
        </w:tc>
        <w:tc>
          <w:tcPr>
            <w:tcW w:w="2308"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26FA384A" w14:textId="77777777" w:rsidR="00232882" w:rsidRPr="001961AA" w:rsidRDefault="00232882" w:rsidP="006726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Buildings and equipment for training, employment services</w:t>
            </w:r>
          </w:p>
        </w:tc>
      </w:tr>
      <w:tr w:rsidR="00232882" w:rsidRPr="001961AA" w14:paraId="5F37A18B" w14:textId="77777777" w:rsidTr="00575B6B">
        <w:trPr>
          <w:trHeight w:val="315"/>
        </w:trPr>
        <w:tc>
          <w:tcPr>
            <w:tcW w:w="345"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1D881B8C" w14:textId="77777777" w:rsidR="00232882" w:rsidRPr="001961AA" w:rsidRDefault="00232882" w:rsidP="006726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171</w:t>
            </w:r>
          </w:p>
        </w:tc>
        <w:tc>
          <w:tcPr>
            <w:tcW w:w="2014"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09958475" w14:textId="77777777" w:rsidR="00232882" w:rsidRPr="001961AA" w:rsidRDefault="00232882" w:rsidP="006726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Digital lifelong learning (I-5.07)</w:t>
            </w:r>
          </w:p>
        </w:tc>
        <w:tc>
          <w:tcPr>
            <w:tcW w:w="333"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480731A1" w14:textId="77777777" w:rsidR="00232882" w:rsidRPr="001961AA" w:rsidRDefault="00232882" w:rsidP="006726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w:t>
            </w:r>
          </w:p>
        </w:tc>
        <w:tc>
          <w:tcPr>
            <w:tcW w:w="2308"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5707BF02" w14:textId="49AA5CCD" w:rsidR="00232882" w:rsidRPr="001961AA" w:rsidRDefault="00232882" w:rsidP="006726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Modernisation of the provision of coaching and training in digital skills, including basic digital skills in Wallonia, through digital tools, state-of-the-art infrastructure, competent mentoring and innovative projects</w:t>
            </w:r>
          </w:p>
        </w:tc>
      </w:tr>
      <w:tr w:rsidR="00232882" w:rsidRPr="001961AA" w14:paraId="0C74D833" w14:textId="77777777" w:rsidTr="00575B6B">
        <w:trPr>
          <w:trHeight w:val="315"/>
        </w:trPr>
        <w:tc>
          <w:tcPr>
            <w:tcW w:w="345"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743D27F6" w14:textId="77777777" w:rsidR="00232882" w:rsidRPr="001961AA" w:rsidRDefault="00232882" w:rsidP="006726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179</w:t>
            </w:r>
          </w:p>
        </w:tc>
        <w:tc>
          <w:tcPr>
            <w:tcW w:w="2014"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6932F9BB" w14:textId="77777777" w:rsidR="00232882" w:rsidRPr="001961AA" w:rsidRDefault="00232882" w:rsidP="006726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Nuclear medicine (I-5.08)</w:t>
            </w:r>
          </w:p>
        </w:tc>
        <w:tc>
          <w:tcPr>
            <w:tcW w:w="333"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63A37464" w14:textId="77777777" w:rsidR="00232882" w:rsidRPr="001961AA" w:rsidRDefault="00232882" w:rsidP="006726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w:t>
            </w:r>
          </w:p>
        </w:tc>
        <w:tc>
          <w:tcPr>
            <w:tcW w:w="2308"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10B50B07" w14:textId="77777777" w:rsidR="00232882" w:rsidRPr="001961AA" w:rsidRDefault="00232882" w:rsidP="006726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Radioisotope facility constructed and commissioned (FANC and FAGG)</w:t>
            </w:r>
          </w:p>
        </w:tc>
      </w:tr>
      <w:tr w:rsidR="00232882" w:rsidRPr="001961AA" w14:paraId="309CB317" w14:textId="77777777" w:rsidTr="00575B6B">
        <w:trPr>
          <w:trHeight w:val="315"/>
        </w:trPr>
        <w:tc>
          <w:tcPr>
            <w:tcW w:w="345"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7996C908" w14:textId="77777777" w:rsidR="00232882" w:rsidRPr="001961AA" w:rsidRDefault="00232882" w:rsidP="006726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185</w:t>
            </w:r>
          </w:p>
        </w:tc>
        <w:tc>
          <w:tcPr>
            <w:tcW w:w="2014"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28AB3410" w14:textId="77777777" w:rsidR="00232882" w:rsidRPr="001961AA" w:rsidRDefault="00232882" w:rsidP="006726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R&amp;D: Minimization of waste during dismantling (I-5.10)</w:t>
            </w:r>
          </w:p>
        </w:tc>
        <w:tc>
          <w:tcPr>
            <w:tcW w:w="333"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4AF922E7" w14:textId="77777777" w:rsidR="00232882" w:rsidRPr="001961AA" w:rsidRDefault="00232882" w:rsidP="006726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w:t>
            </w:r>
          </w:p>
        </w:tc>
        <w:tc>
          <w:tcPr>
            <w:tcW w:w="2308"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52BCD0A2" w14:textId="77777777" w:rsidR="00232882" w:rsidRPr="001961AA" w:rsidRDefault="00232882" w:rsidP="006726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Material Treatment facility (MaT) constructed and commissioned; desk top study finalised</w:t>
            </w:r>
          </w:p>
        </w:tc>
      </w:tr>
      <w:tr w:rsidR="00232882" w:rsidRPr="001961AA" w14:paraId="0643E1E1" w14:textId="77777777" w:rsidTr="00575B6B">
        <w:trPr>
          <w:trHeight w:val="315"/>
        </w:trPr>
        <w:tc>
          <w:tcPr>
            <w:tcW w:w="345"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068F43D7" w14:textId="77777777" w:rsidR="00232882" w:rsidRPr="001961AA" w:rsidRDefault="00232882" w:rsidP="006726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187</w:t>
            </w:r>
          </w:p>
        </w:tc>
        <w:tc>
          <w:tcPr>
            <w:tcW w:w="2014"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412A3159" w14:textId="77777777" w:rsidR="00232882" w:rsidRPr="001961AA" w:rsidRDefault="00232882" w:rsidP="006726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Strengthen R&amp;D (I-5.11)</w:t>
            </w:r>
          </w:p>
        </w:tc>
        <w:tc>
          <w:tcPr>
            <w:tcW w:w="333"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0AB3FD8D" w14:textId="77777777" w:rsidR="00232882" w:rsidRPr="001961AA" w:rsidRDefault="00232882" w:rsidP="006726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T</w:t>
            </w:r>
          </w:p>
        </w:tc>
        <w:tc>
          <w:tcPr>
            <w:tcW w:w="2308"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3612B203" w14:textId="77777777" w:rsidR="00232882" w:rsidRPr="001961AA" w:rsidRDefault="00232882" w:rsidP="006726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Completion of awarded R&amp;D and infrastructure projects</w:t>
            </w:r>
          </w:p>
        </w:tc>
      </w:tr>
      <w:tr w:rsidR="00232882" w:rsidRPr="001961AA" w14:paraId="5F22E6A1" w14:textId="77777777" w:rsidTr="00575B6B">
        <w:trPr>
          <w:trHeight w:val="315"/>
        </w:trPr>
        <w:tc>
          <w:tcPr>
            <w:tcW w:w="345"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753D1E78" w14:textId="77777777" w:rsidR="00232882" w:rsidRPr="001961AA" w:rsidRDefault="00232882" w:rsidP="006726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191</w:t>
            </w:r>
          </w:p>
        </w:tc>
        <w:tc>
          <w:tcPr>
            <w:tcW w:w="2014"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44C6E877" w14:textId="77777777" w:rsidR="00232882" w:rsidRPr="001961AA" w:rsidRDefault="00232882" w:rsidP="006726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Relocation of food and development of logistics platforms (I-5.12)</w:t>
            </w:r>
          </w:p>
        </w:tc>
        <w:tc>
          <w:tcPr>
            <w:tcW w:w="333"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1DD0F546" w14:textId="77777777" w:rsidR="00232882" w:rsidRPr="001961AA" w:rsidRDefault="00232882" w:rsidP="006726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T</w:t>
            </w:r>
          </w:p>
        </w:tc>
        <w:tc>
          <w:tcPr>
            <w:tcW w:w="2308"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745E4250" w14:textId="77777777" w:rsidR="00232882" w:rsidRPr="001961AA" w:rsidRDefault="00232882" w:rsidP="006726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 xml:space="preserve">Construction of at least five pieces of infrastructure, 30 small scale infrastructure and 4 larger structuring projects, is completed </w:t>
            </w:r>
          </w:p>
        </w:tc>
      </w:tr>
      <w:tr w:rsidR="00232882" w:rsidRPr="001961AA" w14:paraId="307BA119" w14:textId="77777777" w:rsidTr="00575B6B">
        <w:trPr>
          <w:trHeight w:val="315"/>
        </w:trPr>
        <w:tc>
          <w:tcPr>
            <w:tcW w:w="345"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58F69A29" w14:textId="77777777" w:rsidR="00232882" w:rsidRPr="001961AA" w:rsidRDefault="00232882" w:rsidP="006726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198</w:t>
            </w:r>
          </w:p>
        </w:tc>
        <w:tc>
          <w:tcPr>
            <w:tcW w:w="2014"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0784F169" w14:textId="77777777" w:rsidR="00232882" w:rsidRPr="001961AA" w:rsidRDefault="00232882" w:rsidP="006726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Recycling Hub (I-5.14)</w:t>
            </w:r>
          </w:p>
        </w:tc>
        <w:tc>
          <w:tcPr>
            <w:tcW w:w="333"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122E0CCF" w14:textId="77777777" w:rsidR="00232882" w:rsidRPr="001961AA" w:rsidRDefault="00232882" w:rsidP="006726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T</w:t>
            </w:r>
          </w:p>
        </w:tc>
        <w:tc>
          <w:tcPr>
            <w:tcW w:w="2308"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0BAE1581" w14:textId="77777777" w:rsidR="00232882" w:rsidRPr="001961AA" w:rsidRDefault="00232882" w:rsidP="006726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Completion of works in six recycling facilities</w:t>
            </w:r>
          </w:p>
        </w:tc>
      </w:tr>
      <w:tr w:rsidR="00232882" w:rsidRPr="001961AA" w14:paraId="2464DED7" w14:textId="77777777" w:rsidTr="00575B6B">
        <w:trPr>
          <w:trHeight w:val="315"/>
        </w:trPr>
        <w:tc>
          <w:tcPr>
            <w:tcW w:w="345"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11E00E82" w14:textId="77777777" w:rsidR="00232882" w:rsidRPr="001961AA" w:rsidRDefault="00232882" w:rsidP="006726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200</w:t>
            </w:r>
          </w:p>
        </w:tc>
        <w:tc>
          <w:tcPr>
            <w:tcW w:w="2014"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5B993D35" w14:textId="77777777" w:rsidR="00232882" w:rsidRPr="001961AA" w:rsidRDefault="00232882" w:rsidP="006726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Belgium Builds Back Circular (I-5.15)</w:t>
            </w:r>
          </w:p>
        </w:tc>
        <w:tc>
          <w:tcPr>
            <w:tcW w:w="333"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20CE0BFF" w14:textId="77777777" w:rsidR="00232882" w:rsidRPr="001961AA" w:rsidRDefault="00232882" w:rsidP="006726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w:t>
            </w:r>
          </w:p>
        </w:tc>
        <w:tc>
          <w:tcPr>
            <w:tcW w:w="2308"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1BAF0523" w14:textId="77777777" w:rsidR="00232882" w:rsidRPr="001961AA" w:rsidRDefault="00232882" w:rsidP="006726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Completion of awareness raising and information actions to SME’s and of circular projects</w:t>
            </w:r>
          </w:p>
        </w:tc>
      </w:tr>
      <w:tr w:rsidR="00232882" w:rsidRPr="001961AA" w14:paraId="05B115D9" w14:textId="77777777" w:rsidTr="00575B6B">
        <w:trPr>
          <w:trHeight w:val="315"/>
        </w:trPr>
        <w:tc>
          <w:tcPr>
            <w:tcW w:w="345"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4CC5B0C0" w14:textId="77777777" w:rsidR="00232882" w:rsidRPr="001961AA" w:rsidRDefault="00232882" w:rsidP="006726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202</w:t>
            </w:r>
          </w:p>
        </w:tc>
        <w:tc>
          <w:tcPr>
            <w:tcW w:w="2014"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571A9D00" w14:textId="77777777" w:rsidR="00232882" w:rsidRPr="001961AA" w:rsidRDefault="00232882" w:rsidP="006726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Deployment of the circular economy in Wallonia (I-5.16)</w:t>
            </w:r>
          </w:p>
        </w:tc>
        <w:tc>
          <w:tcPr>
            <w:tcW w:w="333"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3305EE61" w14:textId="77777777" w:rsidR="00232882" w:rsidRPr="001961AA" w:rsidRDefault="00232882" w:rsidP="006726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T</w:t>
            </w:r>
          </w:p>
        </w:tc>
        <w:tc>
          <w:tcPr>
            <w:tcW w:w="2308"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0596CFDD" w14:textId="77777777" w:rsidR="00232882" w:rsidRPr="001961AA" w:rsidRDefault="00232882" w:rsidP="006726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Completion of projects promoting circular economy in Wallonia</w:t>
            </w:r>
          </w:p>
        </w:tc>
      </w:tr>
      <w:tr w:rsidR="00232882" w:rsidRPr="001961AA" w14:paraId="4AA09217" w14:textId="77777777" w:rsidTr="00575B6B">
        <w:trPr>
          <w:trHeight w:val="315"/>
        </w:trPr>
        <w:tc>
          <w:tcPr>
            <w:tcW w:w="345"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759FE106" w14:textId="77777777" w:rsidR="00232882" w:rsidRPr="001961AA" w:rsidRDefault="00232882" w:rsidP="006726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215</w:t>
            </w:r>
          </w:p>
        </w:tc>
        <w:tc>
          <w:tcPr>
            <w:tcW w:w="2014"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1188900E" w14:textId="77777777" w:rsidR="00232882" w:rsidRPr="001961AA" w:rsidRDefault="00232882" w:rsidP="006726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Renovation of social housing – WAL (I-7.04)</w:t>
            </w:r>
          </w:p>
        </w:tc>
        <w:tc>
          <w:tcPr>
            <w:tcW w:w="333"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3F0B19B7" w14:textId="77777777" w:rsidR="00232882" w:rsidRPr="001961AA" w:rsidRDefault="00232882" w:rsidP="006726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T</w:t>
            </w:r>
          </w:p>
        </w:tc>
        <w:tc>
          <w:tcPr>
            <w:tcW w:w="2308"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27E656E7" w14:textId="77777777" w:rsidR="00232882" w:rsidRPr="001961AA" w:rsidRDefault="00232882" w:rsidP="006726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 xml:space="preserve">Solar panels and heat pumps in social housing </w:t>
            </w:r>
          </w:p>
        </w:tc>
      </w:tr>
      <w:tr w:rsidR="00232882" w:rsidRPr="001961AA" w14:paraId="27564A24" w14:textId="77777777" w:rsidTr="00575B6B">
        <w:trPr>
          <w:trHeight w:val="315"/>
        </w:trPr>
        <w:tc>
          <w:tcPr>
            <w:tcW w:w="345"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0D1162B6" w14:textId="77777777" w:rsidR="00232882" w:rsidRPr="001961AA" w:rsidRDefault="00232882" w:rsidP="006726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218</w:t>
            </w:r>
          </w:p>
        </w:tc>
        <w:tc>
          <w:tcPr>
            <w:tcW w:w="2014"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6F04983C" w14:textId="27A9A531" w:rsidR="00232882" w:rsidRPr="001961AA" w:rsidRDefault="00232882" w:rsidP="006726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Saving energy in public buildings – VLA (I-7)</w:t>
            </w:r>
          </w:p>
        </w:tc>
        <w:tc>
          <w:tcPr>
            <w:tcW w:w="333"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1E5137E0" w14:textId="77777777" w:rsidR="00232882" w:rsidRPr="001961AA" w:rsidRDefault="00232882" w:rsidP="006726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T</w:t>
            </w:r>
          </w:p>
        </w:tc>
        <w:tc>
          <w:tcPr>
            <w:tcW w:w="2308"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2CD94C71" w14:textId="77777777" w:rsidR="00232882" w:rsidRPr="001961AA" w:rsidRDefault="00232882" w:rsidP="006726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Energy-efficient renovation of public buildings</w:t>
            </w:r>
          </w:p>
        </w:tc>
      </w:tr>
      <w:tr w:rsidR="00232882" w:rsidRPr="001961AA" w14:paraId="3ACE5E5B" w14:textId="77777777" w:rsidTr="00575B6B">
        <w:trPr>
          <w:trHeight w:val="315"/>
        </w:trPr>
        <w:tc>
          <w:tcPr>
            <w:tcW w:w="345"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34671EAC" w14:textId="77777777" w:rsidR="00232882" w:rsidRPr="001961AA" w:rsidRDefault="00232882" w:rsidP="006726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222</w:t>
            </w:r>
          </w:p>
        </w:tc>
        <w:tc>
          <w:tcPr>
            <w:tcW w:w="2014"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73106CEB" w14:textId="77777777" w:rsidR="00232882" w:rsidRPr="001961AA" w:rsidRDefault="00232882" w:rsidP="006726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Energy import infrastructure (I-7.12)</w:t>
            </w:r>
          </w:p>
        </w:tc>
        <w:tc>
          <w:tcPr>
            <w:tcW w:w="333"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582F7BAA" w14:textId="77777777" w:rsidR="00232882" w:rsidRPr="001961AA" w:rsidRDefault="00232882" w:rsidP="006726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T</w:t>
            </w:r>
          </w:p>
        </w:tc>
        <w:tc>
          <w:tcPr>
            <w:tcW w:w="2308"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30A8122F" w14:textId="77777777" w:rsidR="00232882" w:rsidRPr="001961AA" w:rsidRDefault="00232882" w:rsidP="006726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Completion of projects awarded under the calls for projects</w:t>
            </w:r>
          </w:p>
        </w:tc>
      </w:tr>
      <w:tr w:rsidR="00232882" w:rsidRPr="001961AA" w14:paraId="34B0B951" w14:textId="77777777" w:rsidTr="00575B6B">
        <w:trPr>
          <w:trHeight w:val="315"/>
        </w:trPr>
        <w:tc>
          <w:tcPr>
            <w:tcW w:w="345"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1A069543" w14:textId="77777777" w:rsidR="00232882" w:rsidRPr="001961AA" w:rsidRDefault="00232882" w:rsidP="006726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224</w:t>
            </w:r>
          </w:p>
        </w:tc>
        <w:tc>
          <w:tcPr>
            <w:tcW w:w="2014"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0998FAC4" w14:textId="77777777" w:rsidR="00232882" w:rsidRPr="001961AA" w:rsidRDefault="00232882" w:rsidP="006726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Call for the decarbonisation of industry (I-7.13)</w:t>
            </w:r>
          </w:p>
        </w:tc>
        <w:tc>
          <w:tcPr>
            <w:tcW w:w="333"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4CD8F95C" w14:textId="77777777" w:rsidR="00232882" w:rsidRPr="001961AA" w:rsidRDefault="00232882" w:rsidP="006726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T</w:t>
            </w:r>
          </w:p>
        </w:tc>
        <w:tc>
          <w:tcPr>
            <w:tcW w:w="2308"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3AE31531" w14:textId="77777777" w:rsidR="00232882" w:rsidRPr="001961AA" w:rsidRDefault="00232882" w:rsidP="006726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Completion of projects awarded under the calls for projects</w:t>
            </w:r>
          </w:p>
        </w:tc>
      </w:tr>
      <w:tr w:rsidR="00232882" w:rsidRPr="001961AA" w14:paraId="26797A80" w14:textId="77777777" w:rsidTr="00575B6B">
        <w:trPr>
          <w:trHeight w:val="315"/>
        </w:trPr>
        <w:tc>
          <w:tcPr>
            <w:tcW w:w="345"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7AC21AF5" w14:textId="77777777" w:rsidR="00232882" w:rsidRPr="001961AA" w:rsidRDefault="00232882" w:rsidP="006726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225</w:t>
            </w:r>
          </w:p>
        </w:tc>
        <w:tc>
          <w:tcPr>
            <w:tcW w:w="2014"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03913499" w14:textId="77777777" w:rsidR="00232882" w:rsidRPr="001961AA" w:rsidRDefault="00232882" w:rsidP="006726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Call for climate measures in agriculture (I-7.14)</w:t>
            </w:r>
          </w:p>
        </w:tc>
        <w:tc>
          <w:tcPr>
            <w:tcW w:w="333"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749B9457" w14:textId="77777777" w:rsidR="00232882" w:rsidRPr="001961AA" w:rsidRDefault="00232882" w:rsidP="006726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T</w:t>
            </w:r>
          </w:p>
        </w:tc>
        <w:tc>
          <w:tcPr>
            <w:tcW w:w="2308"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0F96C7BE" w14:textId="77777777" w:rsidR="00232882" w:rsidRPr="001961AA" w:rsidRDefault="00232882" w:rsidP="006726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Completion of projects awarded under the calls for proposals</w:t>
            </w:r>
          </w:p>
        </w:tc>
      </w:tr>
      <w:tr w:rsidR="00232882" w:rsidRPr="001961AA" w14:paraId="3B966361" w14:textId="77777777" w:rsidTr="00575B6B">
        <w:trPr>
          <w:trHeight w:val="315"/>
        </w:trPr>
        <w:tc>
          <w:tcPr>
            <w:tcW w:w="345"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6F8899CB" w14:textId="77777777" w:rsidR="00232882" w:rsidRPr="001961AA" w:rsidRDefault="00232882" w:rsidP="006726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234</w:t>
            </w:r>
          </w:p>
        </w:tc>
        <w:tc>
          <w:tcPr>
            <w:tcW w:w="2014"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6680E9B8" w14:textId="77777777" w:rsidR="00232882" w:rsidRPr="001961AA" w:rsidRDefault="00232882" w:rsidP="006726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Optimization of energy distribution (I-7.17)</w:t>
            </w:r>
          </w:p>
        </w:tc>
        <w:tc>
          <w:tcPr>
            <w:tcW w:w="333"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7A93241D" w14:textId="42C7D39E" w:rsidR="00232882" w:rsidRPr="001961AA" w:rsidRDefault="00B9644B" w:rsidP="006726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w:t>
            </w:r>
          </w:p>
        </w:tc>
        <w:tc>
          <w:tcPr>
            <w:tcW w:w="2308"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79DD586E" w14:textId="77777777" w:rsidR="00232882" w:rsidRPr="001961AA" w:rsidRDefault="00232882" w:rsidP="006726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Completion of projects</w:t>
            </w:r>
          </w:p>
        </w:tc>
      </w:tr>
      <w:tr w:rsidR="00232882" w:rsidRPr="001961AA" w14:paraId="50A6A437" w14:textId="77777777" w:rsidTr="00575B6B">
        <w:trPr>
          <w:trHeight w:val="315"/>
        </w:trPr>
        <w:tc>
          <w:tcPr>
            <w:tcW w:w="345"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136F5DFA" w14:textId="77777777" w:rsidR="00232882" w:rsidRPr="001961AA" w:rsidRDefault="00232882" w:rsidP="006726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236</w:t>
            </w:r>
          </w:p>
        </w:tc>
        <w:tc>
          <w:tcPr>
            <w:tcW w:w="2014"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3274FC37" w14:textId="77777777" w:rsidR="00232882" w:rsidRPr="001961AA" w:rsidRDefault="00232882" w:rsidP="006726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Call for innovative renewable energy production initiatives (I-7.18)</w:t>
            </w:r>
          </w:p>
        </w:tc>
        <w:tc>
          <w:tcPr>
            <w:tcW w:w="333"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4CFC8CE4" w14:textId="77777777" w:rsidR="00232882" w:rsidRPr="001961AA" w:rsidRDefault="00232882" w:rsidP="006726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w:t>
            </w:r>
          </w:p>
        </w:tc>
        <w:tc>
          <w:tcPr>
            <w:tcW w:w="2308"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0FB5E88A" w14:textId="77777777" w:rsidR="00232882" w:rsidRPr="001961AA" w:rsidRDefault="00232882" w:rsidP="006726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Completion of projects</w:t>
            </w:r>
          </w:p>
        </w:tc>
      </w:tr>
      <w:tr w:rsidR="00232882" w:rsidRPr="001961AA" w14:paraId="737AB929" w14:textId="77777777" w:rsidTr="00575B6B">
        <w:trPr>
          <w:trHeight w:val="315"/>
        </w:trPr>
        <w:tc>
          <w:tcPr>
            <w:tcW w:w="345"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23F6A0A8" w14:textId="77777777" w:rsidR="00232882" w:rsidRPr="001961AA" w:rsidRDefault="00232882" w:rsidP="006726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237</w:t>
            </w:r>
          </w:p>
        </w:tc>
        <w:tc>
          <w:tcPr>
            <w:tcW w:w="2014"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477E1C3B" w14:textId="77777777" w:rsidR="00232882" w:rsidRPr="001961AA" w:rsidRDefault="00232882" w:rsidP="006726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Removing barriers to renewable energy (I-7.19)</w:t>
            </w:r>
          </w:p>
        </w:tc>
        <w:tc>
          <w:tcPr>
            <w:tcW w:w="333"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4C0DDD0C" w14:textId="77777777" w:rsidR="00232882" w:rsidRPr="001961AA" w:rsidRDefault="00232882" w:rsidP="006726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w:t>
            </w:r>
          </w:p>
        </w:tc>
        <w:tc>
          <w:tcPr>
            <w:tcW w:w="2308"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4AE5F87D" w14:textId="77777777" w:rsidR="00232882" w:rsidRPr="001961AA" w:rsidRDefault="00232882" w:rsidP="006726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Completion of projects</w:t>
            </w:r>
          </w:p>
        </w:tc>
      </w:tr>
      <w:tr w:rsidR="00232882" w:rsidRPr="001961AA" w14:paraId="59793795" w14:textId="77777777" w:rsidTr="00575B6B">
        <w:trPr>
          <w:trHeight w:val="315"/>
        </w:trPr>
        <w:tc>
          <w:tcPr>
            <w:tcW w:w="345"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461E4D5C" w14:textId="77777777" w:rsidR="00232882" w:rsidRPr="001961AA" w:rsidRDefault="00232882" w:rsidP="006726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238</w:t>
            </w:r>
          </w:p>
        </w:tc>
        <w:tc>
          <w:tcPr>
            <w:tcW w:w="2014"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138A98D1" w14:textId="77777777" w:rsidR="00232882" w:rsidRPr="001961AA" w:rsidRDefault="00232882" w:rsidP="006726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Removing barriers to renewable energy (I-7.19)</w:t>
            </w:r>
          </w:p>
        </w:tc>
        <w:tc>
          <w:tcPr>
            <w:tcW w:w="333"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47154DF6" w14:textId="77777777" w:rsidR="00232882" w:rsidRPr="001961AA" w:rsidRDefault="00232882" w:rsidP="006726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w:t>
            </w:r>
          </w:p>
        </w:tc>
        <w:tc>
          <w:tcPr>
            <w:tcW w:w="2308"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175CAD83" w14:textId="77777777" w:rsidR="00232882" w:rsidRPr="001961AA" w:rsidRDefault="00232882" w:rsidP="006726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Entry into force of regulation</w:t>
            </w:r>
          </w:p>
        </w:tc>
      </w:tr>
      <w:tr w:rsidR="00232882" w:rsidRPr="001961AA" w14:paraId="3BAC27BB" w14:textId="77777777" w:rsidTr="00575B6B">
        <w:trPr>
          <w:trHeight w:val="315"/>
        </w:trPr>
        <w:tc>
          <w:tcPr>
            <w:tcW w:w="345"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1A56236D" w14:textId="77777777" w:rsidR="00232882" w:rsidRPr="001961AA" w:rsidRDefault="00232882" w:rsidP="006726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242</w:t>
            </w:r>
          </w:p>
        </w:tc>
        <w:tc>
          <w:tcPr>
            <w:tcW w:w="2014"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7599CD55" w14:textId="0CCBFDEB" w:rsidR="00232882" w:rsidRPr="001961AA" w:rsidRDefault="00232882" w:rsidP="006726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Greening the bus fleet –BCR (I-7.21)</w:t>
            </w:r>
          </w:p>
        </w:tc>
        <w:tc>
          <w:tcPr>
            <w:tcW w:w="333"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286733AF" w14:textId="77777777" w:rsidR="00232882" w:rsidRPr="001961AA" w:rsidRDefault="00232882" w:rsidP="006726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T</w:t>
            </w:r>
          </w:p>
        </w:tc>
        <w:tc>
          <w:tcPr>
            <w:tcW w:w="2308"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1A369984" w14:textId="77777777" w:rsidR="00232882" w:rsidRPr="001961AA" w:rsidRDefault="00232882" w:rsidP="006726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Electric buses in service</w:t>
            </w:r>
          </w:p>
        </w:tc>
      </w:tr>
      <w:tr w:rsidR="00232882" w:rsidRPr="001961AA" w14:paraId="04B73ABF" w14:textId="77777777" w:rsidTr="00575B6B">
        <w:trPr>
          <w:trHeight w:val="315"/>
        </w:trPr>
        <w:tc>
          <w:tcPr>
            <w:tcW w:w="345"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567D1569" w14:textId="77777777" w:rsidR="00232882" w:rsidRPr="001961AA" w:rsidRDefault="00232882" w:rsidP="006726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243</w:t>
            </w:r>
          </w:p>
        </w:tc>
        <w:tc>
          <w:tcPr>
            <w:tcW w:w="2014"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17AB4D3D" w14:textId="77777777" w:rsidR="00232882" w:rsidRPr="001961AA" w:rsidRDefault="00232882" w:rsidP="006726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Charging Stations – FED (I-7.22)</w:t>
            </w:r>
          </w:p>
        </w:tc>
        <w:tc>
          <w:tcPr>
            <w:tcW w:w="333"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21BEECD0" w14:textId="77777777" w:rsidR="00232882" w:rsidRPr="001961AA" w:rsidRDefault="00232882" w:rsidP="006726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w:t>
            </w:r>
          </w:p>
        </w:tc>
        <w:tc>
          <w:tcPr>
            <w:tcW w:w="2308"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348F9E43" w14:textId="77777777" w:rsidR="00232882" w:rsidRPr="001961AA" w:rsidRDefault="00232882" w:rsidP="006726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Deployment bidirectional charging stations</w:t>
            </w:r>
          </w:p>
        </w:tc>
      </w:tr>
      <w:tr w:rsidR="00232882" w:rsidRPr="001961AA" w14:paraId="2C7F92DE" w14:textId="77777777" w:rsidTr="00575B6B">
        <w:trPr>
          <w:trHeight w:val="315"/>
        </w:trPr>
        <w:tc>
          <w:tcPr>
            <w:tcW w:w="345"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04557307" w14:textId="77777777" w:rsidR="00232882" w:rsidRPr="001961AA" w:rsidRDefault="00232882" w:rsidP="006726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244</w:t>
            </w:r>
          </w:p>
        </w:tc>
        <w:tc>
          <w:tcPr>
            <w:tcW w:w="2014"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5D2A8B83" w14:textId="77777777" w:rsidR="00232882" w:rsidRPr="001961AA" w:rsidRDefault="00232882" w:rsidP="006726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Public LED lighting – VLA (I-7.23)</w:t>
            </w:r>
          </w:p>
        </w:tc>
        <w:tc>
          <w:tcPr>
            <w:tcW w:w="333"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443714BB" w14:textId="77777777" w:rsidR="00232882" w:rsidRPr="001961AA" w:rsidRDefault="00232882" w:rsidP="006726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T</w:t>
            </w:r>
          </w:p>
        </w:tc>
        <w:tc>
          <w:tcPr>
            <w:tcW w:w="2308"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1023123E" w14:textId="77777777" w:rsidR="00232882" w:rsidRPr="001961AA" w:rsidRDefault="00232882" w:rsidP="006726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LED lighting installed</w:t>
            </w:r>
          </w:p>
        </w:tc>
      </w:tr>
      <w:tr w:rsidR="00232882" w:rsidRPr="001961AA" w14:paraId="2938C271" w14:textId="77777777" w:rsidTr="00575B6B">
        <w:trPr>
          <w:trHeight w:val="315"/>
        </w:trPr>
        <w:tc>
          <w:tcPr>
            <w:tcW w:w="345"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353206EC" w14:textId="77777777" w:rsidR="00232882" w:rsidRPr="001961AA" w:rsidRDefault="00232882" w:rsidP="006726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245</w:t>
            </w:r>
          </w:p>
        </w:tc>
        <w:tc>
          <w:tcPr>
            <w:tcW w:w="2014"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5B404F05" w14:textId="08D8D666" w:rsidR="00232882" w:rsidRPr="001961AA" w:rsidRDefault="00232882" w:rsidP="006726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Rail efficient network – FED (I-7.24)</w:t>
            </w:r>
          </w:p>
        </w:tc>
        <w:tc>
          <w:tcPr>
            <w:tcW w:w="333"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4D245100" w14:textId="77777777" w:rsidR="00232882" w:rsidRPr="001961AA" w:rsidRDefault="00232882" w:rsidP="006726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T</w:t>
            </w:r>
          </w:p>
        </w:tc>
        <w:tc>
          <w:tcPr>
            <w:tcW w:w="2308"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05445335" w14:textId="77777777" w:rsidR="00232882" w:rsidRPr="001961AA" w:rsidRDefault="00232882" w:rsidP="006726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Electrification of rail lines</w:t>
            </w:r>
          </w:p>
        </w:tc>
      </w:tr>
      <w:tr w:rsidR="007E5D24" w:rsidRPr="001961AA" w14:paraId="73E46F72" w14:textId="77777777" w:rsidTr="00575B6B">
        <w:trPr>
          <w:trHeight w:val="315"/>
        </w:trPr>
        <w:tc>
          <w:tcPr>
            <w:tcW w:w="345" w:type="pct"/>
            <w:tcBorders>
              <w:top w:val="single" w:sz="4" w:space="0" w:color="auto"/>
              <w:left w:val="single" w:sz="4" w:space="0" w:color="auto"/>
              <w:bottom w:val="single" w:sz="4" w:space="0" w:color="auto"/>
              <w:right w:val="single" w:sz="4" w:space="0" w:color="auto"/>
            </w:tcBorders>
            <w:shd w:val="clear" w:color="auto" w:fill="C6EFCE"/>
            <w:noWrap/>
            <w:vAlign w:val="center"/>
          </w:tcPr>
          <w:p w14:paraId="34547237" w14:textId="073B9789" w:rsidR="007E5D24" w:rsidRPr="001961AA" w:rsidRDefault="007E5D24" w:rsidP="006726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246</w:t>
            </w:r>
          </w:p>
        </w:tc>
        <w:tc>
          <w:tcPr>
            <w:tcW w:w="2014" w:type="pct"/>
            <w:tcBorders>
              <w:top w:val="single" w:sz="4" w:space="0" w:color="auto"/>
              <w:left w:val="single" w:sz="4" w:space="0" w:color="auto"/>
              <w:bottom w:val="single" w:sz="4" w:space="0" w:color="auto"/>
              <w:right w:val="single" w:sz="4" w:space="0" w:color="auto"/>
            </w:tcBorders>
            <w:shd w:val="clear" w:color="auto" w:fill="C6EFCE"/>
            <w:noWrap/>
            <w:vAlign w:val="center"/>
          </w:tcPr>
          <w:p w14:paraId="26AE85CB" w14:textId="70A33EBA" w:rsidR="007E5D24" w:rsidRPr="001961AA" w:rsidRDefault="007E5D24" w:rsidP="006726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Charging infrastructure for busses - BCR (I-3.21)</w:t>
            </w:r>
          </w:p>
        </w:tc>
        <w:tc>
          <w:tcPr>
            <w:tcW w:w="333" w:type="pct"/>
            <w:tcBorders>
              <w:top w:val="single" w:sz="4" w:space="0" w:color="auto"/>
              <w:left w:val="single" w:sz="4" w:space="0" w:color="auto"/>
              <w:bottom w:val="single" w:sz="4" w:space="0" w:color="auto"/>
              <w:right w:val="single" w:sz="4" w:space="0" w:color="auto"/>
            </w:tcBorders>
            <w:shd w:val="clear" w:color="auto" w:fill="C6EFCE"/>
            <w:noWrap/>
            <w:vAlign w:val="center"/>
          </w:tcPr>
          <w:p w14:paraId="104F801C" w14:textId="155F4129" w:rsidR="007E5D24" w:rsidRPr="001961AA" w:rsidRDefault="007E5D24" w:rsidP="006726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T</w:t>
            </w:r>
          </w:p>
        </w:tc>
        <w:tc>
          <w:tcPr>
            <w:tcW w:w="2308" w:type="pct"/>
            <w:tcBorders>
              <w:top w:val="single" w:sz="4" w:space="0" w:color="auto"/>
              <w:left w:val="single" w:sz="4" w:space="0" w:color="auto"/>
              <w:bottom w:val="single" w:sz="4" w:space="0" w:color="auto"/>
              <w:right w:val="single" w:sz="4" w:space="0" w:color="auto"/>
            </w:tcBorders>
            <w:shd w:val="clear" w:color="auto" w:fill="C6EFCE"/>
            <w:noWrap/>
            <w:vAlign w:val="center"/>
          </w:tcPr>
          <w:p w14:paraId="54F270F6" w14:textId="1162A28C" w:rsidR="007E5D24" w:rsidRPr="001961AA" w:rsidRDefault="007E5D24" w:rsidP="006726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Charging infrastructure installed</w:t>
            </w:r>
          </w:p>
        </w:tc>
      </w:tr>
      <w:tr w:rsidR="00232882" w:rsidRPr="001961AA" w14:paraId="20D748F1" w14:textId="77777777" w:rsidTr="00575B6B">
        <w:trPr>
          <w:trHeight w:val="315"/>
        </w:trPr>
        <w:tc>
          <w:tcPr>
            <w:tcW w:w="345"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018826A5" w14:textId="77777777" w:rsidR="00232882" w:rsidRPr="001961AA" w:rsidRDefault="00232882" w:rsidP="006726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247</w:t>
            </w:r>
          </w:p>
        </w:tc>
        <w:tc>
          <w:tcPr>
            <w:tcW w:w="2014"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5F3F4741" w14:textId="030AA3F5" w:rsidR="00232882" w:rsidRPr="001961AA" w:rsidRDefault="00232882" w:rsidP="006726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Nuclear medicine – the theranostic approach (I-5.08bis)</w:t>
            </w:r>
          </w:p>
        </w:tc>
        <w:tc>
          <w:tcPr>
            <w:tcW w:w="333"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199D751D" w14:textId="77777777" w:rsidR="00232882" w:rsidRPr="001961AA" w:rsidRDefault="00232882" w:rsidP="006726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w:t>
            </w:r>
          </w:p>
        </w:tc>
        <w:tc>
          <w:tcPr>
            <w:tcW w:w="2308"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48A29913" w14:textId="77777777" w:rsidR="00232882" w:rsidRPr="001961AA" w:rsidRDefault="00232882" w:rsidP="006726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R&amp;D development completed</w:t>
            </w:r>
          </w:p>
        </w:tc>
      </w:tr>
      <w:tr w:rsidR="00232882" w:rsidRPr="001961AA" w14:paraId="5327804C" w14:textId="77777777" w:rsidTr="00575B6B">
        <w:trPr>
          <w:trHeight w:val="315"/>
        </w:trPr>
        <w:tc>
          <w:tcPr>
            <w:tcW w:w="345"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7E16139F" w14:textId="77777777" w:rsidR="00232882" w:rsidRPr="001961AA" w:rsidRDefault="00232882" w:rsidP="006726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249</w:t>
            </w:r>
          </w:p>
        </w:tc>
        <w:tc>
          <w:tcPr>
            <w:tcW w:w="2014"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2FFBC54E" w14:textId="3D0BBBAC" w:rsidR="00232882" w:rsidRPr="001961AA" w:rsidRDefault="00232882" w:rsidP="006726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SMELD – FED (I-5.18)</w:t>
            </w:r>
          </w:p>
        </w:tc>
        <w:tc>
          <w:tcPr>
            <w:tcW w:w="333"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68CD15A1" w14:textId="77777777" w:rsidR="00232882" w:rsidRPr="001961AA" w:rsidRDefault="00232882" w:rsidP="006726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w:t>
            </w:r>
          </w:p>
        </w:tc>
        <w:tc>
          <w:tcPr>
            <w:tcW w:w="2308"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1EC3A898" w14:textId="77777777" w:rsidR="00232882" w:rsidRPr="001961AA" w:rsidRDefault="00232882" w:rsidP="006726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An industrial scale melting furnace is set up</w:t>
            </w:r>
          </w:p>
        </w:tc>
      </w:tr>
      <w:tr w:rsidR="00232882" w:rsidRPr="001961AA" w14:paraId="7450B435" w14:textId="77777777" w:rsidTr="003A1C28">
        <w:trPr>
          <w:trHeight w:val="315"/>
        </w:trPr>
        <w:tc>
          <w:tcPr>
            <w:tcW w:w="345" w:type="pct"/>
            <w:tcBorders>
              <w:top w:val="single" w:sz="4" w:space="0" w:color="auto"/>
              <w:left w:val="single" w:sz="4" w:space="0" w:color="auto"/>
              <w:bottom w:val="single" w:sz="4" w:space="0" w:color="auto"/>
              <w:right w:val="single" w:sz="4" w:space="0" w:color="auto"/>
            </w:tcBorders>
            <w:shd w:val="clear" w:color="auto" w:fill="C6EFCE"/>
            <w:noWrap/>
            <w:vAlign w:val="center"/>
          </w:tcPr>
          <w:p w14:paraId="2D71BC7A" w14:textId="77777777" w:rsidR="00232882" w:rsidRPr="001961AA" w:rsidRDefault="00232882" w:rsidP="00672658">
            <w:pPr>
              <w:spacing w:after="0"/>
              <w:jc w:val="center"/>
              <w:rPr>
                <w:rFonts w:ascii="Times New Roman" w:eastAsia="Times New Roman" w:hAnsi="Times New Roman" w:cs="Times New Roman"/>
                <w:noProof/>
                <w:color w:val="006100"/>
                <w:sz w:val="20"/>
                <w:szCs w:val="20"/>
                <w:lang w:val="en-GB" w:eastAsia="en-IE"/>
              </w:rPr>
            </w:pPr>
          </w:p>
        </w:tc>
        <w:tc>
          <w:tcPr>
            <w:tcW w:w="2347" w:type="pct"/>
            <w:gridSpan w:val="2"/>
            <w:tcBorders>
              <w:top w:val="single" w:sz="4" w:space="0" w:color="auto"/>
              <w:left w:val="single" w:sz="4" w:space="0" w:color="auto"/>
              <w:bottom w:val="single" w:sz="4" w:space="0" w:color="auto"/>
              <w:right w:val="single" w:sz="4" w:space="0" w:color="auto"/>
            </w:tcBorders>
            <w:shd w:val="clear" w:color="auto" w:fill="C6EFCE"/>
            <w:noWrap/>
            <w:vAlign w:val="center"/>
          </w:tcPr>
          <w:p w14:paraId="7F585820" w14:textId="77777777" w:rsidR="00232882" w:rsidRPr="001961AA" w:rsidRDefault="00232882" w:rsidP="00672658">
            <w:pPr>
              <w:spacing w:after="0"/>
              <w:jc w:val="right"/>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Instalment amount</w:t>
            </w:r>
          </w:p>
        </w:tc>
        <w:tc>
          <w:tcPr>
            <w:tcW w:w="2308" w:type="pct"/>
            <w:tcBorders>
              <w:top w:val="single" w:sz="4" w:space="0" w:color="auto"/>
              <w:left w:val="single" w:sz="4" w:space="0" w:color="auto"/>
              <w:bottom w:val="single" w:sz="4" w:space="0" w:color="auto"/>
              <w:right w:val="single" w:sz="4" w:space="0" w:color="auto"/>
            </w:tcBorders>
            <w:shd w:val="clear" w:color="auto" w:fill="C6EFCE"/>
            <w:noWrap/>
            <w:vAlign w:val="center"/>
          </w:tcPr>
          <w:p w14:paraId="7B39D296" w14:textId="0B912E0A" w:rsidR="00232882" w:rsidRPr="001961AA" w:rsidRDefault="00232882" w:rsidP="006726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EUR 781</w:t>
            </w:r>
            <w:r w:rsidRPr="001961AA">
              <w:rPr>
                <w:noProof/>
                <w:lang w:val="en-GB"/>
              </w:rPr>
              <w:t xml:space="preserve"> </w:t>
            </w:r>
            <w:r w:rsidRPr="001961AA">
              <w:rPr>
                <w:rFonts w:ascii="Times New Roman" w:hAnsi="Times New Roman"/>
                <w:noProof/>
                <w:color w:val="006100"/>
                <w:sz w:val="20"/>
                <w:lang w:val="en-GB"/>
              </w:rPr>
              <w:t>699</w:t>
            </w:r>
            <w:r w:rsidRPr="001961AA">
              <w:rPr>
                <w:noProof/>
                <w:lang w:val="en-GB"/>
              </w:rPr>
              <w:t xml:space="preserve"> </w:t>
            </w:r>
            <w:r w:rsidRPr="001961AA">
              <w:rPr>
                <w:rFonts w:ascii="Times New Roman" w:hAnsi="Times New Roman"/>
                <w:noProof/>
                <w:color w:val="006100"/>
                <w:sz w:val="20"/>
                <w:lang w:val="en-GB"/>
              </w:rPr>
              <w:t>616</w:t>
            </w:r>
          </w:p>
        </w:tc>
      </w:tr>
    </w:tbl>
    <w:p w14:paraId="571E4EDD" w14:textId="5F328847" w:rsidR="00232882" w:rsidRPr="001961AA" w:rsidRDefault="00232882" w:rsidP="00232882">
      <w:pPr>
        <w:rPr>
          <w:rFonts w:ascii="Times New Roman" w:hAnsi="Times New Roman" w:cs="Times New Roman"/>
          <w:noProof/>
          <w:lang w:val="en-GB"/>
        </w:rPr>
      </w:pPr>
    </w:p>
    <w:p w14:paraId="4017CA72" w14:textId="40F8C210" w:rsidR="00DF5893" w:rsidRPr="001961AA" w:rsidRDefault="00DF5893" w:rsidP="009E6286">
      <w:pPr>
        <w:pStyle w:val="ManualHeading2"/>
        <w:numPr>
          <w:ilvl w:val="0"/>
          <w:numId w:val="44"/>
        </w:numPr>
        <w:rPr>
          <w:noProof/>
          <w:lang w:val="en-GB"/>
        </w:rPr>
      </w:pPr>
      <w:r w:rsidRPr="001961AA">
        <w:rPr>
          <w:noProof/>
          <w:lang w:val="en-GB"/>
        </w:rPr>
        <w:t>Loan</w:t>
      </w:r>
    </w:p>
    <w:p w14:paraId="5E5B330F" w14:textId="6BBE53E0" w:rsidR="00DF5893" w:rsidRPr="001961AA" w:rsidRDefault="00DF5893" w:rsidP="003A1C28">
      <w:pPr>
        <w:pStyle w:val="Text1"/>
        <w:spacing w:after="240"/>
        <w:ind w:left="851"/>
        <w:rPr>
          <w:noProof/>
          <w:lang w:val="en-GB"/>
        </w:rPr>
      </w:pPr>
      <w:r w:rsidRPr="001961AA">
        <w:rPr>
          <w:noProof/>
          <w:lang w:val="en-GB"/>
        </w:rPr>
        <w:t>The instalments referred to in Article 3(2) shall be organised in the following manner:</w:t>
      </w:r>
    </w:p>
    <w:p w14:paraId="44D6803B" w14:textId="774D089A" w:rsidR="00232882" w:rsidRPr="001961AA" w:rsidRDefault="00232882" w:rsidP="003116E3">
      <w:pPr>
        <w:pStyle w:val="ManualNumPar1"/>
        <w:rPr>
          <w:noProof/>
          <w:lang w:val="en-GB"/>
        </w:rPr>
      </w:pPr>
      <w:r w:rsidRPr="001961AA">
        <w:rPr>
          <w:noProof/>
          <w:lang w:val="en-GB"/>
        </w:rPr>
        <w:t>First instalment (loans) :</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EFCE"/>
        <w:tblLook w:val="04A0" w:firstRow="1" w:lastRow="0" w:firstColumn="1" w:lastColumn="0" w:noHBand="0" w:noVBand="1"/>
      </w:tblPr>
      <w:tblGrid>
        <w:gridCol w:w="851"/>
        <w:gridCol w:w="3652"/>
        <w:gridCol w:w="841"/>
        <w:gridCol w:w="4862"/>
      </w:tblGrid>
      <w:tr w:rsidR="00232882" w:rsidRPr="001961AA" w14:paraId="00FD99EE" w14:textId="77777777">
        <w:trPr>
          <w:trHeight w:val="300"/>
        </w:trPr>
        <w:tc>
          <w:tcPr>
            <w:tcW w:w="417" w:type="pct"/>
            <w:shd w:val="clear" w:color="auto" w:fill="BDD7EE"/>
            <w:noWrap/>
            <w:vAlign w:val="bottom"/>
            <w:hideMark/>
          </w:tcPr>
          <w:p w14:paraId="740226EE" w14:textId="77777777" w:rsidR="00232882" w:rsidRPr="001961AA" w:rsidRDefault="00232882">
            <w:pPr>
              <w:spacing w:before="120" w:after="120"/>
              <w:rPr>
                <w:rFonts w:ascii="Times New Roman" w:eastAsia="Times New Roman" w:hAnsi="Times New Roman" w:cs="Times New Roman"/>
                <w:b/>
                <w:bCs/>
                <w:noProof/>
                <w:color w:val="000000"/>
                <w:sz w:val="20"/>
                <w:szCs w:val="20"/>
                <w:lang w:val="en-GB"/>
              </w:rPr>
            </w:pPr>
            <w:r w:rsidRPr="001961AA">
              <w:rPr>
                <w:rFonts w:ascii="Times New Roman" w:hAnsi="Times New Roman"/>
                <w:b/>
                <w:noProof/>
                <w:color w:val="000000"/>
                <w:sz w:val="20"/>
                <w:lang w:val="en-GB"/>
              </w:rPr>
              <w:t>Seq. nb</w:t>
            </w:r>
          </w:p>
        </w:tc>
        <w:tc>
          <w:tcPr>
            <w:tcW w:w="1789" w:type="pct"/>
            <w:shd w:val="clear" w:color="auto" w:fill="BDD7EE"/>
            <w:noWrap/>
            <w:vAlign w:val="bottom"/>
            <w:hideMark/>
          </w:tcPr>
          <w:p w14:paraId="119C6DF4" w14:textId="77777777" w:rsidR="00232882" w:rsidRPr="001961AA" w:rsidRDefault="00232882">
            <w:pPr>
              <w:spacing w:before="120" w:after="120"/>
              <w:rPr>
                <w:rFonts w:ascii="Times New Roman" w:eastAsia="Times New Roman" w:hAnsi="Times New Roman" w:cs="Times New Roman"/>
                <w:b/>
                <w:bCs/>
                <w:noProof/>
                <w:color w:val="000000"/>
                <w:sz w:val="20"/>
                <w:szCs w:val="20"/>
                <w:lang w:val="en-GB"/>
              </w:rPr>
            </w:pPr>
            <w:r w:rsidRPr="001961AA">
              <w:rPr>
                <w:rFonts w:ascii="Times New Roman" w:hAnsi="Times New Roman"/>
                <w:b/>
                <w:noProof/>
                <w:color w:val="000000"/>
                <w:sz w:val="20"/>
                <w:lang w:val="en-GB"/>
              </w:rPr>
              <w:t>Name of the measure</w:t>
            </w:r>
          </w:p>
        </w:tc>
        <w:tc>
          <w:tcPr>
            <w:tcW w:w="412" w:type="pct"/>
            <w:shd w:val="clear" w:color="auto" w:fill="BDD7EE"/>
            <w:noWrap/>
            <w:vAlign w:val="bottom"/>
            <w:hideMark/>
          </w:tcPr>
          <w:p w14:paraId="3932D5ED" w14:textId="77777777" w:rsidR="00232882" w:rsidRPr="001961AA" w:rsidRDefault="00232882">
            <w:pPr>
              <w:spacing w:before="120" w:after="120"/>
              <w:jc w:val="center"/>
              <w:rPr>
                <w:rFonts w:ascii="Times New Roman" w:eastAsia="Times New Roman" w:hAnsi="Times New Roman" w:cs="Times New Roman"/>
                <w:b/>
                <w:bCs/>
                <w:noProof/>
                <w:color w:val="000000"/>
                <w:sz w:val="20"/>
                <w:szCs w:val="20"/>
                <w:lang w:val="en-GB"/>
              </w:rPr>
            </w:pPr>
            <w:r w:rsidRPr="001961AA">
              <w:rPr>
                <w:rFonts w:ascii="Times New Roman" w:hAnsi="Times New Roman"/>
                <w:b/>
                <w:noProof/>
                <w:color w:val="000000"/>
                <w:sz w:val="20"/>
                <w:lang w:val="en-GB"/>
              </w:rPr>
              <w:t>M/T</w:t>
            </w:r>
          </w:p>
        </w:tc>
        <w:tc>
          <w:tcPr>
            <w:tcW w:w="2382" w:type="pct"/>
            <w:shd w:val="clear" w:color="auto" w:fill="BDD7EE"/>
            <w:noWrap/>
            <w:vAlign w:val="bottom"/>
            <w:hideMark/>
          </w:tcPr>
          <w:p w14:paraId="6E45A5FC" w14:textId="77777777" w:rsidR="00232882" w:rsidRPr="001961AA" w:rsidRDefault="00232882">
            <w:pPr>
              <w:spacing w:before="120" w:after="120"/>
              <w:rPr>
                <w:rFonts w:ascii="Times New Roman" w:eastAsia="Times New Roman" w:hAnsi="Times New Roman" w:cs="Times New Roman"/>
                <w:b/>
                <w:bCs/>
                <w:noProof/>
                <w:color w:val="000000"/>
                <w:sz w:val="20"/>
                <w:szCs w:val="20"/>
                <w:lang w:val="en-GB"/>
              </w:rPr>
            </w:pPr>
            <w:r w:rsidRPr="001961AA">
              <w:rPr>
                <w:rFonts w:ascii="Times New Roman" w:hAnsi="Times New Roman"/>
                <w:b/>
                <w:noProof/>
                <w:color w:val="000000"/>
                <w:sz w:val="20"/>
                <w:lang w:val="en-GB"/>
              </w:rPr>
              <w:t>Name</w:t>
            </w:r>
          </w:p>
        </w:tc>
      </w:tr>
      <w:tr w:rsidR="00232882" w:rsidRPr="001961AA" w14:paraId="1A527FC6" w14:textId="77777777">
        <w:trPr>
          <w:trHeight w:val="315"/>
        </w:trPr>
        <w:tc>
          <w:tcPr>
            <w:tcW w:w="417" w:type="pct"/>
            <w:shd w:val="clear" w:color="auto" w:fill="C6EFCE"/>
            <w:noWrap/>
            <w:vAlign w:val="center"/>
            <w:hideMark/>
          </w:tcPr>
          <w:p w14:paraId="1C06E9CC" w14:textId="2A8F2783" w:rsidR="00232882" w:rsidRPr="001961AA" w:rsidRDefault="00232882" w:rsidP="006726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54b</w:t>
            </w:r>
          </w:p>
        </w:tc>
        <w:tc>
          <w:tcPr>
            <w:tcW w:w="1789" w:type="pct"/>
            <w:shd w:val="clear" w:color="auto" w:fill="C6EFCE"/>
            <w:noWrap/>
            <w:vAlign w:val="center"/>
            <w:hideMark/>
          </w:tcPr>
          <w:p w14:paraId="504402A3" w14:textId="5B9FE583" w:rsidR="00232882" w:rsidRPr="001961AA" w:rsidRDefault="00232882" w:rsidP="006726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Digitalisation SPF (I-2.05bis)</w:t>
            </w:r>
          </w:p>
        </w:tc>
        <w:tc>
          <w:tcPr>
            <w:tcW w:w="412" w:type="pct"/>
            <w:shd w:val="clear" w:color="auto" w:fill="C6EFCE"/>
            <w:noWrap/>
            <w:vAlign w:val="center"/>
            <w:hideMark/>
          </w:tcPr>
          <w:p w14:paraId="5C261027" w14:textId="77777777" w:rsidR="00232882" w:rsidRPr="001961AA" w:rsidRDefault="00232882" w:rsidP="006726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w:t>
            </w:r>
          </w:p>
        </w:tc>
        <w:tc>
          <w:tcPr>
            <w:tcW w:w="2382" w:type="pct"/>
            <w:shd w:val="clear" w:color="auto" w:fill="C6EFCE"/>
            <w:noWrap/>
            <w:vAlign w:val="center"/>
            <w:hideMark/>
          </w:tcPr>
          <w:p w14:paraId="3B467DBD" w14:textId="77777777" w:rsidR="00232882" w:rsidRPr="001961AA" w:rsidRDefault="00232882" w:rsidP="006726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Requirements are defined</w:t>
            </w:r>
          </w:p>
        </w:tc>
      </w:tr>
      <w:tr w:rsidR="00232882" w:rsidRPr="001961AA" w14:paraId="7AC291A2" w14:textId="77777777">
        <w:trPr>
          <w:trHeight w:val="315"/>
        </w:trPr>
        <w:tc>
          <w:tcPr>
            <w:tcW w:w="417" w:type="pct"/>
            <w:shd w:val="clear" w:color="auto" w:fill="C6EFCE"/>
            <w:noWrap/>
            <w:vAlign w:val="center"/>
            <w:hideMark/>
          </w:tcPr>
          <w:p w14:paraId="69FC86AD" w14:textId="77777777" w:rsidR="00232882" w:rsidRPr="001961AA" w:rsidRDefault="00232882" w:rsidP="006726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239</w:t>
            </w:r>
          </w:p>
        </w:tc>
        <w:tc>
          <w:tcPr>
            <w:tcW w:w="1789" w:type="pct"/>
            <w:shd w:val="clear" w:color="auto" w:fill="C6EFCE"/>
            <w:noWrap/>
            <w:vAlign w:val="center"/>
            <w:hideMark/>
          </w:tcPr>
          <w:p w14:paraId="17C77A16" w14:textId="01A5B91C" w:rsidR="00232882" w:rsidRPr="001961AA" w:rsidRDefault="00232882" w:rsidP="006726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Off-shore energy island (I-7.20)</w:t>
            </w:r>
          </w:p>
        </w:tc>
        <w:tc>
          <w:tcPr>
            <w:tcW w:w="412" w:type="pct"/>
            <w:shd w:val="clear" w:color="auto" w:fill="C6EFCE"/>
            <w:noWrap/>
            <w:vAlign w:val="center"/>
            <w:hideMark/>
          </w:tcPr>
          <w:p w14:paraId="5AA34C4C" w14:textId="77777777" w:rsidR="00232882" w:rsidRPr="001961AA" w:rsidRDefault="00232882" w:rsidP="006726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w:t>
            </w:r>
          </w:p>
        </w:tc>
        <w:tc>
          <w:tcPr>
            <w:tcW w:w="2382" w:type="pct"/>
            <w:shd w:val="clear" w:color="auto" w:fill="C6EFCE"/>
            <w:noWrap/>
            <w:vAlign w:val="center"/>
            <w:hideMark/>
          </w:tcPr>
          <w:p w14:paraId="45B2E330" w14:textId="77777777" w:rsidR="00232882" w:rsidRPr="001961AA" w:rsidRDefault="00232882" w:rsidP="006726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Finalisation of FEED and environmental studies</w:t>
            </w:r>
          </w:p>
        </w:tc>
      </w:tr>
      <w:tr w:rsidR="00232882" w:rsidRPr="001961AA" w14:paraId="6CFE1C32" w14:textId="77777777">
        <w:trPr>
          <w:trHeight w:val="315"/>
        </w:trPr>
        <w:tc>
          <w:tcPr>
            <w:tcW w:w="417" w:type="pct"/>
            <w:shd w:val="clear" w:color="auto" w:fill="C6EFCE"/>
            <w:noWrap/>
            <w:vAlign w:val="center"/>
          </w:tcPr>
          <w:p w14:paraId="1559F4F5" w14:textId="77777777" w:rsidR="00232882" w:rsidRPr="001961AA" w:rsidRDefault="00232882" w:rsidP="00672658">
            <w:pPr>
              <w:spacing w:after="0"/>
              <w:jc w:val="center"/>
              <w:rPr>
                <w:rFonts w:ascii="Times New Roman" w:eastAsia="Times New Roman" w:hAnsi="Times New Roman" w:cs="Times New Roman"/>
                <w:noProof/>
                <w:color w:val="006100"/>
                <w:sz w:val="20"/>
                <w:szCs w:val="20"/>
                <w:lang w:val="en-GB" w:eastAsia="en-IE"/>
              </w:rPr>
            </w:pPr>
          </w:p>
        </w:tc>
        <w:tc>
          <w:tcPr>
            <w:tcW w:w="2201" w:type="pct"/>
            <w:gridSpan w:val="2"/>
            <w:shd w:val="clear" w:color="auto" w:fill="C6EFCE"/>
            <w:noWrap/>
            <w:vAlign w:val="center"/>
          </w:tcPr>
          <w:p w14:paraId="37170D48" w14:textId="77777777" w:rsidR="00232882" w:rsidRPr="001961AA" w:rsidRDefault="00232882" w:rsidP="00672658">
            <w:pPr>
              <w:spacing w:after="0"/>
              <w:jc w:val="right"/>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Instalment amount</w:t>
            </w:r>
          </w:p>
        </w:tc>
        <w:tc>
          <w:tcPr>
            <w:tcW w:w="2382" w:type="pct"/>
            <w:shd w:val="clear" w:color="auto" w:fill="C6EFCE"/>
            <w:noWrap/>
            <w:vAlign w:val="center"/>
          </w:tcPr>
          <w:p w14:paraId="0A65586E" w14:textId="12D6BAAA" w:rsidR="00232882" w:rsidRPr="001961AA" w:rsidRDefault="00232882" w:rsidP="006726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EUR 48</w:t>
            </w:r>
            <w:r w:rsidRPr="001961AA">
              <w:rPr>
                <w:noProof/>
                <w:lang w:val="en-GB"/>
              </w:rPr>
              <w:t xml:space="preserve"> </w:t>
            </w:r>
            <w:r w:rsidRPr="001961AA">
              <w:rPr>
                <w:rFonts w:ascii="Times New Roman" w:hAnsi="Times New Roman"/>
                <w:noProof/>
                <w:color w:val="006100"/>
                <w:sz w:val="20"/>
                <w:lang w:val="en-GB"/>
              </w:rPr>
              <w:t>840</w:t>
            </w:r>
            <w:r w:rsidRPr="001961AA">
              <w:rPr>
                <w:noProof/>
                <w:lang w:val="en-GB"/>
              </w:rPr>
              <w:t xml:space="preserve"> </w:t>
            </w:r>
            <w:r w:rsidRPr="001961AA">
              <w:rPr>
                <w:rFonts w:ascii="Times New Roman" w:hAnsi="Times New Roman"/>
                <w:noProof/>
                <w:color w:val="006100"/>
                <w:sz w:val="20"/>
                <w:lang w:val="en-GB"/>
              </w:rPr>
              <w:t>000</w:t>
            </w:r>
          </w:p>
        </w:tc>
      </w:tr>
    </w:tbl>
    <w:p w14:paraId="6B8C98C2" w14:textId="77777777" w:rsidR="00232882" w:rsidRPr="001961AA" w:rsidRDefault="00232882" w:rsidP="00232882">
      <w:pPr>
        <w:rPr>
          <w:rFonts w:ascii="Times New Roman" w:hAnsi="Times New Roman" w:cs="Times New Roman"/>
          <w:noProof/>
          <w:lang w:val="en-GB"/>
        </w:rPr>
      </w:pPr>
    </w:p>
    <w:p w14:paraId="0BCD2837" w14:textId="7FBB167A" w:rsidR="00232882" w:rsidRPr="001961AA" w:rsidRDefault="00232882" w:rsidP="003116E3">
      <w:pPr>
        <w:pStyle w:val="ManualNumPar1"/>
        <w:rPr>
          <w:noProof/>
          <w:lang w:val="en-GB"/>
        </w:rPr>
      </w:pPr>
      <w:r w:rsidRPr="001961AA">
        <w:rPr>
          <w:noProof/>
          <w:lang w:val="en-GB"/>
        </w:rPr>
        <w:t>Second instalment (loans) :</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EFCE"/>
        <w:tblLayout w:type="fixed"/>
        <w:tblLook w:val="04A0" w:firstRow="1" w:lastRow="0" w:firstColumn="1" w:lastColumn="0" w:noHBand="0" w:noVBand="1"/>
      </w:tblPr>
      <w:tblGrid>
        <w:gridCol w:w="959"/>
        <w:gridCol w:w="3544"/>
        <w:gridCol w:w="851"/>
        <w:gridCol w:w="4852"/>
      </w:tblGrid>
      <w:tr w:rsidR="00232882" w:rsidRPr="001961AA" w14:paraId="6C667E7F" w14:textId="77777777">
        <w:trPr>
          <w:trHeight w:val="300"/>
        </w:trPr>
        <w:tc>
          <w:tcPr>
            <w:tcW w:w="470" w:type="pct"/>
            <w:shd w:val="clear" w:color="auto" w:fill="BDD7EE"/>
            <w:noWrap/>
            <w:vAlign w:val="bottom"/>
            <w:hideMark/>
          </w:tcPr>
          <w:p w14:paraId="588C8272" w14:textId="77777777" w:rsidR="00232882" w:rsidRPr="001961AA" w:rsidRDefault="00232882">
            <w:pPr>
              <w:spacing w:before="120" w:after="120"/>
              <w:rPr>
                <w:rFonts w:ascii="Times New Roman" w:eastAsia="Times New Roman" w:hAnsi="Times New Roman" w:cs="Times New Roman"/>
                <w:b/>
                <w:bCs/>
                <w:noProof/>
                <w:color w:val="000000"/>
                <w:sz w:val="20"/>
                <w:szCs w:val="20"/>
                <w:lang w:val="en-GB"/>
              </w:rPr>
            </w:pPr>
            <w:r w:rsidRPr="001961AA">
              <w:rPr>
                <w:rFonts w:ascii="Times New Roman" w:hAnsi="Times New Roman"/>
                <w:b/>
                <w:noProof/>
                <w:color w:val="000000"/>
                <w:sz w:val="20"/>
                <w:lang w:val="en-GB"/>
              </w:rPr>
              <w:t>Seq. nb</w:t>
            </w:r>
          </w:p>
        </w:tc>
        <w:tc>
          <w:tcPr>
            <w:tcW w:w="1736" w:type="pct"/>
            <w:shd w:val="clear" w:color="auto" w:fill="BDD7EE"/>
            <w:noWrap/>
            <w:vAlign w:val="bottom"/>
            <w:hideMark/>
          </w:tcPr>
          <w:p w14:paraId="21753FA9" w14:textId="77777777" w:rsidR="00232882" w:rsidRPr="001961AA" w:rsidRDefault="00232882">
            <w:pPr>
              <w:spacing w:before="120" w:after="120"/>
              <w:rPr>
                <w:rFonts w:ascii="Times New Roman" w:eastAsia="Times New Roman" w:hAnsi="Times New Roman" w:cs="Times New Roman"/>
                <w:b/>
                <w:bCs/>
                <w:noProof/>
                <w:color w:val="000000"/>
                <w:sz w:val="20"/>
                <w:szCs w:val="20"/>
                <w:lang w:val="en-GB"/>
              </w:rPr>
            </w:pPr>
            <w:r w:rsidRPr="001961AA">
              <w:rPr>
                <w:rFonts w:ascii="Times New Roman" w:hAnsi="Times New Roman"/>
                <w:b/>
                <w:noProof/>
                <w:color w:val="000000"/>
                <w:sz w:val="20"/>
                <w:lang w:val="en-GB"/>
              </w:rPr>
              <w:t>Name of the measure</w:t>
            </w:r>
          </w:p>
        </w:tc>
        <w:tc>
          <w:tcPr>
            <w:tcW w:w="417" w:type="pct"/>
            <w:shd w:val="clear" w:color="auto" w:fill="BDD7EE"/>
            <w:noWrap/>
            <w:vAlign w:val="bottom"/>
            <w:hideMark/>
          </w:tcPr>
          <w:p w14:paraId="2A17ED9E" w14:textId="77777777" w:rsidR="00232882" w:rsidRPr="001961AA" w:rsidRDefault="00232882">
            <w:pPr>
              <w:spacing w:before="120" w:after="120"/>
              <w:jc w:val="center"/>
              <w:rPr>
                <w:rFonts w:ascii="Times New Roman" w:eastAsia="Times New Roman" w:hAnsi="Times New Roman" w:cs="Times New Roman"/>
                <w:b/>
                <w:bCs/>
                <w:noProof/>
                <w:color w:val="000000"/>
                <w:sz w:val="20"/>
                <w:szCs w:val="20"/>
                <w:lang w:val="en-GB"/>
              </w:rPr>
            </w:pPr>
            <w:r w:rsidRPr="001961AA">
              <w:rPr>
                <w:rFonts w:ascii="Times New Roman" w:hAnsi="Times New Roman"/>
                <w:b/>
                <w:noProof/>
                <w:color w:val="000000"/>
                <w:sz w:val="20"/>
                <w:lang w:val="en-GB"/>
              </w:rPr>
              <w:t>M/T</w:t>
            </w:r>
          </w:p>
        </w:tc>
        <w:tc>
          <w:tcPr>
            <w:tcW w:w="2377" w:type="pct"/>
            <w:shd w:val="clear" w:color="auto" w:fill="BDD7EE"/>
            <w:noWrap/>
            <w:vAlign w:val="bottom"/>
            <w:hideMark/>
          </w:tcPr>
          <w:p w14:paraId="73039B37" w14:textId="77777777" w:rsidR="00232882" w:rsidRPr="001961AA" w:rsidRDefault="00232882">
            <w:pPr>
              <w:spacing w:before="120" w:after="120"/>
              <w:rPr>
                <w:rFonts w:ascii="Times New Roman" w:eastAsia="Times New Roman" w:hAnsi="Times New Roman" w:cs="Times New Roman"/>
                <w:b/>
                <w:bCs/>
                <w:noProof/>
                <w:color w:val="000000"/>
                <w:sz w:val="20"/>
                <w:szCs w:val="20"/>
                <w:lang w:val="en-GB"/>
              </w:rPr>
            </w:pPr>
            <w:r w:rsidRPr="001961AA">
              <w:rPr>
                <w:rFonts w:ascii="Times New Roman" w:hAnsi="Times New Roman"/>
                <w:b/>
                <w:noProof/>
                <w:color w:val="000000"/>
                <w:sz w:val="20"/>
                <w:lang w:val="en-GB"/>
              </w:rPr>
              <w:t>Name</w:t>
            </w:r>
          </w:p>
        </w:tc>
      </w:tr>
      <w:tr w:rsidR="00232882" w:rsidRPr="001961AA" w14:paraId="0894DB2C" w14:textId="77777777">
        <w:trPr>
          <w:trHeight w:val="315"/>
        </w:trPr>
        <w:tc>
          <w:tcPr>
            <w:tcW w:w="470" w:type="pct"/>
            <w:shd w:val="clear" w:color="auto" w:fill="C6EFCE"/>
            <w:noWrap/>
            <w:vAlign w:val="center"/>
            <w:hideMark/>
          </w:tcPr>
          <w:p w14:paraId="330FAF2C" w14:textId="77777777" w:rsidR="00232882" w:rsidRPr="001961AA" w:rsidRDefault="00232882" w:rsidP="006726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226</w:t>
            </w:r>
          </w:p>
        </w:tc>
        <w:tc>
          <w:tcPr>
            <w:tcW w:w="1736" w:type="pct"/>
            <w:shd w:val="clear" w:color="auto" w:fill="C6EFCE"/>
            <w:noWrap/>
            <w:vAlign w:val="center"/>
            <w:hideMark/>
          </w:tcPr>
          <w:p w14:paraId="7BBFE726" w14:textId="77777777" w:rsidR="00232882" w:rsidRPr="001961AA" w:rsidRDefault="00232882" w:rsidP="006726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Backbone for H2 (I-7.15)[L]</w:t>
            </w:r>
          </w:p>
        </w:tc>
        <w:tc>
          <w:tcPr>
            <w:tcW w:w="417" w:type="pct"/>
            <w:shd w:val="clear" w:color="auto" w:fill="C6EFCE"/>
            <w:noWrap/>
            <w:vAlign w:val="center"/>
            <w:hideMark/>
          </w:tcPr>
          <w:p w14:paraId="0C13978A" w14:textId="77777777" w:rsidR="00232882" w:rsidRPr="001961AA" w:rsidRDefault="00232882" w:rsidP="006726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w:t>
            </w:r>
          </w:p>
        </w:tc>
        <w:tc>
          <w:tcPr>
            <w:tcW w:w="2377" w:type="pct"/>
            <w:shd w:val="clear" w:color="auto" w:fill="C6EFCE"/>
            <w:noWrap/>
            <w:vAlign w:val="center"/>
            <w:hideMark/>
          </w:tcPr>
          <w:p w14:paraId="66A950FD" w14:textId="77777777" w:rsidR="00232882" w:rsidRPr="001961AA" w:rsidRDefault="00232882" w:rsidP="006726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Adoption of the investment plan for H2 backbone infrastructure</w:t>
            </w:r>
          </w:p>
        </w:tc>
      </w:tr>
      <w:tr w:rsidR="00232882" w:rsidRPr="001961AA" w14:paraId="46B0DD7E" w14:textId="77777777">
        <w:trPr>
          <w:trHeight w:val="315"/>
        </w:trPr>
        <w:tc>
          <w:tcPr>
            <w:tcW w:w="470" w:type="pct"/>
            <w:shd w:val="clear" w:color="auto" w:fill="C6EFCE"/>
            <w:noWrap/>
            <w:vAlign w:val="center"/>
            <w:hideMark/>
          </w:tcPr>
          <w:p w14:paraId="51A8D19E" w14:textId="77777777" w:rsidR="00232882" w:rsidRPr="001961AA" w:rsidRDefault="00232882" w:rsidP="006726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240</w:t>
            </w:r>
          </w:p>
        </w:tc>
        <w:tc>
          <w:tcPr>
            <w:tcW w:w="1736" w:type="pct"/>
            <w:shd w:val="clear" w:color="auto" w:fill="C6EFCE"/>
            <w:noWrap/>
            <w:vAlign w:val="center"/>
            <w:hideMark/>
          </w:tcPr>
          <w:p w14:paraId="547E81CC" w14:textId="4DBB2789" w:rsidR="00232882" w:rsidRPr="001961AA" w:rsidRDefault="00232882" w:rsidP="006726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Off-shore energy island (I-7.20)</w:t>
            </w:r>
          </w:p>
        </w:tc>
        <w:tc>
          <w:tcPr>
            <w:tcW w:w="417" w:type="pct"/>
            <w:shd w:val="clear" w:color="auto" w:fill="C6EFCE"/>
            <w:noWrap/>
            <w:vAlign w:val="center"/>
            <w:hideMark/>
          </w:tcPr>
          <w:p w14:paraId="1446626D" w14:textId="77777777" w:rsidR="00232882" w:rsidRPr="001961AA" w:rsidRDefault="00232882" w:rsidP="006726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w:t>
            </w:r>
          </w:p>
        </w:tc>
        <w:tc>
          <w:tcPr>
            <w:tcW w:w="2377" w:type="pct"/>
            <w:shd w:val="clear" w:color="auto" w:fill="C6EFCE"/>
            <w:noWrap/>
            <w:vAlign w:val="center"/>
            <w:hideMark/>
          </w:tcPr>
          <w:p w14:paraId="6B3AB7FA" w14:textId="77777777" w:rsidR="00232882" w:rsidRPr="001961AA" w:rsidRDefault="00232882" w:rsidP="006726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Environmental permits for energy island obtained</w:t>
            </w:r>
          </w:p>
        </w:tc>
      </w:tr>
      <w:tr w:rsidR="00232882" w:rsidRPr="001961AA" w14:paraId="47101CB2" w14:textId="77777777">
        <w:trPr>
          <w:trHeight w:val="315"/>
        </w:trPr>
        <w:tc>
          <w:tcPr>
            <w:tcW w:w="470" w:type="pct"/>
            <w:shd w:val="clear" w:color="auto" w:fill="C6EFCE"/>
            <w:noWrap/>
            <w:vAlign w:val="center"/>
          </w:tcPr>
          <w:p w14:paraId="0A2E055E" w14:textId="77777777" w:rsidR="00232882" w:rsidRPr="001961AA" w:rsidRDefault="00232882" w:rsidP="00DF5893">
            <w:pPr>
              <w:spacing w:after="0"/>
              <w:jc w:val="center"/>
              <w:rPr>
                <w:rFonts w:ascii="Times New Roman" w:eastAsia="Times New Roman" w:hAnsi="Times New Roman" w:cs="Times New Roman"/>
                <w:noProof/>
                <w:color w:val="006100"/>
                <w:sz w:val="20"/>
                <w:szCs w:val="20"/>
                <w:lang w:val="en-GB" w:eastAsia="en-IE"/>
              </w:rPr>
            </w:pPr>
          </w:p>
        </w:tc>
        <w:tc>
          <w:tcPr>
            <w:tcW w:w="2153" w:type="pct"/>
            <w:gridSpan w:val="2"/>
            <w:shd w:val="clear" w:color="auto" w:fill="C6EFCE"/>
            <w:noWrap/>
            <w:vAlign w:val="center"/>
          </w:tcPr>
          <w:p w14:paraId="22908B6A" w14:textId="77777777" w:rsidR="00232882" w:rsidRPr="001961AA" w:rsidRDefault="00232882" w:rsidP="00DF5893">
            <w:pPr>
              <w:spacing w:after="0"/>
              <w:jc w:val="right"/>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Instalment amount</w:t>
            </w:r>
          </w:p>
        </w:tc>
        <w:tc>
          <w:tcPr>
            <w:tcW w:w="2377" w:type="pct"/>
            <w:shd w:val="clear" w:color="auto" w:fill="C6EFCE"/>
            <w:noWrap/>
            <w:vAlign w:val="center"/>
          </w:tcPr>
          <w:p w14:paraId="1E41380D" w14:textId="6A98A7B7" w:rsidR="00232882" w:rsidRPr="001961AA" w:rsidRDefault="00232882" w:rsidP="00DF5893">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EUR 48</w:t>
            </w:r>
            <w:r w:rsidRPr="001961AA">
              <w:rPr>
                <w:noProof/>
                <w:lang w:val="en-GB"/>
              </w:rPr>
              <w:t xml:space="preserve"> </w:t>
            </w:r>
            <w:r w:rsidRPr="001961AA">
              <w:rPr>
                <w:rFonts w:ascii="Times New Roman" w:hAnsi="Times New Roman"/>
                <w:noProof/>
                <w:color w:val="006100"/>
                <w:sz w:val="20"/>
                <w:lang w:val="en-GB"/>
              </w:rPr>
              <w:t>840</w:t>
            </w:r>
            <w:r w:rsidRPr="001961AA">
              <w:rPr>
                <w:noProof/>
                <w:lang w:val="en-GB"/>
              </w:rPr>
              <w:t xml:space="preserve"> </w:t>
            </w:r>
            <w:r w:rsidRPr="001961AA">
              <w:rPr>
                <w:rFonts w:ascii="Times New Roman" w:hAnsi="Times New Roman"/>
                <w:noProof/>
                <w:color w:val="006100"/>
                <w:sz w:val="20"/>
                <w:lang w:val="en-GB"/>
              </w:rPr>
              <w:t>000</w:t>
            </w:r>
          </w:p>
        </w:tc>
      </w:tr>
    </w:tbl>
    <w:p w14:paraId="5029A790" w14:textId="77777777" w:rsidR="00232882" w:rsidRPr="001961AA" w:rsidRDefault="00232882" w:rsidP="00232882">
      <w:pPr>
        <w:rPr>
          <w:rFonts w:ascii="Times New Roman" w:hAnsi="Times New Roman" w:cs="Times New Roman"/>
          <w:noProof/>
          <w:lang w:val="en-GB"/>
        </w:rPr>
      </w:pPr>
    </w:p>
    <w:p w14:paraId="5E718D1F" w14:textId="7C40811B" w:rsidR="00232882" w:rsidRPr="001961AA" w:rsidRDefault="00232882" w:rsidP="003116E3">
      <w:pPr>
        <w:pStyle w:val="ManualNumPar1"/>
        <w:rPr>
          <w:noProof/>
          <w:lang w:val="en-GB"/>
        </w:rPr>
      </w:pPr>
      <w:bookmarkStart w:id="11" w:name="_Hlk148370962"/>
      <w:r w:rsidRPr="001961AA">
        <w:rPr>
          <w:noProof/>
          <w:lang w:val="en-GB"/>
        </w:rPr>
        <w:t>Third instalment (loans)</w:t>
      </w:r>
      <w:bookmarkEnd w:id="11"/>
      <w:r w:rsidRPr="001961AA">
        <w:rPr>
          <w:noProof/>
          <w:lang w:val="en-GB"/>
        </w:rPr>
        <w:t> :</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EFCE"/>
        <w:tblLayout w:type="fixed"/>
        <w:tblLook w:val="04A0" w:firstRow="1" w:lastRow="0" w:firstColumn="1" w:lastColumn="0" w:noHBand="0" w:noVBand="1"/>
      </w:tblPr>
      <w:tblGrid>
        <w:gridCol w:w="959"/>
        <w:gridCol w:w="3856"/>
        <w:gridCol w:w="708"/>
        <w:gridCol w:w="4683"/>
      </w:tblGrid>
      <w:tr w:rsidR="00232882" w:rsidRPr="001961AA" w14:paraId="6601024A" w14:textId="77777777" w:rsidTr="00672658">
        <w:trPr>
          <w:trHeight w:val="300"/>
        </w:trPr>
        <w:tc>
          <w:tcPr>
            <w:tcW w:w="470" w:type="pct"/>
            <w:shd w:val="clear" w:color="auto" w:fill="BDD7EE"/>
            <w:noWrap/>
            <w:vAlign w:val="center"/>
            <w:hideMark/>
          </w:tcPr>
          <w:p w14:paraId="453FC284" w14:textId="77777777" w:rsidR="00232882" w:rsidRPr="001961AA" w:rsidRDefault="00232882">
            <w:pPr>
              <w:spacing w:before="120" w:after="120"/>
              <w:rPr>
                <w:rFonts w:ascii="Times New Roman" w:eastAsia="Times New Roman" w:hAnsi="Times New Roman" w:cs="Times New Roman"/>
                <w:b/>
                <w:bCs/>
                <w:noProof/>
                <w:color w:val="000000"/>
                <w:sz w:val="20"/>
                <w:szCs w:val="20"/>
                <w:lang w:val="en-GB"/>
              </w:rPr>
            </w:pPr>
            <w:r w:rsidRPr="001961AA">
              <w:rPr>
                <w:rFonts w:ascii="Times New Roman" w:hAnsi="Times New Roman"/>
                <w:b/>
                <w:noProof/>
                <w:color w:val="000000"/>
                <w:sz w:val="20"/>
                <w:lang w:val="en-GB"/>
              </w:rPr>
              <w:t>Seq. nb</w:t>
            </w:r>
          </w:p>
        </w:tc>
        <w:tc>
          <w:tcPr>
            <w:tcW w:w="1889" w:type="pct"/>
            <w:shd w:val="clear" w:color="auto" w:fill="BDD7EE"/>
            <w:noWrap/>
            <w:vAlign w:val="center"/>
            <w:hideMark/>
          </w:tcPr>
          <w:p w14:paraId="3A161D24" w14:textId="77777777" w:rsidR="00232882" w:rsidRPr="001961AA" w:rsidRDefault="00232882">
            <w:pPr>
              <w:spacing w:before="120" w:after="120"/>
              <w:rPr>
                <w:rFonts w:ascii="Times New Roman" w:eastAsia="Times New Roman" w:hAnsi="Times New Roman" w:cs="Times New Roman"/>
                <w:b/>
                <w:bCs/>
                <w:noProof/>
                <w:color w:val="000000"/>
                <w:sz w:val="20"/>
                <w:szCs w:val="20"/>
                <w:lang w:val="en-GB"/>
              </w:rPr>
            </w:pPr>
            <w:r w:rsidRPr="001961AA">
              <w:rPr>
                <w:rFonts w:ascii="Times New Roman" w:hAnsi="Times New Roman"/>
                <w:b/>
                <w:noProof/>
                <w:color w:val="000000"/>
                <w:sz w:val="20"/>
                <w:lang w:val="en-GB"/>
              </w:rPr>
              <w:t>Name of the measure</w:t>
            </w:r>
          </w:p>
        </w:tc>
        <w:tc>
          <w:tcPr>
            <w:tcW w:w="347" w:type="pct"/>
            <w:shd w:val="clear" w:color="auto" w:fill="BDD7EE"/>
            <w:noWrap/>
            <w:vAlign w:val="center"/>
            <w:hideMark/>
          </w:tcPr>
          <w:p w14:paraId="7D68CA16" w14:textId="77777777" w:rsidR="00232882" w:rsidRPr="001961AA" w:rsidRDefault="00232882">
            <w:pPr>
              <w:spacing w:before="120" w:after="120"/>
              <w:jc w:val="center"/>
              <w:rPr>
                <w:rFonts w:ascii="Times New Roman" w:eastAsia="Times New Roman" w:hAnsi="Times New Roman" w:cs="Times New Roman"/>
                <w:b/>
                <w:bCs/>
                <w:noProof/>
                <w:color w:val="000000"/>
                <w:sz w:val="20"/>
                <w:szCs w:val="20"/>
                <w:lang w:val="en-GB"/>
              </w:rPr>
            </w:pPr>
            <w:r w:rsidRPr="001961AA">
              <w:rPr>
                <w:rFonts w:ascii="Times New Roman" w:hAnsi="Times New Roman"/>
                <w:b/>
                <w:noProof/>
                <w:color w:val="000000"/>
                <w:sz w:val="20"/>
                <w:lang w:val="en-GB"/>
              </w:rPr>
              <w:t>M/T</w:t>
            </w:r>
          </w:p>
        </w:tc>
        <w:tc>
          <w:tcPr>
            <w:tcW w:w="2294" w:type="pct"/>
            <w:shd w:val="clear" w:color="auto" w:fill="BDD7EE"/>
            <w:noWrap/>
            <w:vAlign w:val="center"/>
            <w:hideMark/>
          </w:tcPr>
          <w:p w14:paraId="381DB04B" w14:textId="77777777" w:rsidR="00232882" w:rsidRPr="001961AA" w:rsidRDefault="00232882">
            <w:pPr>
              <w:spacing w:before="120" w:after="120"/>
              <w:rPr>
                <w:rFonts w:ascii="Times New Roman" w:eastAsia="Times New Roman" w:hAnsi="Times New Roman" w:cs="Times New Roman"/>
                <w:b/>
                <w:bCs/>
                <w:noProof/>
                <w:color w:val="000000"/>
                <w:sz w:val="20"/>
                <w:szCs w:val="20"/>
                <w:lang w:val="en-GB"/>
              </w:rPr>
            </w:pPr>
            <w:r w:rsidRPr="001961AA">
              <w:rPr>
                <w:rFonts w:ascii="Times New Roman" w:hAnsi="Times New Roman"/>
                <w:b/>
                <w:noProof/>
                <w:color w:val="000000"/>
                <w:sz w:val="20"/>
                <w:lang w:val="en-GB"/>
              </w:rPr>
              <w:t>Name</w:t>
            </w:r>
          </w:p>
        </w:tc>
      </w:tr>
      <w:tr w:rsidR="00232882" w:rsidRPr="001961AA" w14:paraId="5AE6F25C" w14:textId="77777777" w:rsidTr="00672658">
        <w:trPr>
          <w:trHeight w:val="315"/>
        </w:trPr>
        <w:tc>
          <w:tcPr>
            <w:tcW w:w="470" w:type="pct"/>
            <w:shd w:val="clear" w:color="auto" w:fill="C6EFCE"/>
            <w:noWrap/>
            <w:vAlign w:val="center"/>
            <w:hideMark/>
          </w:tcPr>
          <w:p w14:paraId="4FC1B0F1" w14:textId="77777777" w:rsidR="00232882" w:rsidRPr="001961AA" w:rsidRDefault="00232882" w:rsidP="006726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96a</w:t>
            </w:r>
          </w:p>
        </w:tc>
        <w:tc>
          <w:tcPr>
            <w:tcW w:w="1889" w:type="pct"/>
            <w:shd w:val="clear" w:color="auto" w:fill="C6EFCE"/>
            <w:noWrap/>
            <w:vAlign w:val="center"/>
            <w:hideMark/>
          </w:tcPr>
          <w:p w14:paraId="54ADE225" w14:textId="7D6702B3" w:rsidR="00232882" w:rsidRPr="001961AA" w:rsidRDefault="00FE2703" w:rsidP="006726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Cycling infrastructure – Vélo Plus – Federal State (I-3.03b)</w:t>
            </w:r>
          </w:p>
        </w:tc>
        <w:tc>
          <w:tcPr>
            <w:tcW w:w="347" w:type="pct"/>
            <w:shd w:val="clear" w:color="auto" w:fill="C6EFCE"/>
            <w:noWrap/>
            <w:vAlign w:val="center"/>
            <w:hideMark/>
          </w:tcPr>
          <w:p w14:paraId="2DC9820E" w14:textId="77777777" w:rsidR="00232882" w:rsidRPr="001961AA" w:rsidRDefault="00232882" w:rsidP="006726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w:t>
            </w:r>
          </w:p>
        </w:tc>
        <w:tc>
          <w:tcPr>
            <w:tcW w:w="2294" w:type="pct"/>
            <w:shd w:val="clear" w:color="auto" w:fill="C6EFCE"/>
            <w:noWrap/>
            <w:vAlign w:val="center"/>
            <w:hideMark/>
          </w:tcPr>
          <w:p w14:paraId="268F1A0B" w14:textId="77777777" w:rsidR="00232882" w:rsidRPr="001961AA" w:rsidRDefault="00232882" w:rsidP="006726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Start of all cycling and walking projects</w:t>
            </w:r>
          </w:p>
        </w:tc>
      </w:tr>
      <w:tr w:rsidR="00232882" w:rsidRPr="001961AA" w14:paraId="2652BBFE" w14:textId="77777777" w:rsidTr="00672658">
        <w:trPr>
          <w:trHeight w:val="315"/>
        </w:trPr>
        <w:tc>
          <w:tcPr>
            <w:tcW w:w="470" w:type="pct"/>
            <w:shd w:val="clear" w:color="auto" w:fill="C6EFCE"/>
            <w:noWrap/>
            <w:vAlign w:val="center"/>
          </w:tcPr>
          <w:p w14:paraId="68EC8F82" w14:textId="77777777" w:rsidR="00232882" w:rsidRPr="001961AA" w:rsidRDefault="00232882" w:rsidP="00672658">
            <w:pPr>
              <w:spacing w:after="0"/>
              <w:jc w:val="center"/>
              <w:rPr>
                <w:rFonts w:ascii="Times New Roman" w:eastAsia="Times New Roman" w:hAnsi="Times New Roman" w:cs="Times New Roman"/>
                <w:noProof/>
                <w:color w:val="006100"/>
                <w:sz w:val="20"/>
                <w:szCs w:val="20"/>
                <w:lang w:val="en-GB" w:eastAsia="en-IE"/>
              </w:rPr>
            </w:pPr>
          </w:p>
        </w:tc>
        <w:tc>
          <w:tcPr>
            <w:tcW w:w="2236" w:type="pct"/>
            <w:gridSpan w:val="2"/>
            <w:shd w:val="clear" w:color="auto" w:fill="C6EFCE"/>
            <w:noWrap/>
            <w:vAlign w:val="center"/>
          </w:tcPr>
          <w:p w14:paraId="564A5122" w14:textId="77777777" w:rsidR="00232882" w:rsidRPr="001961AA" w:rsidRDefault="00232882" w:rsidP="00672658">
            <w:pPr>
              <w:spacing w:after="0"/>
              <w:jc w:val="right"/>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Instalment amount</w:t>
            </w:r>
          </w:p>
        </w:tc>
        <w:tc>
          <w:tcPr>
            <w:tcW w:w="2294" w:type="pct"/>
            <w:shd w:val="clear" w:color="auto" w:fill="C6EFCE"/>
            <w:noWrap/>
            <w:vAlign w:val="center"/>
          </w:tcPr>
          <w:p w14:paraId="7C175632" w14:textId="717C710F" w:rsidR="00232882" w:rsidRPr="001961AA" w:rsidRDefault="00232882" w:rsidP="006726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EUR 24</w:t>
            </w:r>
            <w:r w:rsidRPr="001961AA">
              <w:rPr>
                <w:noProof/>
                <w:lang w:val="en-GB"/>
              </w:rPr>
              <w:t xml:space="preserve"> </w:t>
            </w:r>
            <w:r w:rsidRPr="001961AA">
              <w:rPr>
                <w:rFonts w:ascii="Times New Roman" w:hAnsi="Times New Roman"/>
                <w:noProof/>
                <w:color w:val="006100"/>
                <w:sz w:val="20"/>
                <w:lang w:val="en-GB"/>
              </w:rPr>
              <w:t>420</w:t>
            </w:r>
            <w:r w:rsidRPr="001961AA">
              <w:rPr>
                <w:noProof/>
                <w:lang w:val="en-GB"/>
              </w:rPr>
              <w:t xml:space="preserve"> </w:t>
            </w:r>
            <w:r w:rsidRPr="001961AA">
              <w:rPr>
                <w:rFonts w:ascii="Times New Roman" w:hAnsi="Times New Roman"/>
                <w:noProof/>
                <w:color w:val="006100"/>
                <w:sz w:val="20"/>
                <w:lang w:val="en-GB"/>
              </w:rPr>
              <w:t>000</w:t>
            </w:r>
          </w:p>
        </w:tc>
      </w:tr>
    </w:tbl>
    <w:p w14:paraId="704D3265" w14:textId="77777777" w:rsidR="00672658" w:rsidRPr="001961AA" w:rsidRDefault="00672658" w:rsidP="00232882">
      <w:pPr>
        <w:rPr>
          <w:rFonts w:ascii="Times New Roman" w:hAnsi="Times New Roman" w:cs="Times New Roman"/>
          <w:noProof/>
          <w:lang w:val="en-GB"/>
        </w:rPr>
      </w:pPr>
    </w:p>
    <w:p w14:paraId="2E7D9C34" w14:textId="487BC251" w:rsidR="00232882" w:rsidRPr="001961AA" w:rsidRDefault="00232882" w:rsidP="003116E3">
      <w:pPr>
        <w:pStyle w:val="ManualNumPar1"/>
        <w:rPr>
          <w:noProof/>
          <w:lang w:val="en-GB"/>
        </w:rPr>
      </w:pPr>
      <w:r w:rsidRPr="001961AA">
        <w:rPr>
          <w:noProof/>
          <w:lang w:val="en-GB"/>
        </w:rPr>
        <w:t>Fourth instalment (loans) :</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EFCE"/>
        <w:tblLayout w:type="fixed"/>
        <w:tblLook w:val="04A0" w:firstRow="1" w:lastRow="0" w:firstColumn="1" w:lastColumn="0" w:noHBand="0" w:noVBand="1"/>
      </w:tblPr>
      <w:tblGrid>
        <w:gridCol w:w="868"/>
        <w:gridCol w:w="3635"/>
        <w:gridCol w:w="849"/>
        <w:gridCol w:w="4854"/>
      </w:tblGrid>
      <w:tr w:rsidR="00232882" w:rsidRPr="001961AA" w14:paraId="51FF6866" w14:textId="77777777">
        <w:trPr>
          <w:trHeight w:val="300"/>
        </w:trPr>
        <w:tc>
          <w:tcPr>
            <w:tcW w:w="425" w:type="pct"/>
            <w:shd w:val="clear" w:color="auto" w:fill="BDD7EE"/>
            <w:noWrap/>
            <w:vAlign w:val="bottom"/>
            <w:hideMark/>
          </w:tcPr>
          <w:p w14:paraId="23DE5501" w14:textId="77777777" w:rsidR="00232882" w:rsidRPr="001961AA" w:rsidRDefault="00232882">
            <w:pPr>
              <w:spacing w:before="120" w:after="120"/>
              <w:rPr>
                <w:rFonts w:ascii="Times New Roman" w:eastAsia="Times New Roman" w:hAnsi="Times New Roman" w:cs="Times New Roman"/>
                <w:b/>
                <w:bCs/>
                <w:noProof/>
                <w:color w:val="000000"/>
                <w:sz w:val="20"/>
                <w:szCs w:val="20"/>
                <w:lang w:val="en-GB"/>
              </w:rPr>
            </w:pPr>
            <w:r w:rsidRPr="001961AA">
              <w:rPr>
                <w:rFonts w:ascii="Times New Roman" w:hAnsi="Times New Roman"/>
                <w:b/>
                <w:noProof/>
                <w:color w:val="000000"/>
                <w:sz w:val="20"/>
                <w:lang w:val="en-GB"/>
              </w:rPr>
              <w:t>Seq. nb</w:t>
            </w:r>
          </w:p>
        </w:tc>
        <w:tc>
          <w:tcPr>
            <w:tcW w:w="1781" w:type="pct"/>
            <w:shd w:val="clear" w:color="auto" w:fill="BDD7EE"/>
            <w:noWrap/>
            <w:vAlign w:val="bottom"/>
            <w:hideMark/>
          </w:tcPr>
          <w:p w14:paraId="236FC03C" w14:textId="77777777" w:rsidR="00232882" w:rsidRPr="001961AA" w:rsidRDefault="00232882">
            <w:pPr>
              <w:spacing w:before="120" w:after="120"/>
              <w:rPr>
                <w:rFonts w:ascii="Times New Roman" w:eastAsia="Times New Roman" w:hAnsi="Times New Roman" w:cs="Times New Roman"/>
                <w:b/>
                <w:bCs/>
                <w:noProof/>
                <w:color w:val="000000"/>
                <w:sz w:val="20"/>
                <w:szCs w:val="20"/>
                <w:lang w:val="en-GB"/>
              </w:rPr>
            </w:pPr>
            <w:r w:rsidRPr="001961AA">
              <w:rPr>
                <w:rFonts w:ascii="Times New Roman" w:hAnsi="Times New Roman"/>
                <w:b/>
                <w:noProof/>
                <w:color w:val="000000"/>
                <w:sz w:val="20"/>
                <w:lang w:val="en-GB"/>
              </w:rPr>
              <w:t>Name of the measure</w:t>
            </w:r>
          </w:p>
        </w:tc>
        <w:tc>
          <w:tcPr>
            <w:tcW w:w="416" w:type="pct"/>
            <w:shd w:val="clear" w:color="auto" w:fill="BDD7EE"/>
            <w:noWrap/>
            <w:vAlign w:val="bottom"/>
            <w:hideMark/>
          </w:tcPr>
          <w:p w14:paraId="112E9278" w14:textId="77777777" w:rsidR="00232882" w:rsidRPr="001961AA" w:rsidRDefault="00232882">
            <w:pPr>
              <w:spacing w:before="120" w:after="120"/>
              <w:jc w:val="center"/>
              <w:rPr>
                <w:rFonts w:ascii="Times New Roman" w:eastAsia="Times New Roman" w:hAnsi="Times New Roman" w:cs="Times New Roman"/>
                <w:b/>
                <w:bCs/>
                <w:noProof/>
                <w:color w:val="000000"/>
                <w:sz w:val="20"/>
                <w:szCs w:val="20"/>
                <w:lang w:val="en-GB"/>
              </w:rPr>
            </w:pPr>
            <w:r w:rsidRPr="001961AA">
              <w:rPr>
                <w:rFonts w:ascii="Times New Roman" w:hAnsi="Times New Roman"/>
                <w:b/>
                <w:noProof/>
                <w:color w:val="000000"/>
                <w:sz w:val="20"/>
                <w:lang w:val="en-GB"/>
              </w:rPr>
              <w:t>M/T</w:t>
            </w:r>
          </w:p>
        </w:tc>
        <w:tc>
          <w:tcPr>
            <w:tcW w:w="2378" w:type="pct"/>
            <w:shd w:val="clear" w:color="auto" w:fill="BDD7EE"/>
            <w:noWrap/>
            <w:vAlign w:val="bottom"/>
            <w:hideMark/>
          </w:tcPr>
          <w:p w14:paraId="42B5C2CF" w14:textId="77777777" w:rsidR="00232882" w:rsidRPr="001961AA" w:rsidRDefault="00232882">
            <w:pPr>
              <w:spacing w:before="120" w:after="120"/>
              <w:rPr>
                <w:rFonts w:ascii="Times New Roman" w:eastAsia="Times New Roman" w:hAnsi="Times New Roman" w:cs="Times New Roman"/>
                <w:b/>
                <w:bCs/>
                <w:noProof/>
                <w:color w:val="000000"/>
                <w:sz w:val="20"/>
                <w:szCs w:val="20"/>
                <w:lang w:val="en-GB"/>
              </w:rPr>
            </w:pPr>
            <w:r w:rsidRPr="001961AA">
              <w:rPr>
                <w:rFonts w:ascii="Times New Roman" w:hAnsi="Times New Roman"/>
                <w:b/>
                <w:noProof/>
                <w:color w:val="000000"/>
                <w:sz w:val="20"/>
                <w:lang w:val="en-GB"/>
              </w:rPr>
              <w:t>Name</w:t>
            </w:r>
          </w:p>
        </w:tc>
      </w:tr>
      <w:tr w:rsidR="00FA28EF" w:rsidRPr="001961AA" w14:paraId="54D44F15" w14:textId="77777777">
        <w:trPr>
          <w:trHeight w:val="315"/>
        </w:trPr>
        <w:tc>
          <w:tcPr>
            <w:tcW w:w="425" w:type="pct"/>
            <w:shd w:val="clear" w:color="auto" w:fill="C6EFCE"/>
            <w:noWrap/>
            <w:vAlign w:val="center"/>
            <w:hideMark/>
          </w:tcPr>
          <w:p w14:paraId="4E54EBCB" w14:textId="7EBCAA14" w:rsidR="00FA28EF" w:rsidRPr="001961AA" w:rsidRDefault="00FA28EF" w:rsidP="00FA28EF">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55b</w:t>
            </w:r>
          </w:p>
        </w:tc>
        <w:tc>
          <w:tcPr>
            <w:tcW w:w="1781" w:type="pct"/>
            <w:shd w:val="clear" w:color="auto" w:fill="C6EFCE"/>
            <w:noWrap/>
            <w:vAlign w:val="center"/>
            <w:hideMark/>
          </w:tcPr>
          <w:p w14:paraId="2AE6A350" w14:textId="4E0A31E7" w:rsidR="00FA28EF" w:rsidRPr="001961AA" w:rsidRDefault="00FA28EF" w:rsidP="00FA28EF">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Digitalisation SPF (I-2.05bis)</w:t>
            </w:r>
          </w:p>
        </w:tc>
        <w:tc>
          <w:tcPr>
            <w:tcW w:w="416" w:type="pct"/>
            <w:shd w:val="clear" w:color="auto" w:fill="C6EFCE"/>
            <w:noWrap/>
            <w:vAlign w:val="center"/>
            <w:hideMark/>
          </w:tcPr>
          <w:p w14:paraId="6D14025C" w14:textId="6C45C50C" w:rsidR="00FA28EF" w:rsidRPr="001961AA" w:rsidRDefault="00FA28EF" w:rsidP="00FA28EF">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w:t>
            </w:r>
          </w:p>
        </w:tc>
        <w:tc>
          <w:tcPr>
            <w:tcW w:w="2378" w:type="pct"/>
            <w:shd w:val="clear" w:color="auto" w:fill="C6EFCE"/>
            <w:noWrap/>
            <w:vAlign w:val="center"/>
            <w:hideMark/>
          </w:tcPr>
          <w:p w14:paraId="33AB7C82" w14:textId="61EF1BC5" w:rsidR="00FA28EF" w:rsidRPr="001961AA" w:rsidRDefault="00FA28EF" w:rsidP="00FA28EF">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Project is completed and the output is operational</w:t>
            </w:r>
          </w:p>
        </w:tc>
      </w:tr>
      <w:tr w:rsidR="00FA28EF" w:rsidRPr="001961AA" w14:paraId="3637FE17" w14:textId="77777777">
        <w:trPr>
          <w:trHeight w:val="315"/>
        </w:trPr>
        <w:tc>
          <w:tcPr>
            <w:tcW w:w="425" w:type="pct"/>
            <w:shd w:val="clear" w:color="auto" w:fill="C6EFCE"/>
            <w:noWrap/>
            <w:vAlign w:val="center"/>
            <w:hideMark/>
          </w:tcPr>
          <w:p w14:paraId="6FEAB9E2" w14:textId="459DE915" w:rsidR="00FA28EF" w:rsidRPr="001961AA" w:rsidRDefault="00FA28EF" w:rsidP="00FA28EF">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96b</w:t>
            </w:r>
          </w:p>
        </w:tc>
        <w:tc>
          <w:tcPr>
            <w:tcW w:w="1781" w:type="pct"/>
            <w:shd w:val="clear" w:color="auto" w:fill="C6EFCE"/>
            <w:noWrap/>
            <w:vAlign w:val="center"/>
            <w:hideMark/>
          </w:tcPr>
          <w:p w14:paraId="1AEA0A77" w14:textId="2D092E68" w:rsidR="00FA28EF" w:rsidRPr="001961AA" w:rsidRDefault="00FA28EF" w:rsidP="00FA28EF">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Cycling infrastructure – Vélo Plus - Federal State (I-3.03b)</w:t>
            </w:r>
          </w:p>
        </w:tc>
        <w:tc>
          <w:tcPr>
            <w:tcW w:w="416" w:type="pct"/>
            <w:shd w:val="clear" w:color="auto" w:fill="C6EFCE"/>
            <w:noWrap/>
            <w:vAlign w:val="center"/>
            <w:hideMark/>
          </w:tcPr>
          <w:p w14:paraId="1FA03858" w14:textId="77DB50B9" w:rsidR="00FA28EF" w:rsidRPr="001961AA" w:rsidRDefault="00FA28EF" w:rsidP="00FA28EF">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T</w:t>
            </w:r>
          </w:p>
        </w:tc>
        <w:tc>
          <w:tcPr>
            <w:tcW w:w="2378" w:type="pct"/>
            <w:shd w:val="clear" w:color="auto" w:fill="C6EFCE"/>
            <w:noWrap/>
            <w:vAlign w:val="center"/>
            <w:hideMark/>
          </w:tcPr>
          <w:p w14:paraId="609E5BE3" w14:textId="3AADC6BC" w:rsidR="00FA28EF" w:rsidRPr="001961AA" w:rsidRDefault="00FA28EF" w:rsidP="00FA28EF">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New and refurbished cycling roads</w:t>
            </w:r>
          </w:p>
        </w:tc>
      </w:tr>
      <w:tr w:rsidR="00FA28EF" w:rsidRPr="001961AA" w14:paraId="13E67943" w14:textId="77777777">
        <w:trPr>
          <w:trHeight w:val="315"/>
        </w:trPr>
        <w:tc>
          <w:tcPr>
            <w:tcW w:w="425" w:type="pct"/>
            <w:shd w:val="clear" w:color="auto" w:fill="C6EFCE"/>
            <w:noWrap/>
            <w:vAlign w:val="center"/>
            <w:hideMark/>
          </w:tcPr>
          <w:p w14:paraId="1D1B7E0B" w14:textId="27E60F9A" w:rsidR="00FA28EF" w:rsidRPr="001961AA" w:rsidRDefault="00FA28EF" w:rsidP="00FA28EF">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98</w:t>
            </w:r>
          </w:p>
        </w:tc>
        <w:tc>
          <w:tcPr>
            <w:tcW w:w="1781" w:type="pct"/>
            <w:shd w:val="clear" w:color="auto" w:fill="C6EFCE"/>
            <w:noWrap/>
            <w:vAlign w:val="center"/>
            <w:hideMark/>
          </w:tcPr>
          <w:p w14:paraId="42BF1CA0" w14:textId="54461D74" w:rsidR="00FA28EF" w:rsidRPr="001961AA" w:rsidRDefault="00FA28EF" w:rsidP="00FA28EF">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Cycling &amp; walking infrastructure – Schuman (I-3.04)</w:t>
            </w:r>
          </w:p>
        </w:tc>
        <w:tc>
          <w:tcPr>
            <w:tcW w:w="416" w:type="pct"/>
            <w:shd w:val="clear" w:color="auto" w:fill="C6EFCE"/>
            <w:noWrap/>
            <w:vAlign w:val="center"/>
            <w:hideMark/>
          </w:tcPr>
          <w:p w14:paraId="38B9FB8B" w14:textId="724258F1" w:rsidR="00FA28EF" w:rsidRPr="001961AA" w:rsidRDefault="00FA28EF" w:rsidP="00FA28EF">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T</w:t>
            </w:r>
          </w:p>
        </w:tc>
        <w:tc>
          <w:tcPr>
            <w:tcW w:w="2378" w:type="pct"/>
            <w:shd w:val="clear" w:color="auto" w:fill="C6EFCE"/>
            <w:noWrap/>
            <w:vAlign w:val="center"/>
            <w:hideMark/>
          </w:tcPr>
          <w:p w14:paraId="51F3E008" w14:textId="1F4FFF95" w:rsidR="00FA28EF" w:rsidRPr="001961AA" w:rsidRDefault="00FA28EF" w:rsidP="00FA28EF">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New public space for pedestrians, cyclists and public transport at Schuman</w:t>
            </w:r>
          </w:p>
        </w:tc>
      </w:tr>
      <w:tr w:rsidR="00232882" w:rsidRPr="001961AA" w14:paraId="25128B5B" w14:textId="77777777">
        <w:trPr>
          <w:trHeight w:val="315"/>
        </w:trPr>
        <w:tc>
          <w:tcPr>
            <w:tcW w:w="425" w:type="pct"/>
            <w:shd w:val="clear" w:color="auto" w:fill="C6EFCE"/>
            <w:noWrap/>
            <w:vAlign w:val="center"/>
            <w:hideMark/>
          </w:tcPr>
          <w:p w14:paraId="0BC6B777" w14:textId="77777777" w:rsidR="00232882" w:rsidRPr="001961AA" w:rsidRDefault="00232882" w:rsidP="006726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241</w:t>
            </w:r>
          </w:p>
        </w:tc>
        <w:tc>
          <w:tcPr>
            <w:tcW w:w="1781" w:type="pct"/>
            <w:shd w:val="clear" w:color="auto" w:fill="C6EFCE"/>
            <w:noWrap/>
            <w:vAlign w:val="center"/>
            <w:hideMark/>
          </w:tcPr>
          <w:p w14:paraId="61790594" w14:textId="1B4A6B9E" w:rsidR="00232882" w:rsidRPr="001961AA" w:rsidRDefault="00232882" w:rsidP="006726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Off-shore energy island (I-7.20)</w:t>
            </w:r>
          </w:p>
        </w:tc>
        <w:tc>
          <w:tcPr>
            <w:tcW w:w="416" w:type="pct"/>
            <w:shd w:val="clear" w:color="auto" w:fill="C6EFCE"/>
            <w:noWrap/>
            <w:vAlign w:val="center"/>
            <w:hideMark/>
          </w:tcPr>
          <w:p w14:paraId="7AD7E530" w14:textId="77777777" w:rsidR="00232882" w:rsidRPr="001961AA" w:rsidRDefault="00232882" w:rsidP="006726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M</w:t>
            </w:r>
          </w:p>
        </w:tc>
        <w:tc>
          <w:tcPr>
            <w:tcW w:w="2378" w:type="pct"/>
            <w:shd w:val="clear" w:color="auto" w:fill="C6EFCE"/>
            <w:noWrap/>
            <w:vAlign w:val="center"/>
            <w:hideMark/>
          </w:tcPr>
          <w:p w14:paraId="47806E41" w14:textId="77777777" w:rsidR="00232882" w:rsidRPr="001961AA" w:rsidRDefault="00232882" w:rsidP="006726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Completion of works related to the energy island</w:t>
            </w:r>
          </w:p>
        </w:tc>
      </w:tr>
      <w:tr w:rsidR="00232882" w:rsidRPr="001961AA" w14:paraId="7D12C803" w14:textId="77777777">
        <w:trPr>
          <w:trHeight w:val="315"/>
        </w:trPr>
        <w:tc>
          <w:tcPr>
            <w:tcW w:w="425" w:type="pct"/>
            <w:shd w:val="clear" w:color="auto" w:fill="C6EFCE"/>
            <w:noWrap/>
            <w:vAlign w:val="center"/>
            <w:hideMark/>
          </w:tcPr>
          <w:p w14:paraId="5378F06F" w14:textId="77777777" w:rsidR="00232882" w:rsidRPr="001961AA" w:rsidRDefault="00232882" w:rsidP="006726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227</w:t>
            </w:r>
          </w:p>
        </w:tc>
        <w:tc>
          <w:tcPr>
            <w:tcW w:w="1781" w:type="pct"/>
            <w:shd w:val="clear" w:color="auto" w:fill="C6EFCE"/>
            <w:noWrap/>
            <w:vAlign w:val="center"/>
            <w:hideMark/>
          </w:tcPr>
          <w:p w14:paraId="61ACAC03" w14:textId="77777777" w:rsidR="00232882" w:rsidRPr="001961AA" w:rsidRDefault="00232882" w:rsidP="006726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Backbone for H2 (I-7.15)[L]</w:t>
            </w:r>
          </w:p>
        </w:tc>
        <w:tc>
          <w:tcPr>
            <w:tcW w:w="416" w:type="pct"/>
            <w:shd w:val="clear" w:color="auto" w:fill="C6EFCE"/>
            <w:noWrap/>
            <w:vAlign w:val="center"/>
            <w:hideMark/>
          </w:tcPr>
          <w:p w14:paraId="384FD930" w14:textId="77777777" w:rsidR="00232882" w:rsidRPr="001961AA" w:rsidRDefault="00232882" w:rsidP="00672658">
            <w:pPr>
              <w:spacing w:after="0"/>
              <w:jc w:val="center"/>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T</w:t>
            </w:r>
          </w:p>
        </w:tc>
        <w:tc>
          <w:tcPr>
            <w:tcW w:w="2378" w:type="pct"/>
            <w:shd w:val="clear" w:color="auto" w:fill="C6EFCE"/>
            <w:noWrap/>
            <w:vAlign w:val="center"/>
            <w:hideMark/>
          </w:tcPr>
          <w:p w14:paraId="6A4BE811" w14:textId="77777777" w:rsidR="00232882" w:rsidRPr="001961AA" w:rsidRDefault="00232882" w:rsidP="006726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Construction and operation of 150 km of pipeline for H2</w:t>
            </w:r>
          </w:p>
        </w:tc>
      </w:tr>
      <w:tr w:rsidR="00232882" w:rsidRPr="001961AA" w14:paraId="5012FF85" w14:textId="77777777" w:rsidTr="001B6E83">
        <w:trPr>
          <w:trHeight w:val="315"/>
        </w:trPr>
        <w:tc>
          <w:tcPr>
            <w:tcW w:w="425" w:type="pct"/>
            <w:shd w:val="clear" w:color="auto" w:fill="C6EFCE"/>
            <w:noWrap/>
            <w:vAlign w:val="center"/>
          </w:tcPr>
          <w:p w14:paraId="5490143F" w14:textId="20E4C488" w:rsidR="00232882" w:rsidRPr="001961AA" w:rsidRDefault="00232882" w:rsidP="00672658">
            <w:pPr>
              <w:spacing w:after="0"/>
              <w:jc w:val="center"/>
              <w:rPr>
                <w:rFonts w:ascii="Times New Roman" w:eastAsia="Times New Roman" w:hAnsi="Times New Roman" w:cs="Times New Roman"/>
                <w:noProof/>
                <w:color w:val="006100"/>
                <w:sz w:val="20"/>
                <w:szCs w:val="20"/>
                <w:lang w:val="en-GB" w:eastAsia="en-IE"/>
              </w:rPr>
            </w:pPr>
          </w:p>
        </w:tc>
        <w:tc>
          <w:tcPr>
            <w:tcW w:w="1781" w:type="pct"/>
            <w:shd w:val="clear" w:color="auto" w:fill="C6EFCE"/>
            <w:noWrap/>
            <w:vAlign w:val="center"/>
          </w:tcPr>
          <w:p w14:paraId="3665AA27" w14:textId="577F099A" w:rsidR="00232882" w:rsidRPr="001961AA" w:rsidRDefault="00232882" w:rsidP="00672658">
            <w:pPr>
              <w:spacing w:after="0"/>
              <w:rPr>
                <w:rFonts w:ascii="Times New Roman" w:eastAsia="Times New Roman" w:hAnsi="Times New Roman" w:cs="Times New Roman"/>
                <w:noProof/>
                <w:color w:val="006100"/>
                <w:sz w:val="20"/>
                <w:szCs w:val="20"/>
                <w:lang w:val="en-GB" w:eastAsia="en-IE"/>
              </w:rPr>
            </w:pPr>
          </w:p>
        </w:tc>
        <w:tc>
          <w:tcPr>
            <w:tcW w:w="416" w:type="pct"/>
            <w:shd w:val="clear" w:color="auto" w:fill="C6EFCE"/>
            <w:noWrap/>
            <w:vAlign w:val="center"/>
          </w:tcPr>
          <w:p w14:paraId="753D57E8" w14:textId="3FA04B4A" w:rsidR="00232882" w:rsidRPr="001961AA" w:rsidRDefault="00232882" w:rsidP="00672658">
            <w:pPr>
              <w:spacing w:after="0"/>
              <w:jc w:val="center"/>
              <w:rPr>
                <w:rFonts w:ascii="Times New Roman" w:eastAsia="Times New Roman" w:hAnsi="Times New Roman" w:cs="Times New Roman"/>
                <w:noProof/>
                <w:color w:val="006100"/>
                <w:sz w:val="20"/>
                <w:szCs w:val="20"/>
                <w:lang w:val="en-GB" w:eastAsia="en-IE"/>
              </w:rPr>
            </w:pPr>
          </w:p>
        </w:tc>
        <w:tc>
          <w:tcPr>
            <w:tcW w:w="2378" w:type="pct"/>
            <w:shd w:val="clear" w:color="auto" w:fill="C6EFCE"/>
            <w:noWrap/>
            <w:vAlign w:val="center"/>
          </w:tcPr>
          <w:p w14:paraId="4D6252E5" w14:textId="03752769" w:rsidR="00232882" w:rsidRPr="001961AA" w:rsidRDefault="00232882" w:rsidP="00672658">
            <w:pPr>
              <w:spacing w:after="0"/>
              <w:rPr>
                <w:rFonts w:ascii="Times New Roman" w:eastAsia="Times New Roman" w:hAnsi="Times New Roman" w:cs="Times New Roman"/>
                <w:noProof/>
                <w:color w:val="006100"/>
                <w:sz w:val="20"/>
                <w:szCs w:val="20"/>
                <w:lang w:val="en-GB" w:eastAsia="en-IE"/>
              </w:rPr>
            </w:pPr>
          </w:p>
        </w:tc>
      </w:tr>
      <w:tr w:rsidR="00232882" w:rsidRPr="001961AA" w14:paraId="255A59E4" w14:textId="77777777">
        <w:trPr>
          <w:trHeight w:val="315"/>
        </w:trPr>
        <w:tc>
          <w:tcPr>
            <w:tcW w:w="425" w:type="pct"/>
            <w:shd w:val="clear" w:color="auto" w:fill="C6EFCE"/>
            <w:noWrap/>
            <w:vAlign w:val="center"/>
          </w:tcPr>
          <w:p w14:paraId="03E1737A" w14:textId="77777777" w:rsidR="00232882" w:rsidRPr="001961AA" w:rsidRDefault="00232882" w:rsidP="00672658">
            <w:pPr>
              <w:spacing w:after="0"/>
              <w:jc w:val="center"/>
              <w:rPr>
                <w:rFonts w:ascii="Times New Roman" w:eastAsia="Times New Roman" w:hAnsi="Times New Roman" w:cs="Times New Roman"/>
                <w:noProof/>
                <w:color w:val="006100"/>
                <w:sz w:val="20"/>
                <w:szCs w:val="20"/>
                <w:lang w:val="en-GB" w:eastAsia="en-IE"/>
              </w:rPr>
            </w:pPr>
          </w:p>
        </w:tc>
        <w:tc>
          <w:tcPr>
            <w:tcW w:w="2197" w:type="pct"/>
            <w:gridSpan w:val="2"/>
            <w:shd w:val="clear" w:color="auto" w:fill="C6EFCE"/>
            <w:noWrap/>
            <w:vAlign w:val="center"/>
          </w:tcPr>
          <w:p w14:paraId="7B17C0D8" w14:textId="77777777" w:rsidR="00232882" w:rsidRPr="001961AA" w:rsidRDefault="00232882" w:rsidP="00672658">
            <w:pPr>
              <w:spacing w:after="0"/>
              <w:jc w:val="right"/>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Instalment amount</w:t>
            </w:r>
          </w:p>
        </w:tc>
        <w:tc>
          <w:tcPr>
            <w:tcW w:w="2378" w:type="pct"/>
            <w:shd w:val="clear" w:color="auto" w:fill="C6EFCE"/>
            <w:noWrap/>
            <w:vAlign w:val="center"/>
          </w:tcPr>
          <w:p w14:paraId="594E2124" w14:textId="006F1A10" w:rsidR="00232882" w:rsidRPr="001961AA" w:rsidRDefault="00232882" w:rsidP="00672658">
            <w:pPr>
              <w:spacing w:after="0"/>
              <w:rPr>
                <w:rFonts w:ascii="Times New Roman" w:eastAsia="Times New Roman" w:hAnsi="Times New Roman" w:cs="Times New Roman"/>
                <w:noProof/>
                <w:color w:val="006100"/>
                <w:sz w:val="20"/>
                <w:szCs w:val="20"/>
                <w:lang w:val="en-GB"/>
              </w:rPr>
            </w:pPr>
            <w:r w:rsidRPr="001961AA">
              <w:rPr>
                <w:rFonts w:ascii="Times New Roman" w:hAnsi="Times New Roman"/>
                <w:noProof/>
                <w:color w:val="006100"/>
                <w:sz w:val="20"/>
                <w:lang w:val="en-GB"/>
              </w:rPr>
              <w:t>EUR 122</w:t>
            </w:r>
            <w:r w:rsidRPr="001961AA">
              <w:rPr>
                <w:noProof/>
                <w:lang w:val="en-GB"/>
              </w:rPr>
              <w:t xml:space="preserve"> </w:t>
            </w:r>
            <w:r w:rsidRPr="001961AA">
              <w:rPr>
                <w:rFonts w:ascii="Times New Roman" w:hAnsi="Times New Roman"/>
                <w:noProof/>
                <w:color w:val="006100"/>
                <w:sz w:val="20"/>
                <w:lang w:val="en-GB"/>
              </w:rPr>
              <w:t>100</w:t>
            </w:r>
            <w:r w:rsidRPr="001961AA">
              <w:rPr>
                <w:noProof/>
                <w:lang w:val="en-GB"/>
              </w:rPr>
              <w:t xml:space="preserve"> </w:t>
            </w:r>
            <w:r w:rsidRPr="001961AA">
              <w:rPr>
                <w:rFonts w:ascii="Times New Roman" w:hAnsi="Times New Roman"/>
                <w:noProof/>
                <w:color w:val="006100"/>
                <w:sz w:val="20"/>
                <w:lang w:val="en-GB"/>
              </w:rPr>
              <w:t>000</w:t>
            </w:r>
          </w:p>
        </w:tc>
      </w:tr>
    </w:tbl>
    <w:p w14:paraId="16374451" w14:textId="77777777" w:rsidR="00232882" w:rsidRPr="001961AA" w:rsidRDefault="00232882" w:rsidP="00232882">
      <w:pPr>
        <w:rPr>
          <w:rFonts w:ascii="Times New Roman" w:hAnsi="Times New Roman" w:cs="Times New Roman"/>
          <w:noProof/>
          <w:lang w:val="en-GB"/>
        </w:rPr>
      </w:pPr>
    </w:p>
    <w:sectPr w:rsidR="00232882" w:rsidRPr="001961AA" w:rsidSect="00B069E6">
      <w:headerReference w:type="even" r:id="rId330"/>
      <w:headerReference w:type="default" r:id="rId331"/>
      <w:footerReference w:type="even" r:id="rId332"/>
      <w:footerReference w:type="default" r:id="rId333"/>
      <w:headerReference w:type="first" r:id="rId334"/>
      <w:footerReference w:type="first" r:id="rId335"/>
      <w:pgSz w:w="11907" w:h="16839"/>
      <w:pgMar w:top="1134" w:right="1134" w:bottom="1134"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D1C1B6" w14:textId="77777777" w:rsidR="00F9130B" w:rsidRDefault="00F9130B" w:rsidP="00526F1A">
      <w:pPr>
        <w:spacing w:after="0" w:line="240" w:lineRule="auto"/>
      </w:pPr>
      <w:r>
        <w:separator/>
      </w:r>
    </w:p>
  </w:endnote>
  <w:endnote w:type="continuationSeparator" w:id="0">
    <w:p w14:paraId="07CB91D6" w14:textId="77777777" w:rsidR="00F9130B" w:rsidRDefault="00F9130B" w:rsidP="00526F1A">
      <w:pPr>
        <w:spacing w:after="0" w:line="240" w:lineRule="auto"/>
      </w:pPr>
      <w:r>
        <w:continuationSeparator/>
      </w:r>
    </w:p>
  </w:endnote>
  <w:endnote w:type="continuationNotice" w:id="1">
    <w:p w14:paraId="3550B8D9" w14:textId="77777777" w:rsidR="00F9130B" w:rsidRDefault="00F913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ext LT Pro">
    <w:charset w:val="00"/>
    <w:family w:val="swiss"/>
    <w:pitch w:val="variable"/>
    <w:sig w:usb0="800000EF" w:usb1="5000204A" w:usb2="00000000" w:usb3="00000000" w:csb0="00000093" w:csb1="00000000"/>
  </w:font>
  <w:font w:name="Yu Gothic">
    <w:altName w:val="游ゴシック"/>
    <w:panose1 w:val="020B04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7E2E5" w14:textId="5598F561" w:rsidR="00D26A48" w:rsidRPr="00D26A48" w:rsidRDefault="00D26A48" w:rsidP="00D26A48">
    <w:pPr>
      <w:pStyle w:val="FooterCoverPage"/>
      <w:rPr>
        <w:rFonts w:ascii="Arial" w:hAnsi="Arial" w:cs="Arial"/>
        <w:b/>
        <w:sz w:val="48"/>
      </w:rPr>
    </w:pPr>
    <w:r w:rsidRPr="00D26A48">
      <w:rPr>
        <w:rFonts w:ascii="Arial" w:hAnsi="Arial" w:cs="Arial"/>
        <w:b/>
        <w:sz w:val="48"/>
      </w:rPr>
      <w:t>EN</w:t>
    </w:r>
    <w:r w:rsidRPr="00D26A48">
      <w:rPr>
        <w:rFonts w:ascii="Arial" w:hAnsi="Arial" w:cs="Arial"/>
        <w:b/>
        <w:sz w:val="48"/>
      </w:rPr>
      <w:tab/>
    </w:r>
    <w:r w:rsidRPr="00D26A48">
      <w:rPr>
        <w:rFonts w:ascii="Arial" w:hAnsi="Arial" w:cs="Arial"/>
        <w:b/>
        <w:sz w:val="48"/>
      </w:rPr>
      <w:tab/>
    </w:r>
    <w:r w:rsidRPr="00D26A48">
      <w:tab/>
    </w:r>
    <w:r w:rsidRPr="00D26A48">
      <w:rPr>
        <w:rFonts w:ascii="Arial" w:hAnsi="Arial" w:cs="Arial"/>
        <w:b/>
        <w:sz w:val="48"/>
      </w:rPr>
      <w:t>EN</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81356" w14:textId="77777777" w:rsidR="006A41D9" w:rsidRPr="00ED64B3" w:rsidRDefault="006A41D9" w:rsidP="00BD6DD1">
    <w:pPr>
      <w:pStyle w:val="Footer"/>
    </w:pPr>
  </w:p>
</w:ftr>
</file>

<file path=word/footer10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4FAAF" w14:textId="77777777" w:rsidR="006A41D9" w:rsidRPr="00ED64B3" w:rsidRDefault="006A41D9" w:rsidP="00BD6DD1">
    <w:pPr>
      <w:pStyle w:val="Footer"/>
    </w:pPr>
  </w:p>
</w:ftr>
</file>

<file path=word/footer10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8388115"/>
      <w:docPartObj>
        <w:docPartGallery w:val="Page Numbers (Bottom of Page)"/>
        <w:docPartUnique/>
      </w:docPartObj>
    </w:sdtPr>
    <w:sdtEndPr>
      <w:rPr>
        <w:noProof/>
      </w:rPr>
    </w:sdtEndPr>
    <w:sdtContent>
      <w:p w14:paraId="688C38D8" w14:textId="52D8533A" w:rsidR="00C92133" w:rsidRDefault="00C92133">
        <w:pPr>
          <w:pStyle w:val="Footer"/>
          <w:jc w:val="center"/>
        </w:pPr>
        <w:r>
          <w:fldChar w:fldCharType="begin"/>
        </w:r>
        <w:r>
          <w:instrText xml:space="preserve"> PAGE   \* MERGEFORMAT </w:instrText>
        </w:r>
        <w:r>
          <w:fldChar w:fldCharType="separate"/>
        </w:r>
        <w:r>
          <w:t>121</w:t>
        </w:r>
        <w:r>
          <w:fldChar w:fldCharType="end"/>
        </w:r>
      </w:p>
    </w:sdtContent>
  </w:sdt>
  <w:p w14:paraId="797F70CD" w14:textId="77777777" w:rsidR="006A41D9" w:rsidRPr="00ED64B3" w:rsidRDefault="006A41D9" w:rsidP="00BD6DD1">
    <w:pPr>
      <w:pStyle w:val="FooterCouncil"/>
    </w:pPr>
  </w:p>
</w:ftr>
</file>

<file path=word/footer10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046D5" w14:textId="77777777" w:rsidR="006A41D9" w:rsidRPr="00ED64B3" w:rsidRDefault="006A41D9" w:rsidP="00BD6DD1">
    <w:pPr>
      <w:pStyle w:val="Footer"/>
    </w:pPr>
  </w:p>
</w:ftr>
</file>

<file path=word/footer10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420ED" w14:textId="77777777" w:rsidR="006B79E9" w:rsidRPr="00ED64B3" w:rsidRDefault="006B79E9" w:rsidP="00BD6DD1">
    <w:pPr>
      <w:pStyle w:val="Footer"/>
    </w:pPr>
  </w:p>
</w:ftr>
</file>

<file path=word/footer10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2504419"/>
      <w:docPartObj>
        <w:docPartGallery w:val="Page Numbers (Bottom of Page)"/>
        <w:docPartUnique/>
      </w:docPartObj>
    </w:sdtPr>
    <w:sdtEndPr>
      <w:rPr>
        <w:noProof/>
      </w:rPr>
    </w:sdtEndPr>
    <w:sdtContent>
      <w:p w14:paraId="1F43C463" w14:textId="77777777" w:rsidR="006B79E9" w:rsidRDefault="006B79E9">
        <w:pPr>
          <w:pStyle w:val="Footer"/>
          <w:jc w:val="center"/>
        </w:pPr>
        <w:r>
          <w:fldChar w:fldCharType="begin"/>
        </w:r>
        <w:r>
          <w:instrText xml:space="preserve"> PAGE   \* MERGEFORMAT </w:instrText>
        </w:r>
        <w:r>
          <w:fldChar w:fldCharType="separate"/>
        </w:r>
        <w:r>
          <w:t>121</w:t>
        </w:r>
        <w:r>
          <w:fldChar w:fldCharType="end"/>
        </w:r>
      </w:p>
    </w:sdtContent>
  </w:sdt>
  <w:p w14:paraId="05D1BB46" w14:textId="77777777" w:rsidR="006B79E9" w:rsidRPr="00ED64B3" w:rsidRDefault="006B79E9" w:rsidP="00BD6DD1">
    <w:pPr>
      <w:pStyle w:val="FooterCouncil"/>
    </w:pPr>
  </w:p>
</w:ftr>
</file>

<file path=word/footer10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0851B" w14:textId="77777777" w:rsidR="006B79E9" w:rsidRPr="00ED64B3" w:rsidRDefault="006B79E9" w:rsidP="00BD6DD1">
    <w:pPr>
      <w:pStyle w:val="Footer"/>
    </w:pPr>
  </w:p>
</w:ftr>
</file>

<file path=word/footer10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EE6E4" w14:textId="77777777" w:rsidR="00B10CDF" w:rsidRPr="00ED64B3" w:rsidRDefault="00B10CDF">
    <w:pPr>
      <w:pStyle w:val="Footer"/>
    </w:pPr>
  </w:p>
</w:ftr>
</file>

<file path=word/footer10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6188473"/>
      <w:docPartObj>
        <w:docPartGallery w:val="Page Numbers (Bottom of Page)"/>
        <w:docPartUnique/>
      </w:docPartObj>
    </w:sdtPr>
    <w:sdtEndPr>
      <w:rPr>
        <w:noProof/>
      </w:rPr>
    </w:sdtEndPr>
    <w:sdtContent>
      <w:p w14:paraId="2BC03894" w14:textId="1F904C5B" w:rsidR="00C92133" w:rsidRDefault="00C92133">
        <w:pPr>
          <w:pStyle w:val="Footer"/>
          <w:jc w:val="center"/>
        </w:pPr>
        <w:r>
          <w:fldChar w:fldCharType="begin"/>
        </w:r>
        <w:r>
          <w:instrText xml:space="preserve"> PAGE   \* MERGEFORMAT </w:instrText>
        </w:r>
        <w:r>
          <w:fldChar w:fldCharType="separate"/>
        </w:r>
        <w:r>
          <w:t>127</w:t>
        </w:r>
        <w:r>
          <w:fldChar w:fldCharType="end"/>
        </w:r>
      </w:p>
    </w:sdtContent>
  </w:sdt>
  <w:p w14:paraId="1871E377" w14:textId="77777777" w:rsidR="00B10CDF" w:rsidRPr="00ED64B3" w:rsidRDefault="00B10CDF">
    <w:pPr>
      <w:pStyle w:val="FooterCouncil"/>
    </w:pPr>
  </w:p>
</w:ftr>
</file>

<file path=word/footer10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386AB" w14:textId="77777777" w:rsidR="00B10CDF" w:rsidRPr="00ED64B3" w:rsidRDefault="00B10CDF">
    <w:pPr>
      <w:pStyle w:val="Footer"/>
    </w:pPr>
  </w:p>
</w:ftr>
</file>

<file path=word/footer10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1069D" w14:textId="77777777" w:rsidR="006B79E9" w:rsidRPr="00ED64B3" w:rsidRDefault="006B79E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7992000"/>
      <w:docPartObj>
        <w:docPartGallery w:val="Page Numbers (Bottom of Page)"/>
        <w:docPartUnique/>
      </w:docPartObj>
    </w:sdtPr>
    <w:sdtEndPr>
      <w:rPr>
        <w:noProof/>
      </w:rPr>
    </w:sdtEndPr>
    <w:sdtContent>
      <w:p w14:paraId="4ECDC784" w14:textId="44AB413A" w:rsidR="001E6D8C" w:rsidRDefault="001E6D8C">
        <w:pPr>
          <w:pStyle w:val="Footer"/>
          <w:jc w:val="center"/>
        </w:pPr>
        <w:r>
          <w:fldChar w:fldCharType="begin"/>
        </w:r>
        <w:r>
          <w:instrText xml:space="preserve"> PAGE   \* MERGEFORMAT </w:instrText>
        </w:r>
        <w:r>
          <w:fldChar w:fldCharType="separate"/>
        </w:r>
        <w:r w:rsidR="00D26A48">
          <w:rPr>
            <w:noProof/>
          </w:rPr>
          <w:t>12</w:t>
        </w:r>
        <w:r>
          <w:fldChar w:fldCharType="end"/>
        </w:r>
      </w:p>
    </w:sdtContent>
  </w:sdt>
  <w:p w14:paraId="33C0740A" w14:textId="77777777" w:rsidR="006A41D9" w:rsidRPr="00ED64B3" w:rsidRDefault="006A41D9" w:rsidP="00BD6DD1">
    <w:pPr>
      <w:pStyle w:val="FooterCouncil"/>
    </w:pPr>
  </w:p>
</w:ftr>
</file>

<file path=word/footer1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0911578"/>
      <w:docPartObj>
        <w:docPartGallery w:val="Page Numbers (Bottom of Page)"/>
        <w:docPartUnique/>
      </w:docPartObj>
    </w:sdtPr>
    <w:sdtEndPr>
      <w:rPr>
        <w:noProof/>
      </w:rPr>
    </w:sdtEndPr>
    <w:sdtContent>
      <w:p w14:paraId="2E181E7D" w14:textId="77777777" w:rsidR="006B79E9" w:rsidRDefault="006B79E9">
        <w:pPr>
          <w:pStyle w:val="Footer"/>
          <w:jc w:val="center"/>
        </w:pPr>
        <w:r>
          <w:fldChar w:fldCharType="begin"/>
        </w:r>
        <w:r>
          <w:instrText xml:space="preserve"> PAGE   \* MERGEFORMAT </w:instrText>
        </w:r>
        <w:r>
          <w:fldChar w:fldCharType="separate"/>
        </w:r>
        <w:r>
          <w:t>127</w:t>
        </w:r>
        <w:r>
          <w:fldChar w:fldCharType="end"/>
        </w:r>
      </w:p>
    </w:sdtContent>
  </w:sdt>
  <w:p w14:paraId="6E56649E" w14:textId="77777777" w:rsidR="006B79E9" w:rsidRPr="00ED64B3" w:rsidRDefault="006B79E9">
    <w:pPr>
      <w:pStyle w:val="FooterCouncil"/>
    </w:pPr>
  </w:p>
</w:ftr>
</file>

<file path=word/footer1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89AB2" w14:textId="77777777" w:rsidR="006B79E9" w:rsidRPr="00ED64B3" w:rsidRDefault="006B79E9">
    <w:pPr>
      <w:pStyle w:val="Footer"/>
    </w:pPr>
  </w:p>
</w:ftr>
</file>

<file path=word/footer1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8B780" w14:textId="77777777" w:rsidR="006A41D9" w:rsidRPr="00ED64B3" w:rsidRDefault="006A41D9" w:rsidP="00BD6DD1">
    <w:pPr>
      <w:pStyle w:val="Footer"/>
    </w:pPr>
  </w:p>
</w:ftr>
</file>

<file path=word/footer1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7814609"/>
      <w:docPartObj>
        <w:docPartGallery w:val="Page Numbers (Bottom of Page)"/>
        <w:docPartUnique/>
      </w:docPartObj>
    </w:sdtPr>
    <w:sdtEndPr>
      <w:rPr>
        <w:noProof/>
      </w:rPr>
    </w:sdtEndPr>
    <w:sdtContent>
      <w:p w14:paraId="77109D7D" w14:textId="2E3951F3" w:rsidR="00DE3060" w:rsidRDefault="00DE3060">
        <w:pPr>
          <w:pStyle w:val="Footer"/>
          <w:jc w:val="center"/>
        </w:pPr>
        <w:r>
          <w:fldChar w:fldCharType="begin"/>
        </w:r>
        <w:r>
          <w:instrText xml:space="preserve"> PAGE   \* MERGEFORMAT </w:instrText>
        </w:r>
        <w:r>
          <w:fldChar w:fldCharType="separate"/>
        </w:r>
        <w:r>
          <w:t>131</w:t>
        </w:r>
        <w:r>
          <w:fldChar w:fldCharType="end"/>
        </w:r>
      </w:p>
    </w:sdtContent>
  </w:sdt>
  <w:p w14:paraId="41BE66E3" w14:textId="77777777" w:rsidR="006A41D9" w:rsidRPr="00ED64B3" w:rsidRDefault="006A41D9" w:rsidP="00BD6DD1">
    <w:pPr>
      <w:pStyle w:val="FooterCouncil"/>
    </w:pPr>
  </w:p>
</w:ftr>
</file>

<file path=word/footer1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6BC88" w14:textId="77777777" w:rsidR="006A41D9" w:rsidRPr="00ED64B3" w:rsidRDefault="006A41D9" w:rsidP="00BD6DD1">
    <w:pPr>
      <w:pStyle w:val="Footer"/>
    </w:pPr>
  </w:p>
</w:ftr>
</file>

<file path=word/footer1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CA17F" w14:textId="77777777" w:rsidR="006B79E9" w:rsidRPr="00ED64B3" w:rsidRDefault="006B79E9" w:rsidP="00BD6DD1">
    <w:pPr>
      <w:pStyle w:val="Footer"/>
    </w:pPr>
  </w:p>
</w:ftr>
</file>

<file path=word/footer1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0073350"/>
      <w:docPartObj>
        <w:docPartGallery w:val="Page Numbers (Bottom of Page)"/>
        <w:docPartUnique/>
      </w:docPartObj>
    </w:sdtPr>
    <w:sdtEndPr>
      <w:rPr>
        <w:noProof/>
      </w:rPr>
    </w:sdtEndPr>
    <w:sdtContent>
      <w:p w14:paraId="659139EC" w14:textId="77777777" w:rsidR="006B79E9" w:rsidRDefault="006B79E9">
        <w:pPr>
          <w:pStyle w:val="Footer"/>
          <w:jc w:val="center"/>
        </w:pPr>
        <w:r>
          <w:fldChar w:fldCharType="begin"/>
        </w:r>
        <w:r>
          <w:instrText xml:space="preserve"> PAGE   \* MERGEFORMAT </w:instrText>
        </w:r>
        <w:r>
          <w:fldChar w:fldCharType="separate"/>
        </w:r>
        <w:r>
          <w:t>131</w:t>
        </w:r>
        <w:r>
          <w:fldChar w:fldCharType="end"/>
        </w:r>
      </w:p>
    </w:sdtContent>
  </w:sdt>
  <w:p w14:paraId="0F67F80A" w14:textId="77777777" w:rsidR="006B79E9" w:rsidRPr="00ED64B3" w:rsidRDefault="006B79E9" w:rsidP="00BD6DD1">
    <w:pPr>
      <w:pStyle w:val="FooterCouncil"/>
    </w:pPr>
  </w:p>
</w:ftr>
</file>

<file path=word/footer1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44C43" w14:textId="77777777" w:rsidR="006B79E9" w:rsidRPr="00ED64B3" w:rsidRDefault="006B79E9" w:rsidP="00BD6DD1">
    <w:pPr>
      <w:pStyle w:val="Footer"/>
    </w:pPr>
  </w:p>
</w:ftr>
</file>

<file path=word/footer1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A4EEC" w14:textId="77777777" w:rsidR="00243DEB" w:rsidRDefault="00243DEB">
    <w:pPr>
      <w:pStyle w:val="Footer"/>
    </w:pPr>
  </w:p>
</w:ftr>
</file>

<file path=word/footer1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1956742"/>
      <w:docPartObj>
        <w:docPartGallery w:val="Page Numbers (Bottom of Page)"/>
        <w:docPartUnique/>
      </w:docPartObj>
    </w:sdtPr>
    <w:sdtEndPr>
      <w:rPr>
        <w:noProof/>
      </w:rPr>
    </w:sdtEndPr>
    <w:sdtContent>
      <w:p w14:paraId="457E2232" w14:textId="0E2A609F" w:rsidR="00DE3060" w:rsidRDefault="00DE3060">
        <w:pPr>
          <w:pStyle w:val="Footer"/>
          <w:jc w:val="center"/>
        </w:pPr>
        <w:r>
          <w:fldChar w:fldCharType="begin"/>
        </w:r>
        <w:r>
          <w:instrText xml:space="preserve"> PAGE   \* MERGEFORMAT </w:instrText>
        </w:r>
        <w:r>
          <w:fldChar w:fldCharType="separate"/>
        </w:r>
        <w:r>
          <w:t>136</w:t>
        </w:r>
        <w:r>
          <w:fldChar w:fldCharType="end"/>
        </w:r>
      </w:p>
    </w:sdtContent>
  </w:sdt>
  <w:p w14:paraId="46CC286B" w14:textId="77777777" w:rsidR="006A41D9" w:rsidRPr="00D42E52" w:rsidRDefault="006A41D9" w:rsidP="00BD6DD1">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E2FF5" w14:textId="77777777" w:rsidR="006A41D9" w:rsidRPr="00ED64B3" w:rsidRDefault="006A41D9" w:rsidP="00BD6DD1">
    <w:pPr>
      <w:pStyle w:val="Footer"/>
    </w:pPr>
  </w:p>
</w:ftr>
</file>

<file path=word/footer1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16993" w14:textId="77777777" w:rsidR="00243DEB" w:rsidRDefault="00243DEB">
    <w:pPr>
      <w:pStyle w:val="Footer"/>
    </w:pPr>
  </w:p>
</w:ftr>
</file>

<file path=word/footer1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BF99F" w14:textId="77777777" w:rsidR="006B79E9" w:rsidRDefault="006B79E9">
    <w:pPr>
      <w:pStyle w:val="Footer"/>
    </w:pPr>
  </w:p>
</w:ftr>
</file>

<file path=word/footer1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3745696"/>
      <w:docPartObj>
        <w:docPartGallery w:val="Page Numbers (Bottom of Page)"/>
        <w:docPartUnique/>
      </w:docPartObj>
    </w:sdtPr>
    <w:sdtEndPr>
      <w:rPr>
        <w:noProof/>
      </w:rPr>
    </w:sdtEndPr>
    <w:sdtContent>
      <w:p w14:paraId="5A70CD52" w14:textId="77777777" w:rsidR="006B79E9" w:rsidRDefault="006B79E9">
        <w:pPr>
          <w:pStyle w:val="Footer"/>
          <w:jc w:val="center"/>
        </w:pPr>
        <w:r>
          <w:fldChar w:fldCharType="begin"/>
        </w:r>
        <w:r>
          <w:instrText xml:space="preserve"> PAGE   \* MERGEFORMAT </w:instrText>
        </w:r>
        <w:r>
          <w:fldChar w:fldCharType="separate"/>
        </w:r>
        <w:r>
          <w:t>136</w:t>
        </w:r>
        <w:r>
          <w:fldChar w:fldCharType="end"/>
        </w:r>
      </w:p>
    </w:sdtContent>
  </w:sdt>
  <w:p w14:paraId="34819942" w14:textId="77777777" w:rsidR="006B79E9" w:rsidRPr="00D42E52" w:rsidRDefault="006B79E9" w:rsidP="00BD6DD1">
    <w:pPr>
      <w:pStyle w:val="Footer"/>
    </w:pPr>
  </w:p>
</w:ftr>
</file>

<file path=word/footer1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A51E39" w14:textId="77777777" w:rsidR="006B79E9" w:rsidRDefault="006B79E9">
    <w:pPr>
      <w:pStyle w:val="Footer"/>
    </w:pPr>
  </w:p>
</w:ftr>
</file>

<file path=word/footer1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CD803" w14:textId="77777777" w:rsidR="00243DEB" w:rsidRDefault="00243DEB">
    <w:pPr>
      <w:pStyle w:val="Footer"/>
    </w:pPr>
  </w:p>
</w:ftr>
</file>

<file path=word/footer1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5311461"/>
      <w:docPartObj>
        <w:docPartGallery w:val="Page Numbers (Bottom of Page)"/>
        <w:docPartUnique/>
      </w:docPartObj>
    </w:sdtPr>
    <w:sdtEndPr>
      <w:rPr>
        <w:noProof/>
      </w:rPr>
    </w:sdtEndPr>
    <w:sdtContent>
      <w:p w14:paraId="04A7AD82" w14:textId="2C687E14" w:rsidR="00DE3060" w:rsidRDefault="00DE3060">
        <w:pPr>
          <w:pStyle w:val="Footer"/>
          <w:jc w:val="center"/>
        </w:pPr>
        <w:r>
          <w:fldChar w:fldCharType="begin"/>
        </w:r>
        <w:r>
          <w:instrText xml:space="preserve"> PAGE   \* MERGEFORMAT </w:instrText>
        </w:r>
        <w:r>
          <w:fldChar w:fldCharType="separate"/>
        </w:r>
        <w:r>
          <w:t>141</w:t>
        </w:r>
        <w:r>
          <w:fldChar w:fldCharType="end"/>
        </w:r>
      </w:p>
    </w:sdtContent>
  </w:sdt>
  <w:p w14:paraId="6219B736" w14:textId="77777777" w:rsidR="00243DEB" w:rsidRPr="00D42E52" w:rsidRDefault="00243DEB" w:rsidP="00BD6DD1">
    <w:pPr>
      <w:pStyle w:val="Footer"/>
    </w:pPr>
  </w:p>
</w:ftr>
</file>

<file path=word/footer1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C3FBB" w14:textId="77777777" w:rsidR="00243DEB" w:rsidRDefault="00243DEB">
    <w:pPr>
      <w:pStyle w:val="Footer"/>
    </w:pPr>
  </w:p>
</w:ftr>
</file>

<file path=word/footer1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AE084" w14:textId="77777777" w:rsidR="006B79E9" w:rsidRDefault="006B79E9">
    <w:pPr>
      <w:pStyle w:val="Footer"/>
    </w:pPr>
  </w:p>
</w:ftr>
</file>

<file path=word/footer1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3789204"/>
      <w:docPartObj>
        <w:docPartGallery w:val="Page Numbers (Bottom of Page)"/>
        <w:docPartUnique/>
      </w:docPartObj>
    </w:sdtPr>
    <w:sdtEndPr>
      <w:rPr>
        <w:noProof/>
      </w:rPr>
    </w:sdtEndPr>
    <w:sdtContent>
      <w:p w14:paraId="0A4D7349" w14:textId="77777777" w:rsidR="006B79E9" w:rsidRDefault="006B79E9">
        <w:pPr>
          <w:pStyle w:val="Footer"/>
          <w:jc w:val="center"/>
        </w:pPr>
        <w:r>
          <w:fldChar w:fldCharType="begin"/>
        </w:r>
        <w:r>
          <w:instrText xml:space="preserve"> PAGE   \* MERGEFORMAT </w:instrText>
        </w:r>
        <w:r>
          <w:fldChar w:fldCharType="separate"/>
        </w:r>
        <w:r>
          <w:t>141</w:t>
        </w:r>
        <w:r>
          <w:fldChar w:fldCharType="end"/>
        </w:r>
      </w:p>
    </w:sdtContent>
  </w:sdt>
  <w:p w14:paraId="584C7EED" w14:textId="77777777" w:rsidR="006B79E9" w:rsidRPr="00D42E52" w:rsidRDefault="006B79E9" w:rsidP="00BD6DD1">
    <w:pPr>
      <w:pStyle w:val="Footer"/>
    </w:pPr>
  </w:p>
</w:ftr>
</file>

<file path=word/footer1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1BEB1" w14:textId="77777777" w:rsidR="006B79E9" w:rsidRDefault="006B79E9">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23923" w14:textId="77777777" w:rsidR="006B79E9" w:rsidRPr="00ED64B3" w:rsidRDefault="006B79E9" w:rsidP="00BD6DD1">
    <w:pPr>
      <w:pStyle w:val="Footer"/>
    </w:pPr>
  </w:p>
</w:ftr>
</file>

<file path=word/footer1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A4FC8" w14:textId="77777777" w:rsidR="00243DEB" w:rsidRDefault="00243DEB">
    <w:pPr>
      <w:pStyle w:val="Footer"/>
    </w:pPr>
  </w:p>
</w:ftr>
</file>

<file path=word/footer1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9381183"/>
      <w:docPartObj>
        <w:docPartGallery w:val="Page Numbers (Bottom of Page)"/>
        <w:docPartUnique/>
      </w:docPartObj>
    </w:sdtPr>
    <w:sdtEndPr>
      <w:rPr>
        <w:noProof/>
      </w:rPr>
    </w:sdtEndPr>
    <w:sdtContent>
      <w:p w14:paraId="28199534" w14:textId="3E15CA3B" w:rsidR="00AE3685" w:rsidRDefault="00AE3685">
        <w:pPr>
          <w:pStyle w:val="Footer"/>
          <w:jc w:val="center"/>
        </w:pPr>
        <w:r>
          <w:fldChar w:fldCharType="begin"/>
        </w:r>
        <w:r>
          <w:instrText xml:space="preserve"> PAGE   \* MERGEFORMAT </w:instrText>
        </w:r>
        <w:r>
          <w:fldChar w:fldCharType="separate"/>
        </w:r>
        <w:r>
          <w:t>144</w:t>
        </w:r>
        <w:r>
          <w:fldChar w:fldCharType="end"/>
        </w:r>
      </w:p>
    </w:sdtContent>
  </w:sdt>
  <w:p w14:paraId="7DEA5894" w14:textId="77777777" w:rsidR="00243DEB" w:rsidRPr="00D42E52" w:rsidRDefault="00243DEB" w:rsidP="00BD6DD1">
    <w:pPr>
      <w:pStyle w:val="Footer"/>
    </w:pPr>
  </w:p>
</w:ftr>
</file>

<file path=word/footer1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15805" w14:textId="77777777" w:rsidR="00243DEB" w:rsidRDefault="00243DEB">
    <w:pPr>
      <w:pStyle w:val="Footer"/>
    </w:pPr>
  </w:p>
</w:ftr>
</file>

<file path=word/footer1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1F405" w14:textId="77777777" w:rsidR="006B79E9" w:rsidRDefault="006B79E9">
    <w:pPr>
      <w:pStyle w:val="Footer"/>
    </w:pPr>
  </w:p>
</w:ftr>
</file>

<file path=word/footer1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2840396"/>
      <w:docPartObj>
        <w:docPartGallery w:val="Page Numbers (Bottom of Page)"/>
        <w:docPartUnique/>
      </w:docPartObj>
    </w:sdtPr>
    <w:sdtEndPr>
      <w:rPr>
        <w:noProof/>
      </w:rPr>
    </w:sdtEndPr>
    <w:sdtContent>
      <w:p w14:paraId="39F44440" w14:textId="77777777" w:rsidR="006B79E9" w:rsidRDefault="006B79E9">
        <w:pPr>
          <w:pStyle w:val="Footer"/>
          <w:jc w:val="center"/>
        </w:pPr>
        <w:r>
          <w:fldChar w:fldCharType="begin"/>
        </w:r>
        <w:r>
          <w:instrText xml:space="preserve"> PAGE   \* MERGEFORMAT </w:instrText>
        </w:r>
        <w:r>
          <w:fldChar w:fldCharType="separate"/>
        </w:r>
        <w:r>
          <w:t>144</w:t>
        </w:r>
        <w:r>
          <w:fldChar w:fldCharType="end"/>
        </w:r>
      </w:p>
    </w:sdtContent>
  </w:sdt>
  <w:p w14:paraId="6AEB101B" w14:textId="77777777" w:rsidR="006B79E9" w:rsidRPr="00D42E52" w:rsidRDefault="006B79E9" w:rsidP="00BD6DD1">
    <w:pPr>
      <w:pStyle w:val="Footer"/>
    </w:pPr>
  </w:p>
</w:ftr>
</file>

<file path=word/footer1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69CF3" w14:textId="77777777" w:rsidR="006B79E9" w:rsidRDefault="006B79E9">
    <w:pPr>
      <w:pStyle w:val="Footer"/>
    </w:pPr>
  </w:p>
</w:ftr>
</file>

<file path=word/footer1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4D368" w14:textId="77777777" w:rsidR="00243DEB" w:rsidRDefault="00243DEB">
    <w:pPr>
      <w:pStyle w:val="Footer"/>
    </w:pPr>
  </w:p>
</w:ftr>
</file>

<file path=word/footer1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5301385"/>
      <w:docPartObj>
        <w:docPartGallery w:val="Page Numbers (Bottom of Page)"/>
        <w:docPartUnique/>
      </w:docPartObj>
    </w:sdtPr>
    <w:sdtEndPr>
      <w:rPr>
        <w:noProof/>
      </w:rPr>
    </w:sdtEndPr>
    <w:sdtContent>
      <w:p w14:paraId="75B2B65B" w14:textId="101D5520" w:rsidR="00AE3685" w:rsidRDefault="00AE3685">
        <w:pPr>
          <w:pStyle w:val="Footer"/>
          <w:jc w:val="center"/>
        </w:pPr>
        <w:r>
          <w:fldChar w:fldCharType="begin"/>
        </w:r>
        <w:r>
          <w:instrText xml:space="preserve"> PAGE   \* MERGEFORMAT </w:instrText>
        </w:r>
        <w:r>
          <w:fldChar w:fldCharType="separate"/>
        </w:r>
        <w:r>
          <w:t>151</w:t>
        </w:r>
        <w:r>
          <w:fldChar w:fldCharType="end"/>
        </w:r>
      </w:p>
    </w:sdtContent>
  </w:sdt>
  <w:p w14:paraId="6DE2ABCD" w14:textId="77777777" w:rsidR="00243DEB" w:rsidRDefault="00243DEB">
    <w:pPr>
      <w:pStyle w:val="Footer"/>
    </w:pPr>
  </w:p>
</w:ftr>
</file>

<file path=word/footer1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749DF" w14:textId="77777777" w:rsidR="00243DEB" w:rsidRDefault="00243DEB">
    <w:pPr>
      <w:pStyle w:val="Footer"/>
    </w:pPr>
  </w:p>
</w:ftr>
</file>

<file path=word/footer1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FA73C" w14:textId="77777777" w:rsidR="006B79E9" w:rsidRDefault="006B79E9">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2123747"/>
      <w:docPartObj>
        <w:docPartGallery w:val="Page Numbers (Bottom of Page)"/>
        <w:docPartUnique/>
      </w:docPartObj>
    </w:sdtPr>
    <w:sdtEndPr>
      <w:rPr>
        <w:noProof/>
      </w:rPr>
    </w:sdtEndPr>
    <w:sdtContent>
      <w:p w14:paraId="1D0E720F" w14:textId="77777777" w:rsidR="006B79E9" w:rsidRDefault="006B79E9">
        <w:pPr>
          <w:pStyle w:val="Footer"/>
          <w:jc w:val="center"/>
        </w:pPr>
        <w:r>
          <w:fldChar w:fldCharType="begin"/>
        </w:r>
        <w:r>
          <w:instrText xml:space="preserve"> PAGE   \* MERGEFORMAT </w:instrText>
        </w:r>
        <w:r>
          <w:fldChar w:fldCharType="separate"/>
        </w:r>
        <w:r>
          <w:t>24</w:t>
        </w:r>
        <w:r>
          <w:fldChar w:fldCharType="end"/>
        </w:r>
      </w:p>
    </w:sdtContent>
  </w:sdt>
  <w:p w14:paraId="4E3A6A90" w14:textId="77777777" w:rsidR="006B79E9" w:rsidRPr="00ED64B3" w:rsidRDefault="006B79E9" w:rsidP="00BD6DD1">
    <w:pPr>
      <w:pStyle w:val="FooterCouncil"/>
    </w:pPr>
  </w:p>
</w:ftr>
</file>

<file path=word/footer1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4062460"/>
      <w:docPartObj>
        <w:docPartGallery w:val="Page Numbers (Bottom of Page)"/>
        <w:docPartUnique/>
      </w:docPartObj>
    </w:sdtPr>
    <w:sdtEndPr>
      <w:rPr>
        <w:noProof/>
      </w:rPr>
    </w:sdtEndPr>
    <w:sdtContent>
      <w:p w14:paraId="4888E9DE" w14:textId="77777777" w:rsidR="006B79E9" w:rsidRDefault="006B79E9">
        <w:pPr>
          <w:pStyle w:val="Footer"/>
          <w:jc w:val="center"/>
        </w:pPr>
        <w:r>
          <w:fldChar w:fldCharType="begin"/>
        </w:r>
        <w:r>
          <w:instrText xml:space="preserve"> PAGE   \* MERGEFORMAT </w:instrText>
        </w:r>
        <w:r>
          <w:fldChar w:fldCharType="separate"/>
        </w:r>
        <w:r>
          <w:t>151</w:t>
        </w:r>
        <w:r>
          <w:fldChar w:fldCharType="end"/>
        </w:r>
      </w:p>
    </w:sdtContent>
  </w:sdt>
  <w:p w14:paraId="4780B879" w14:textId="77777777" w:rsidR="006B79E9" w:rsidRDefault="006B79E9">
    <w:pPr>
      <w:pStyle w:val="Footer"/>
    </w:pPr>
  </w:p>
</w:ftr>
</file>

<file path=word/footer1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729A8" w14:textId="77777777" w:rsidR="006B79E9" w:rsidRDefault="006B79E9">
    <w:pPr>
      <w:pStyle w:val="Footer"/>
    </w:pPr>
  </w:p>
</w:ftr>
</file>

<file path=word/footer1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ED98D" w14:textId="77777777" w:rsidR="00243DEB" w:rsidRDefault="00243DEB">
    <w:pPr>
      <w:pStyle w:val="Footer"/>
    </w:pPr>
  </w:p>
</w:ftr>
</file>

<file path=word/footer1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698300"/>
      <w:docPartObj>
        <w:docPartGallery w:val="Page Numbers (Bottom of Page)"/>
        <w:docPartUnique/>
      </w:docPartObj>
    </w:sdtPr>
    <w:sdtEndPr>
      <w:rPr>
        <w:noProof/>
      </w:rPr>
    </w:sdtEndPr>
    <w:sdtContent>
      <w:p w14:paraId="2C933E71" w14:textId="04C2C9D9" w:rsidR="00AE3685" w:rsidRDefault="00AE3685">
        <w:pPr>
          <w:pStyle w:val="Footer"/>
          <w:jc w:val="center"/>
        </w:pPr>
        <w:r>
          <w:fldChar w:fldCharType="begin"/>
        </w:r>
        <w:r>
          <w:instrText xml:space="preserve"> PAGE   \* MERGEFORMAT </w:instrText>
        </w:r>
        <w:r>
          <w:fldChar w:fldCharType="separate"/>
        </w:r>
        <w:r>
          <w:t>153</w:t>
        </w:r>
        <w:r>
          <w:fldChar w:fldCharType="end"/>
        </w:r>
      </w:p>
    </w:sdtContent>
  </w:sdt>
  <w:p w14:paraId="110AAA11" w14:textId="77777777" w:rsidR="00243DEB" w:rsidRDefault="00243DEB">
    <w:pPr>
      <w:pStyle w:val="Footer"/>
    </w:pPr>
  </w:p>
</w:ftr>
</file>

<file path=word/footer1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20518" w14:textId="77777777" w:rsidR="00243DEB" w:rsidRDefault="00243DEB">
    <w:pPr>
      <w:pStyle w:val="Footer"/>
    </w:pPr>
  </w:p>
</w:ftr>
</file>

<file path=word/footer1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D03B2" w14:textId="77777777" w:rsidR="006B79E9" w:rsidRDefault="006B79E9">
    <w:pPr>
      <w:pStyle w:val="Footer"/>
    </w:pPr>
  </w:p>
</w:ftr>
</file>

<file path=word/footer1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2537086"/>
      <w:docPartObj>
        <w:docPartGallery w:val="Page Numbers (Bottom of Page)"/>
        <w:docPartUnique/>
      </w:docPartObj>
    </w:sdtPr>
    <w:sdtEndPr>
      <w:rPr>
        <w:noProof/>
      </w:rPr>
    </w:sdtEndPr>
    <w:sdtContent>
      <w:p w14:paraId="4F503E2B" w14:textId="77777777" w:rsidR="006B79E9" w:rsidRDefault="006B79E9">
        <w:pPr>
          <w:pStyle w:val="Footer"/>
          <w:jc w:val="center"/>
        </w:pPr>
        <w:r>
          <w:fldChar w:fldCharType="begin"/>
        </w:r>
        <w:r>
          <w:instrText xml:space="preserve"> PAGE   \* MERGEFORMAT </w:instrText>
        </w:r>
        <w:r>
          <w:fldChar w:fldCharType="separate"/>
        </w:r>
        <w:r>
          <w:t>153</w:t>
        </w:r>
        <w:r>
          <w:fldChar w:fldCharType="end"/>
        </w:r>
      </w:p>
    </w:sdtContent>
  </w:sdt>
  <w:p w14:paraId="546DCBD7" w14:textId="77777777" w:rsidR="006B79E9" w:rsidRDefault="006B79E9">
    <w:pPr>
      <w:pStyle w:val="Footer"/>
    </w:pPr>
  </w:p>
</w:ftr>
</file>

<file path=word/footer1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BE9B4" w14:textId="77777777" w:rsidR="006B79E9" w:rsidRDefault="006B79E9">
    <w:pPr>
      <w:pStyle w:val="Footer"/>
    </w:pPr>
  </w:p>
</w:ftr>
</file>

<file path=word/footer1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104C9" w14:textId="77777777" w:rsidR="00243DEB" w:rsidRDefault="00243DEB">
    <w:pPr>
      <w:pStyle w:val="Footer"/>
    </w:pPr>
  </w:p>
</w:ftr>
</file>

<file path=word/footer1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0933399"/>
      <w:docPartObj>
        <w:docPartGallery w:val="Page Numbers (Bottom of Page)"/>
        <w:docPartUnique/>
      </w:docPartObj>
    </w:sdtPr>
    <w:sdtEndPr>
      <w:rPr>
        <w:noProof/>
      </w:rPr>
    </w:sdtEndPr>
    <w:sdtContent>
      <w:p w14:paraId="12E5F2C2" w14:textId="46574ADF" w:rsidR="0028462E" w:rsidRDefault="0028462E">
        <w:pPr>
          <w:pStyle w:val="Footer"/>
          <w:jc w:val="center"/>
        </w:pPr>
        <w:r>
          <w:fldChar w:fldCharType="begin"/>
        </w:r>
        <w:r>
          <w:instrText xml:space="preserve"> PAGE   \* MERGEFORMAT </w:instrText>
        </w:r>
        <w:r>
          <w:fldChar w:fldCharType="separate"/>
        </w:r>
        <w:r>
          <w:t>155</w:t>
        </w:r>
        <w: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F5218" w14:textId="77777777" w:rsidR="006B79E9" w:rsidRPr="00ED64B3" w:rsidRDefault="006B79E9" w:rsidP="00BD6DD1">
    <w:pPr>
      <w:pStyle w:val="Footer"/>
    </w:pPr>
  </w:p>
</w:ftr>
</file>

<file path=word/footer1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06469" w14:textId="77777777" w:rsidR="00243DEB" w:rsidRDefault="00243DEB">
    <w:pPr>
      <w:pStyle w:val="Footer"/>
    </w:pPr>
  </w:p>
</w:ftr>
</file>

<file path=word/footer1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FDCE8" w14:textId="77777777" w:rsidR="006B79E9" w:rsidRDefault="006B79E9">
    <w:pPr>
      <w:pStyle w:val="Footer"/>
    </w:pPr>
  </w:p>
</w:ftr>
</file>

<file path=word/footer15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663057"/>
      <w:docPartObj>
        <w:docPartGallery w:val="Page Numbers (Bottom of Page)"/>
        <w:docPartUnique/>
      </w:docPartObj>
    </w:sdtPr>
    <w:sdtEndPr>
      <w:rPr>
        <w:noProof/>
      </w:rPr>
    </w:sdtEndPr>
    <w:sdtContent>
      <w:p w14:paraId="3D2988C1" w14:textId="77777777" w:rsidR="006B79E9" w:rsidRDefault="006B79E9">
        <w:pPr>
          <w:pStyle w:val="Footer"/>
          <w:jc w:val="center"/>
        </w:pPr>
        <w:r>
          <w:fldChar w:fldCharType="begin"/>
        </w:r>
        <w:r>
          <w:instrText xml:space="preserve"> PAGE   \* MERGEFORMAT </w:instrText>
        </w:r>
        <w:r>
          <w:fldChar w:fldCharType="separate"/>
        </w:r>
        <w:r>
          <w:t>155</w:t>
        </w:r>
        <w:r>
          <w:fldChar w:fldCharType="end"/>
        </w:r>
      </w:p>
    </w:sdtContent>
  </w:sdt>
</w:ftr>
</file>

<file path=word/footer15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A5157" w14:textId="77777777" w:rsidR="006B79E9" w:rsidRDefault="006B79E9">
    <w:pPr>
      <w:pStyle w:val="Footer"/>
    </w:pPr>
  </w:p>
</w:ftr>
</file>

<file path=word/footer15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7BE35" w14:textId="77777777" w:rsidR="00275C49" w:rsidRPr="00ED64B3" w:rsidRDefault="00275C49">
    <w:pPr>
      <w:pStyle w:val="Footer"/>
    </w:pPr>
  </w:p>
</w:ftr>
</file>

<file path=word/footer15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9947630"/>
      <w:docPartObj>
        <w:docPartGallery w:val="Page Numbers (Bottom of Page)"/>
        <w:docPartUnique/>
      </w:docPartObj>
    </w:sdtPr>
    <w:sdtEndPr>
      <w:rPr>
        <w:noProof/>
      </w:rPr>
    </w:sdtEndPr>
    <w:sdtContent>
      <w:p w14:paraId="04A7AE11" w14:textId="077AE6FA" w:rsidR="0028462E" w:rsidRDefault="0028462E">
        <w:pPr>
          <w:pStyle w:val="Footer"/>
          <w:jc w:val="center"/>
        </w:pPr>
        <w:r>
          <w:fldChar w:fldCharType="begin"/>
        </w:r>
        <w:r>
          <w:instrText xml:space="preserve"> PAGE   \* MERGEFORMAT </w:instrText>
        </w:r>
        <w:r>
          <w:fldChar w:fldCharType="separate"/>
        </w:r>
        <w:r>
          <w:t>158</w:t>
        </w:r>
        <w:r>
          <w:fldChar w:fldCharType="end"/>
        </w:r>
      </w:p>
    </w:sdtContent>
  </w:sdt>
  <w:p w14:paraId="6461F06E" w14:textId="77777777" w:rsidR="00275C49" w:rsidRPr="00ED64B3" w:rsidRDefault="00275C49">
    <w:pPr>
      <w:pStyle w:val="FooterCouncil"/>
    </w:pPr>
  </w:p>
</w:ftr>
</file>

<file path=word/footer15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555434" w14:textId="77777777" w:rsidR="00275C49" w:rsidRPr="00ED64B3" w:rsidRDefault="00275C49">
    <w:pPr>
      <w:pStyle w:val="Footer"/>
    </w:pPr>
  </w:p>
</w:ftr>
</file>

<file path=word/footer15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F7629" w14:textId="77777777" w:rsidR="00275C49" w:rsidRPr="00ED64B3" w:rsidRDefault="00275C49">
    <w:pPr>
      <w:pStyle w:val="Footer"/>
    </w:pPr>
  </w:p>
</w:ftr>
</file>

<file path=word/footer15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5647596"/>
      <w:docPartObj>
        <w:docPartGallery w:val="Page Numbers (Bottom of Page)"/>
        <w:docPartUnique/>
      </w:docPartObj>
    </w:sdtPr>
    <w:sdtEndPr>
      <w:rPr>
        <w:noProof/>
      </w:rPr>
    </w:sdtEndPr>
    <w:sdtContent>
      <w:p w14:paraId="2856AF03" w14:textId="42937EDE" w:rsidR="0028462E" w:rsidRDefault="0028462E">
        <w:pPr>
          <w:pStyle w:val="Footer"/>
          <w:jc w:val="center"/>
        </w:pPr>
        <w:r>
          <w:fldChar w:fldCharType="begin"/>
        </w:r>
        <w:r>
          <w:instrText xml:space="preserve"> PAGE   \* MERGEFORMAT </w:instrText>
        </w:r>
        <w:r>
          <w:fldChar w:fldCharType="separate"/>
        </w:r>
        <w:r>
          <w:t>161</w:t>
        </w:r>
        <w:r>
          <w:fldChar w:fldCharType="end"/>
        </w:r>
      </w:p>
    </w:sdtContent>
  </w:sdt>
  <w:p w14:paraId="264EB9EA" w14:textId="77777777" w:rsidR="00275C49" w:rsidRPr="00ED64B3" w:rsidRDefault="00275C49">
    <w:pPr>
      <w:pStyle w:val="FooterCouncil"/>
    </w:pPr>
  </w:p>
</w:ftr>
</file>

<file path=word/footer15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D7229" w14:textId="77777777" w:rsidR="00275C49" w:rsidRPr="00ED64B3" w:rsidRDefault="00275C49">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E5D02" w14:textId="77777777" w:rsidR="006A41D9" w:rsidRPr="00ED64B3" w:rsidRDefault="006A41D9" w:rsidP="00BD6DD1">
    <w:pPr>
      <w:pStyle w:val="Footer"/>
    </w:pPr>
  </w:p>
</w:ftr>
</file>

<file path=word/footer16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45B141" w14:textId="77777777" w:rsidR="00BD6DD1" w:rsidRPr="00ED64B3" w:rsidRDefault="00BD6DD1" w:rsidP="00BD6DD1">
    <w:pPr>
      <w:pStyle w:val="Footer"/>
    </w:pPr>
  </w:p>
</w:ftr>
</file>

<file path=word/footer16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8479618"/>
      <w:docPartObj>
        <w:docPartGallery w:val="Page Numbers (Bottom of Page)"/>
        <w:docPartUnique/>
      </w:docPartObj>
    </w:sdtPr>
    <w:sdtEndPr>
      <w:rPr>
        <w:noProof/>
      </w:rPr>
    </w:sdtEndPr>
    <w:sdtContent>
      <w:p w14:paraId="2158C8D9" w14:textId="76A86715" w:rsidR="0028462E" w:rsidRDefault="0028462E">
        <w:pPr>
          <w:pStyle w:val="Footer"/>
          <w:jc w:val="center"/>
        </w:pPr>
        <w:r>
          <w:fldChar w:fldCharType="begin"/>
        </w:r>
        <w:r>
          <w:instrText xml:space="preserve"> PAGE   \* MERGEFORMAT </w:instrText>
        </w:r>
        <w:r>
          <w:fldChar w:fldCharType="separate"/>
        </w:r>
        <w:r>
          <w:t>171</w:t>
        </w:r>
        <w:r>
          <w:fldChar w:fldCharType="end"/>
        </w:r>
      </w:p>
    </w:sdtContent>
  </w:sdt>
  <w:p w14:paraId="1A4F4124" w14:textId="77777777" w:rsidR="00243DEB" w:rsidRPr="00ED64B3" w:rsidRDefault="00243DEB">
    <w:pPr>
      <w:pStyle w:val="FooterCouncil"/>
    </w:pPr>
  </w:p>
</w:ftr>
</file>

<file path=word/footer16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D801E" w14:textId="77777777" w:rsidR="00BD6DD1" w:rsidRPr="00ED64B3" w:rsidRDefault="00BD6DD1" w:rsidP="00BD6DD1">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8973650"/>
      <w:docPartObj>
        <w:docPartGallery w:val="Page Numbers (Bottom of Page)"/>
        <w:docPartUnique/>
      </w:docPartObj>
    </w:sdtPr>
    <w:sdtEndPr>
      <w:rPr>
        <w:noProof/>
      </w:rPr>
    </w:sdtEndPr>
    <w:sdtContent>
      <w:p w14:paraId="5155E43F" w14:textId="0D7DE7C8" w:rsidR="004F212C" w:rsidRDefault="004F212C">
        <w:pPr>
          <w:pStyle w:val="Footer"/>
          <w:jc w:val="center"/>
        </w:pPr>
        <w:r>
          <w:fldChar w:fldCharType="begin"/>
        </w:r>
        <w:r>
          <w:instrText xml:space="preserve"> PAGE   \* MERGEFORMAT </w:instrText>
        </w:r>
        <w:r>
          <w:fldChar w:fldCharType="separate"/>
        </w:r>
        <w:r>
          <w:t>27</w:t>
        </w:r>
        <w:r>
          <w:fldChar w:fldCharType="end"/>
        </w:r>
      </w:p>
    </w:sdtContent>
  </w:sdt>
  <w:p w14:paraId="21400900" w14:textId="77777777" w:rsidR="006A41D9" w:rsidRPr="00ED64B3" w:rsidRDefault="006A41D9" w:rsidP="00BD6DD1">
    <w:pPr>
      <w:pStyle w:val="FooterCouncil"/>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9B96E" w14:textId="77777777" w:rsidR="006A41D9" w:rsidRPr="00ED64B3" w:rsidRDefault="006A41D9" w:rsidP="00BD6DD1">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5F964" w14:textId="77777777" w:rsidR="006B79E9" w:rsidRPr="00ED64B3" w:rsidRDefault="006B79E9" w:rsidP="00BD6D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18FF2" w14:textId="452DDC42" w:rsidR="00D26A48" w:rsidRPr="00D26A48" w:rsidRDefault="00D26A48" w:rsidP="00D26A48">
    <w:pPr>
      <w:pStyle w:val="FooterCoverPage"/>
      <w:rPr>
        <w:rFonts w:ascii="Arial" w:hAnsi="Arial" w:cs="Arial"/>
        <w:b/>
        <w:sz w:val="48"/>
      </w:rPr>
    </w:pPr>
    <w:r w:rsidRPr="00D26A48">
      <w:rPr>
        <w:rFonts w:ascii="Arial" w:hAnsi="Arial" w:cs="Arial"/>
        <w:b/>
        <w:sz w:val="48"/>
      </w:rPr>
      <w:t>EN</w:t>
    </w:r>
    <w:r w:rsidRPr="00D26A48">
      <w:rPr>
        <w:rFonts w:ascii="Arial" w:hAnsi="Arial" w:cs="Arial"/>
        <w:b/>
        <w:sz w:val="48"/>
      </w:rPr>
      <w:tab/>
    </w:r>
    <w:r w:rsidRPr="00D26A48">
      <w:rPr>
        <w:rFonts w:ascii="Arial" w:hAnsi="Arial" w:cs="Arial"/>
        <w:b/>
        <w:sz w:val="48"/>
      </w:rPr>
      <w:tab/>
    </w:r>
    <w:r w:rsidRPr="00D26A48">
      <w:tab/>
    </w:r>
    <w:r w:rsidRPr="00D26A48">
      <w:rPr>
        <w:rFonts w:ascii="Arial" w:hAnsi="Arial" w:cs="Arial"/>
        <w:b/>
        <w:sz w:val="48"/>
      </w:rPr>
      <w:t>EN</w: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3268805"/>
      <w:docPartObj>
        <w:docPartGallery w:val="Page Numbers (Bottom of Page)"/>
        <w:docPartUnique/>
      </w:docPartObj>
    </w:sdtPr>
    <w:sdtEndPr>
      <w:rPr>
        <w:noProof/>
      </w:rPr>
    </w:sdtEndPr>
    <w:sdtContent>
      <w:p w14:paraId="4904AC4C" w14:textId="77777777" w:rsidR="006B79E9" w:rsidRDefault="006B79E9">
        <w:pPr>
          <w:pStyle w:val="Footer"/>
          <w:jc w:val="center"/>
        </w:pPr>
        <w:r>
          <w:fldChar w:fldCharType="begin"/>
        </w:r>
        <w:r>
          <w:instrText xml:space="preserve"> PAGE   \* MERGEFORMAT </w:instrText>
        </w:r>
        <w:r>
          <w:fldChar w:fldCharType="separate"/>
        </w:r>
        <w:r>
          <w:t>27</w:t>
        </w:r>
        <w:r>
          <w:fldChar w:fldCharType="end"/>
        </w:r>
      </w:p>
    </w:sdtContent>
  </w:sdt>
  <w:p w14:paraId="5352CD9A" w14:textId="77777777" w:rsidR="006B79E9" w:rsidRPr="00ED64B3" w:rsidRDefault="006B79E9" w:rsidP="00BD6DD1">
    <w:pPr>
      <w:pStyle w:val="FooterCouncil"/>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AE564" w14:textId="77777777" w:rsidR="006B79E9" w:rsidRPr="00ED64B3" w:rsidRDefault="006B79E9" w:rsidP="00BD6DD1">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49640" w14:textId="77777777" w:rsidR="006A41D9" w:rsidRPr="00ED64B3" w:rsidRDefault="006A41D9" w:rsidP="00BD6DD1">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9762172"/>
      <w:docPartObj>
        <w:docPartGallery w:val="Page Numbers (Bottom of Page)"/>
        <w:docPartUnique/>
      </w:docPartObj>
    </w:sdtPr>
    <w:sdtEndPr>
      <w:rPr>
        <w:noProof/>
      </w:rPr>
    </w:sdtEndPr>
    <w:sdtContent>
      <w:p w14:paraId="769B9689" w14:textId="1E555484" w:rsidR="004F212C" w:rsidRDefault="004F212C">
        <w:pPr>
          <w:pStyle w:val="Footer"/>
          <w:jc w:val="center"/>
        </w:pPr>
        <w:r>
          <w:fldChar w:fldCharType="begin"/>
        </w:r>
        <w:r>
          <w:instrText xml:space="preserve"> PAGE   \* MERGEFORMAT </w:instrText>
        </w:r>
        <w:r>
          <w:fldChar w:fldCharType="separate"/>
        </w:r>
        <w:r>
          <w:t>32</w:t>
        </w:r>
        <w:r>
          <w:fldChar w:fldCharType="end"/>
        </w:r>
      </w:p>
    </w:sdtContent>
  </w:sdt>
  <w:p w14:paraId="5CF0BF9A" w14:textId="77777777" w:rsidR="006A41D9" w:rsidRPr="00ED64B3" w:rsidRDefault="006A41D9" w:rsidP="00BD6DD1">
    <w:pPr>
      <w:pStyle w:val="FooterCouncil"/>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5C4E4" w14:textId="77777777" w:rsidR="006A41D9" w:rsidRPr="00ED64B3" w:rsidRDefault="006A41D9" w:rsidP="00BD6DD1">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9DBEB" w14:textId="77777777" w:rsidR="006B79E9" w:rsidRPr="00ED64B3" w:rsidRDefault="006B79E9" w:rsidP="00BD6DD1">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8862014"/>
      <w:docPartObj>
        <w:docPartGallery w:val="Page Numbers (Bottom of Page)"/>
        <w:docPartUnique/>
      </w:docPartObj>
    </w:sdtPr>
    <w:sdtEndPr>
      <w:rPr>
        <w:noProof/>
      </w:rPr>
    </w:sdtEndPr>
    <w:sdtContent>
      <w:p w14:paraId="2A713996" w14:textId="77777777" w:rsidR="006B79E9" w:rsidRDefault="006B79E9">
        <w:pPr>
          <w:pStyle w:val="Footer"/>
          <w:jc w:val="center"/>
        </w:pPr>
        <w:r>
          <w:fldChar w:fldCharType="begin"/>
        </w:r>
        <w:r>
          <w:instrText xml:space="preserve"> PAGE   \* MERGEFORMAT </w:instrText>
        </w:r>
        <w:r>
          <w:fldChar w:fldCharType="separate"/>
        </w:r>
        <w:r>
          <w:t>32</w:t>
        </w:r>
        <w:r>
          <w:fldChar w:fldCharType="end"/>
        </w:r>
      </w:p>
    </w:sdtContent>
  </w:sdt>
  <w:p w14:paraId="54BAF540" w14:textId="77777777" w:rsidR="006B79E9" w:rsidRPr="00ED64B3" w:rsidRDefault="006B79E9" w:rsidP="00BD6DD1">
    <w:pPr>
      <w:pStyle w:val="FooterCouncil"/>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998BA" w14:textId="77777777" w:rsidR="006B79E9" w:rsidRPr="00ED64B3" w:rsidRDefault="006B79E9" w:rsidP="00BD6DD1">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C8306" w14:textId="77777777" w:rsidR="006A41D9" w:rsidRPr="00ED64B3" w:rsidRDefault="006A41D9" w:rsidP="00BD6DD1">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9540123"/>
      <w:docPartObj>
        <w:docPartGallery w:val="Page Numbers (Bottom of Page)"/>
        <w:docPartUnique/>
      </w:docPartObj>
    </w:sdtPr>
    <w:sdtEndPr>
      <w:rPr>
        <w:noProof/>
      </w:rPr>
    </w:sdtEndPr>
    <w:sdtContent>
      <w:p w14:paraId="2852CDD1" w14:textId="0D73EAF1" w:rsidR="004F212C" w:rsidRDefault="004F212C">
        <w:pPr>
          <w:pStyle w:val="Footer"/>
          <w:jc w:val="center"/>
        </w:pPr>
        <w:r>
          <w:fldChar w:fldCharType="begin"/>
        </w:r>
        <w:r>
          <w:instrText xml:space="preserve"> PAGE   \* MERGEFORMAT </w:instrText>
        </w:r>
        <w:r>
          <w:fldChar w:fldCharType="separate"/>
        </w:r>
        <w:r>
          <w:t>49</w:t>
        </w:r>
        <w:r>
          <w:fldChar w:fldCharType="end"/>
        </w:r>
      </w:p>
    </w:sdtContent>
  </w:sdt>
  <w:p w14:paraId="6196E79E" w14:textId="77777777" w:rsidR="006A41D9" w:rsidRPr="00ED64B3" w:rsidRDefault="006A41D9" w:rsidP="00BD6DD1">
    <w:pPr>
      <w:pStyle w:val="FooterCouncil"/>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6AB0D" w14:textId="77777777" w:rsidR="00D26A48" w:rsidRPr="00D26A48" w:rsidRDefault="00D26A48" w:rsidP="00D26A48">
    <w:pPr>
      <w:pStyle w:val="FooterCoverPage"/>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512F5" w14:textId="77777777" w:rsidR="006A41D9" w:rsidRPr="00ED64B3" w:rsidRDefault="006A41D9" w:rsidP="00BD6DD1">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FA678" w14:textId="77777777" w:rsidR="006B79E9" w:rsidRPr="00ED64B3" w:rsidRDefault="006B79E9" w:rsidP="00BD6DD1">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4585973"/>
      <w:docPartObj>
        <w:docPartGallery w:val="Page Numbers (Bottom of Page)"/>
        <w:docPartUnique/>
      </w:docPartObj>
    </w:sdtPr>
    <w:sdtEndPr>
      <w:rPr>
        <w:noProof/>
      </w:rPr>
    </w:sdtEndPr>
    <w:sdtContent>
      <w:p w14:paraId="44B0F6B7" w14:textId="77777777" w:rsidR="006B79E9" w:rsidRDefault="006B79E9">
        <w:pPr>
          <w:pStyle w:val="Footer"/>
          <w:jc w:val="center"/>
        </w:pPr>
        <w:r>
          <w:fldChar w:fldCharType="begin"/>
        </w:r>
        <w:r>
          <w:instrText xml:space="preserve"> PAGE   \* MERGEFORMAT </w:instrText>
        </w:r>
        <w:r>
          <w:fldChar w:fldCharType="separate"/>
        </w:r>
        <w:r>
          <w:t>49</w:t>
        </w:r>
        <w:r>
          <w:fldChar w:fldCharType="end"/>
        </w:r>
      </w:p>
    </w:sdtContent>
  </w:sdt>
  <w:p w14:paraId="53F5A644" w14:textId="77777777" w:rsidR="006B79E9" w:rsidRPr="00ED64B3" w:rsidRDefault="006B79E9" w:rsidP="00BD6DD1">
    <w:pPr>
      <w:pStyle w:val="FooterCouncil"/>
    </w:pP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8BB3A" w14:textId="77777777" w:rsidR="006B79E9" w:rsidRPr="00ED64B3" w:rsidRDefault="006B79E9" w:rsidP="00BD6DD1">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81E94" w14:textId="77777777" w:rsidR="006A41D9" w:rsidRPr="00ED64B3" w:rsidRDefault="006A41D9" w:rsidP="00BD6DD1">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8626315"/>
      <w:docPartObj>
        <w:docPartGallery w:val="Page Numbers (Bottom of Page)"/>
        <w:docPartUnique/>
      </w:docPartObj>
    </w:sdtPr>
    <w:sdtEndPr>
      <w:rPr>
        <w:noProof/>
      </w:rPr>
    </w:sdtEndPr>
    <w:sdtContent>
      <w:p w14:paraId="5FB2E0A8" w14:textId="09CC0B9D" w:rsidR="004F212C" w:rsidRDefault="004F212C">
        <w:pPr>
          <w:pStyle w:val="Footer"/>
          <w:jc w:val="center"/>
        </w:pPr>
        <w:r>
          <w:fldChar w:fldCharType="begin"/>
        </w:r>
        <w:r>
          <w:instrText xml:space="preserve"> PAGE   \* MERGEFORMAT </w:instrText>
        </w:r>
        <w:r>
          <w:fldChar w:fldCharType="separate"/>
        </w:r>
        <w:r>
          <w:t>52</w:t>
        </w:r>
        <w:r>
          <w:fldChar w:fldCharType="end"/>
        </w:r>
      </w:p>
    </w:sdtContent>
  </w:sdt>
  <w:p w14:paraId="33431617" w14:textId="77777777" w:rsidR="006A41D9" w:rsidRPr="00ED64B3" w:rsidRDefault="006A41D9" w:rsidP="00BD6DD1">
    <w:pPr>
      <w:pStyle w:val="FooterCouncil"/>
    </w:pP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D8EBE" w14:textId="77777777" w:rsidR="006A41D9" w:rsidRPr="00ED64B3" w:rsidRDefault="006A41D9" w:rsidP="00BD6DD1">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CA2CC" w14:textId="77777777" w:rsidR="00243DEB" w:rsidRPr="00ED64B3" w:rsidRDefault="00243DEB" w:rsidP="00BD6DD1">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9620764"/>
      <w:docPartObj>
        <w:docPartGallery w:val="Page Numbers (Bottom of Page)"/>
        <w:docPartUnique/>
      </w:docPartObj>
    </w:sdtPr>
    <w:sdtEndPr>
      <w:rPr>
        <w:noProof/>
      </w:rPr>
    </w:sdtEndPr>
    <w:sdtContent>
      <w:p w14:paraId="7B5069F8" w14:textId="2D5EB67A" w:rsidR="00B236C3" w:rsidRDefault="00B236C3">
        <w:pPr>
          <w:pStyle w:val="Footer"/>
          <w:jc w:val="center"/>
        </w:pPr>
        <w:r>
          <w:fldChar w:fldCharType="begin"/>
        </w:r>
        <w:r>
          <w:instrText xml:space="preserve"> PAGE   \* MERGEFORMAT </w:instrText>
        </w:r>
        <w:r>
          <w:fldChar w:fldCharType="separate"/>
        </w:r>
        <w:r>
          <w:t>53</w:t>
        </w:r>
        <w:r>
          <w:fldChar w:fldCharType="end"/>
        </w:r>
      </w:p>
    </w:sdtContent>
  </w:sdt>
  <w:p w14:paraId="1FBB1861" w14:textId="77777777" w:rsidR="00243DEB" w:rsidRPr="00ED64B3" w:rsidRDefault="00243DEB" w:rsidP="00BD6DD1">
    <w:pPr>
      <w:pStyle w:val="FooterCouncil"/>
    </w:pP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C3572" w14:textId="77777777" w:rsidR="00243DEB" w:rsidRPr="00ED64B3" w:rsidRDefault="00243DEB" w:rsidP="00BD6DD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F07FC" w14:textId="77777777" w:rsidR="006A41D9" w:rsidRPr="00ED64B3" w:rsidRDefault="006A41D9" w:rsidP="00BD6DD1">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3EB1C" w14:textId="77777777" w:rsidR="00243DEB" w:rsidRPr="00ED64B3" w:rsidRDefault="00243DEB" w:rsidP="00BD6DD1">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8298273"/>
      <w:docPartObj>
        <w:docPartGallery w:val="Page Numbers (Bottom of Page)"/>
        <w:docPartUnique/>
      </w:docPartObj>
    </w:sdtPr>
    <w:sdtEndPr>
      <w:rPr>
        <w:noProof/>
      </w:rPr>
    </w:sdtEndPr>
    <w:sdtContent>
      <w:p w14:paraId="2DD6240F" w14:textId="3E6EFCC5" w:rsidR="00B236C3" w:rsidRDefault="00B236C3">
        <w:pPr>
          <w:pStyle w:val="Footer"/>
          <w:jc w:val="center"/>
        </w:pPr>
        <w:r>
          <w:fldChar w:fldCharType="begin"/>
        </w:r>
        <w:r>
          <w:instrText xml:space="preserve"> PAGE   \* MERGEFORMAT </w:instrText>
        </w:r>
        <w:r>
          <w:fldChar w:fldCharType="separate"/>
        </w:r>
        <w:r>
          <w:t>59</w:t>
        </w:r>
        <w:r>
          <w:fldChar w:fldCharType="end"/>
        </w:r>
      </w:p>
    </w:sdtContent>
  </w:sdt>
  <w:p w14:paraId="14AADCFF" w14:textId="77777777" w:rsidR="00243DEB" w:rsidRPr="00ED64B3" w:rsidRDefault="00243DEB" w:rsidP="00BD6DD1">
    <w:pPr>
      <w:pStyle w:val="FooterCouncil"/>
    </w:pP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19687" w14:textId="77777777" w:rsidR="00243DEB" w:rsidRPr="00ED64B3" w:rsidRDefault="00243DEB" w:rsidP="00BD6DD1">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C64B6" w14:textId="77777777" w:rsidR="006B79E9" w:rsidRPr="00ED64B3" w:rsidRDefault="006B79E9" w:rsidP="00BD6DD1">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0267269"/>
      <w:docPartObj>
        <w:docPartGallery w:val="Page Numbers (Bottom of Page)"/>
        <w:docPartUnique/>
      </w:docPartObj>
    </w:sdtPr>
    <w:sdtEndPr>
      <w:rPr>
        <w:noProof/>
      </w:rPr>
    </w:sdtEndPr>
    <w:sdtContent>
      <w:p w14:paraId="498718FD" w14:textId="77777777" w:rsidR="006B79E9" w:rsidRDefault="006B79E9">
        <w:pPr>
          <w:pStyle w:val="Footer"/>
          <w:jc w:val="center"/>
        </w:pPr>
        <w:r>
          <w:fldChar w:fldCharType="begin"/>
        </w:r>
        <w:r>
          <w:instrText xml:space="preserve"> PAGE   \* MERGEFORMAT </w:instrText>
        </w:r>
        <w:r>
          <w:fldChar w:fldCharType="separate"/>
        </w:r>
        <w:r>
          <w:t>59</w:t>
        </w:r>
        <w:r>
          <w:fldChar w:fldCharType="end"/>
        </w:r>
      </w:p>
    </w:sdtContent>
  </w:sdt>
  <w:p w14:paraId="5ED6753B" w14:textId="77777777" w:rsidR="006B79E9" w:rsidRPr="00ED64B3" w:rsidRDefault="006B79E9" w:rsidP="00BD6DD1">
    <w:pPr>
      <w:pStyle w:val="FooterCouncil"/>
    </w:pPr>
  </w:p>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B720D" w14:textId="77777777" w:rsidR="006B79E9" w:rsidRPr="00ED64B3" w:rsidRDefault="006B79E9" w:rsidP="00BD6DD1">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A13F4" w14:textId="77777777" w:rsidR="006A41D9" w:rsidRPr="00ED64B3" w:rsidRDefault="006A41D9" w:rsidP="00BD6DD1">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393808"/>
      <w:docPartObj>
        <w:docPartGallery w:val="Page Numbers (Bottom of Page)"/>
        <w:docPartUnique/>
      </w:docPartObj>
    </w:sdtPr>
    <w:sdtEndPr>
      <w:rPr>
        <w:noProof/>
      </w:rPr>
    </w:sdtEndPr>
    <w:sdtContent>
      <w:p w14:paraId="57FFEAD7" w14:textId="08BF8138" w:rsidR="00B236C3" w:rsidRDefault="00B236C3">
        <w:pPr>
          <w:pStyle w:val="Footer"/>
          <w:jc w:val="center"/>
        </w:pPr>
        <w:r>
          <w:fldChar w:fldCharType="begin"/>
        </w:r>
        <w:r>
          <w:instrText xml:space="preserve"> PAGE   \* MERGEFORMAT </w:instrText>
        </w:r>
        <w:r>
          <w:fldChar w:fldCharType="separate"/>
        </w:r>
        <w:r>
          <w:t>62</w:t>
        </w:r>
        <w:r>
          <w:fldChar w:fldCharType="end"/>
        </w:r>
      </w:p>
    </w:sdtContent>
  </w:sdt>
  <w:p w14:paraId="5FFEC52D" w14:textId="77777777" w:rsidR="006A41D9" w:rsidRPr="00ED64B3" w:rsidRDefault="006A41D9" w:rsidP="00BD6DD1">
    <w:pPr>
      <w:pStyle w:val="FooterCouncil"/>
    </w:pPr>
  </w:p>
</w:ftr>
</file>

<file path=word/footer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FBF08" w14:textId="77777777" w:rsidR="006A41D9" w:rsidRPr="00ED64B3" w:rsidRDefault="006A41D9" w:rsidP="00BD6DD1">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6C344" w14:textId="77777777" w:rsidR="006B79E9" w:rsidRPr="00ED64B3" w:rsidRDefault="006B79E9" w:rsidP="00BD6DD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3885841"/>
      <w:docPartObj>
        <w:docPartGallery w:val="Page Numbers (Bottom of Page)"/>
        <w:docPartUnique/>
      </w:docPartObj>
    </w:sdtPr>
    <w:sdtEndPr>
      <w:rPr>
        <w:noProof/>
      </w:rPr>
    </w:sdtEndPr>
    <w:sdtContent>
      <w:p w14:paraId="627B7EB4" w14:textId="39127283" w:rsidR="001E6D8C" w:rsidRDefault="001E6D8C">
        <w:pPr>
          <w:pStyle w:val="Footer"/>
          <w:jc w:val="center"/>
        </w:pPr>
        <w:r>
          <w:fldChar w:fldCharType="begin"/>
        </w:r>
        <w:r>
          <w:instrText xml:space="preserve"> PAGE   \* MERGEFORMAT </w:instrText>
        </w:r>
        <w:r>
          <w:fldChar w:fldCharType="separate"/>
        </w:r>
        <w:r w:rsidR="00D26A48">
          <w:rPr>
            <w:noProof/>
          </w:rPr>
          <w:t>4</w:t>
        </w:r>
        <w:r>
          <w:fldChar w:fldCharType="end"/>
        </w:r>
      </w:p>
    </w:sdtContent>
  </w:sdt>
  <w:p w14:paraId="2E48480C" w14:textId="77777777" w:rsidR="006A41D9" w:rsidRPr="00ED64B3" w:rsidRDefault="006A41D9" w:rsidP="00BD6DD1">
    <w:pPr>
      <w:pStyle w:val="FooterCouncil"/>
    </w:pPr>
  </w:p>
</w:ftr>
</file>

<file path=word/footer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7704811"/>
      <w:docPartObj>
        <w:docPartGallery w:val="Page Numbers (Bottom of Page)"/>
        <w:docPartUnique/>
      </w:docPartObj>
    </w:sdtPr>
    <w:sdtEndPr>
      <w:rPr>
        <w:noProof/>
      </w:rPr>
    </w:sdtEndPr>
    <w:sdtContent>
      <w:p w14:paraId="18C94D2A" w14:textId="77777777" w:rsidR="006B79E9" w:rsidRDefault="006B79E9">
        <w:pPr>
          <w:pStyle w:val="Footer"/>
          <w:jc w:val="center"/>
        </w:pPr>
        <w:r>
          <w:fldChar w:fldCharType="begin"/>
        </w:r>
        <w:r>
          <w:instrText xml:space="preserve"> PAGE   \* MERGEFORMAT </w:instrText>
        </w:r>
        <w:r>
          <w:fldChar w:fldCharType="separate"/>
        </w:r>
        <w:r>
          <w:t>62</w:t>
        </w:r>
        <w:r>
          <w:fldChar w:fldCharType="end"/>
        </w:r>
      </w:p>
    </w:sdtContent>
  </w:sdt>
  <w:p w14:paraId="7DA1F22F" w14:textId="77777777" w:rsidR="006B79E9" w:rsidRPr="00ED64B3" w:rsidRDefault="006B79E9" w:rsidP="00BD6DD1">
    <w:pPr>
      <w:pStyle w:val="FooterCouncil"/>
    </w:pPr>
  </w:p>
</w:ftr>
</file>

<file path=word/footer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B510BF" w14:textId="77777777" w:rsidR="006B79E9" w:rsidRPr="00ED64B3" w:rsidRDefault="006B79E9" w:rsidP="00BD6DD1">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2AF16" w14:textId="77777777" w:rsidR="005531F9" w:rsidRPr="00ED64B3" w:rsidRDefault="005531F9" w:rsidP="00BD6DD1">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0949622"/>
      <w:docPartObj>
        <w:docPartGallery w:val="Page Numbers (Bottom of Page)"/>
        <w:docPartUnique/>
      </w:docPartObj>
    </w:sdtPr>
    <w:sdtEndPr>
      <w:rPr>
        <w:noProof/>
      </w:rPr>
    </w:sdtEndPr>
    <w:sdtContent>
      <w:p w14:paraId="7E2671D1" w14:textId="4A61D58E" w:rsidR="00490226" w:rsidRDefault="00490226">
        <w:pPr>
          <w:pStyle w:val="Footer"/>
          <w:jc w:val="center"/>
        </w:pPr>
        <w:r>
          <w:fldChar w:fldCharType="begin"/>
        </w:r>
        <w:r>
          <w:instrText xml:space="preserve"> PAGE   \* MERGEFORMAT </w:instrText>
        </w:r>
        <w:r>
          <w:fldChar w:fldCharType="separate"/>
        </w:r>
        <w:r>
          <w:t>64</w:t>
        </w:r>
        <w:r>
          <w:fldChar w:fldCharType="end"/>
        </w:r>
      </w:p>
    </w:sdtContent>
  </w:sdt>
  <w:p w14:paraId="0776DC3D" w14:textId="77777777" w:rsidR="005531F9" w:rsidRPr="00ED64B3" w:rsidRDefault="005531F9" w:rsidP="00BD6DD1">
    <w:pPr>
      <w:pStyle w:val="FooterCouncil"/>
    </w:pPr>
  </w:p>
</w:ftr>
</file>

<file path=word/footer5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9B0EE4" w14:textId="77777777" w:rsidR="005531F9" w:rsidRPr="00ED64B3" w:rsidRDefault="005531F9" w:rsidP="00BD6DD1">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DDC0F" w14:textId="77777777" w:rsidR="006B79E9" w:rsidRPr="00ED64B3" w:rsidRDefault="006B79E9" w:rsidP="00BD6DD1">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2313591"/>
      <w:docPartObj>
        <w:docPartGallery w:val="Page Numbers (Bottom of Page)"/>
        <w:docPartUnique/>
      </w:docPartObj>
    </w:sdtPr>
    <w:sdtEndPr>
      <w:rPr>
        <w:noProof/>
      </w:rPr>
    </w:sdtEndPr>
    <w:sdtContent>
      <w:p w14:paraId="13A41FCB" w14:textId="77777777" w:rsidR="006B79E9" w:rsidRDefault="006B79E9">
        <w:pPr>
          <w:pStyle w:val="Footer"/>
          <w:jc w:val="center"/>
        </w:pPr>
        <w:r>
          <w:fldChar w:fldCharType="begin"/>
        </w:r>
        <w:r>
          <w:instrText xml:space="preserve"> PAGE   \* MERGEFORMAT </w:instrText>
        </w:r>
        <w:r>
          <w:fldChar w:fldCharType="separate"/>
        </w:r>
        <w:r>
          <w:t>64</w:t>
        </w:r>
        <w:r>
          <w:fldChar w:fldCharType="end"/>
        </w:r>
      </w:p>
    </w:sdtContent>
  </w:sdt>
  <w:p w14:paraId="1A645B55" w14:textId="77777777" w:rsidR="006B79E9" w:rsidRPr="00ED64B3" w:rsidRDefault="006B79E9" w:rsidP="00BD6DD1">
    <w:pPr>
      <w:pStyle w:val="FooterCouncil"/>
    </w:pPr>
  </w:p>
</w:ftr>
</file>

<file path=word/footer5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F2983" w14:textId="77777777" w:rsidR="006B79E9" w:rsidRPr="00ED64B3" w:rsidRDefault="006B79E9" w:rsidP="00BD6DD1">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6D3A3" w14:textId="77777777" w:rsidR="006A41D9" w:rsidRPr="00ED64B3" w:rsidRDefault="006A41D9" w:rsidP="00BD6DD1">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1029198"/>
      <w:docPartObj>
        <w:docPartGallery w:val="Page Numbers (Bottom of Page)"/>
        <w:docPartUnique/>
      </w:docPartObj>
    </w:sdtPr>
    <w:sdtEndPr>
      <w:rPr>
        <w:noProof/>
      </w:rPr>
    </w:sdtEndPr>
    <w:sdtContent>
      <w:p w14:paraId="10BF910B" w14:textId="60EB352F" w:rsidR="00490226" w:rsidRDefault="00490226">
        <w:pPr>
          <w:pStyle w:val="Footer"/>
          <w:jc w:val="center"/>
        </w:pPr>
        <w:r>
          <w:fldChar w:fldCharType="begin"/>
        </w:r>
        <w:r>
          <w:instrText xml:space="preserve"> PAGE   \* MERGEFORMAT </w:instrText>
        </w:r>
        <w:r>
          <w:fldChar w:fldCharType="separate"/>
        </w:r>
        <w:r>
          <w:t>72</w:t>
        </w:r>
        <w:r>
          <w:fldChar w:fldCharType="end"/>
        </w:r>
      </w:p>
    </w:sdtContent>
  </w:sdt>
  <w:p w14:paraId="488B47B5" w14:textId="77777777" w:rsidR="006A41D9" w:rsidRPr="00ED64B3" w:rsidRDefault="006A41D9" w:rsidP="00BD6DD1">
    <w:pPr>
      <w:pStyle w:val="FooterCouncil"/>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85405" w14:textId="77777777" w:rsidR="006A41D9" w:rsidRPr="00ED64B3" w:rsidRDefault="006A41D9" w:rsidP="00BD6DD1">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C3A3E" w14:textId="77777777" w:rsidR="006A41D9" w:rsidRPr="00ED64B3" w:rsidRDefault="006A41D9" w:rsidP="00BD6DD1">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97BB7" w14:textId="77777777" w:rsidR="006B79E9" w:rsidRPr="00ED64B3" w:rsidRDefault="006B79E9" w:rsidP="00BD6DD1">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3904387"/>
      <w:docPartObj>
        <w:docPartGallery w:val="Page Numbers (Bottom of Page)"/>
        <w:docPartUnique/>
      </w:docPartObj>
    </w:sdtPr>
    <w:sdtEndPr>
      <w:rPr>
        <w:noProof/>
      </w:rPr>
    </w:sdtEndPr>
    <w:sdtContent>
      <w:p w14:paraId="7AAC316F" w14:textId="77777777" w:rsidR="006B79E9" w:rsidRDefault="006B79E9">
        <w:pPr>
          <w:pStyle w:val="Footer"/>
          <w:jc w:val="center"/>
        </w:pPr>
        <w:r>
          <w:fldChar w:fldCharType="begin"/>
        </w:r>
        <w:r>
          <w:instrText xml:space="preserve"> PAGE   \* MERGEFORMAT </w:instrText>
        </w:r>
        <w:r>
          <w:fldChar w:fldCharType="separate"/>
        </w:r>
        <w:r>
          <w:t>72</w:t>
        </w:r>
        <w:r>
          <w:fldChar w:fldCharType="end"/>
        </w:r>
      </w:p>
    </w:sdtContent>
  </w:sdt>
  <w:p w14:paraId="3AF169D5" w14:textId="77777777" w:rsidR="006B79E9" w:rsidRPr="00ED64B3" w:rsidRDefault="006B79E9" w:rsidP="00BD6DD1">
    <w:pPr>
      <w:pStyle w:val="FooterCouncil"/>
    </w:pPr>
  </w:p>
</w:ftr>
</file>

<file path=word/footer6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3E97A" w14:textId="77777777" w:rsidR="006B79E9" w:rsidRPr="00ED64B3" w:rsidRDefault="006B79E9" w:rsidP="00BD6DD1">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6FC1C" w14:textId="77777777" w:rsidR="006A41D9" w:rsidRPr="00ED64B3" w:rsidRDefault="006A41D9" w:rsidP="00BD6DD1">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5299349"/>
      <w:docPartObj>
        <w:docPartGallery w:val="Page Numbers (Bottom of Page)"/>
        <w:docPartUnique/>
      </w:docPartObj>
    </w:sdtPr>
    <w:sdtEndPr>
      <w:rPr>
        <w:noProof/>
      </w:rPr>
    </w:sdtEndPr>
    <w:sdtContent>
      <w:p w14:paraId="47EEDFEC" w14:textId="02132117" w:rsidR="00490226" w:rsidRDefault="00490226">
        <w:pPr>
          <w:pStyle w:val="Footer"/>
          <w:jc w:val="center"/>
        </w:pPr>
        <w:r>
          <w:fldChar w:fldCharType="begin"/>
        </w:r>
        <w:r>
          <w:instrText xml:space="preserve"> PAGE   \* MERGEFORMAT </w:instrText>
        </w:r>
        <w:r>
          <w:fldChar w:fldCharType="separate"/>
        </w:r>
        <w:r>
          <w:t>82</w:t>
        </w:r>
        <w:r>
          <w:fldChar w:fldCharType="end"/>
        </w:r>
      </w:p>
    </w:sdtContent>
  </w:sdt>
  <w:p w14:paraId="1420C27B" w14:textId="77777777" w:rsidR="006A41D9" w:rsidRPr="00ED64B3" w:rsidRDefault="006A41D9" w:rsidP="00BD6DD1">
    <w:pPr>
      <w:pStyle w:val="FooterCouncil"/>
    </w:pPr>
  </w:p>
</w:ftr>
</file>

<file path=word/footer6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D0FE2" w14:textId="77777777" w:rsidR="006A41D9" w:rsidRPr="00ED64B3" w:rsidRDefault="006A41D9" w:rsidP="00BD6DD1">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10A31" w14:textId="77777777" w:rsidR="006B79E9" w:rsidRPr="00ED64B3" w:rsidRDefault="006B79E9" w:rsidP="00BD6DD1">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690260"/>
      <w:docPartObj>
        <w:docPartGallery w:val="Page Numbers (Bottom of Page)"/>
        <w:docPartUnique/>
      </w:docPartObj>
    </w:sdtPr>
    <w:sdtEndPr>
      <w:rPr>
        <w:noProof/>
      </w:rPr>
    </w:sdtEndPr>
    <w:sdtContent>
      <w:p w14:paraId="7A6CA0A4" w14:textId="77777777" w:rsidR="006B79E9" w:rsidRDefault="006B79E9">
        <w:pPr>
          <w:pStyle w:val="Footer"/>
          <w:jc w:val="center"/>
        </w:pPr>
        <w:r>
          <w:fldChar w:fldCharType="begin"/>
        </w:r>
        <w:r>
          <w:instrText xml:space="preserve"> PAGE   \* MERGEFORMAT </w:instrText>
        </w:r>
        <w:r>
          <w:fldChar w:fldCharType="separate"/>
        </w:r>
        <w:r>
          <w:t>82</w:t>
        </w:r>
        <w:r>
          <w:fldChar w:fldCharType="end"/>
        </w:r>
      </w:p>
    </w:sdtContent>
  </w:sdt>
  <w:p w14:paraId="345BB6B4" w14:textId="77777777" w:rsidR="006B79E9" w:rsidRPr="00ED64B3" w:rsidRDefault="006B79E9" w:rsidP="00BD6DD1">
    <w:pPr>
      <w:pStyle w:val="FooterCouncil"/>
    </w:pPr>
  </w:p>
</w:ftr>
</file>

<file path=word/footer6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C6180" w14:textId="77777777" w:rsidR="006B79E9" w:rsidRPr="00ED64B3" w:rsidRDefault="006B79E9" w:rsidP="00BD6DD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ED685" w14:textId="77777777" w:rsidR="006B79E9" w:rsidRPr="00ED64B3" w:rsidRDefault="006B79E9" w:rsidP="00BD6DD1">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F878D" w14:textId="77777777" w:rsidR="006A41D9" w:rsidRPr="00ED64B3" w:rsidRDefault="006A41D9" w:rsidP="00BD6DD1">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4080785"/>
      <w:docPartObj>
        <w:docPartGallery w:val="Page Numbers (Bottom of Page)"/>
        <w:docPartUnique/>
      </w:docPartObj>
    </w:sdtPr>
    <w:sdtEndPr>
      <w:rPr>
        <w:noProof/>
      </w:rPr>
    </w:sdtEndPr>
    <w:sdtContent>
      <w:p w14:paraId="1511CE68" w14:textId="4752C77D" w:rsidR="0032251B" w:rsidRDefault="0032251B">
        <w:pPr>
          <w:pStyle w:val="Footer"/>
          <w:jc w:val="center"/>
        </w:pPr>
        <w:r>
          <w:fldChar w:fldCharType="begin"/>
        </w:r>
        <w:r>
          <w:instrText xml:space="preserve"> PAGE   \* MERGEFORMAT </w:instrText>
        </w:r>
        <w:r>
          <w:fldChar w:fldCharType="separate"/>
        </w:r>
        <w:r>
          <w:t>90</w:t>
        </w:r>
        <w:r>
          <w:fldChar w:fldCharType="end"/>
        </w:r>
      </w:p>
    </w:sdtContent>
  </w:sdt>
  <w:p w14:paraId="4D6EA2B2" w14:textId="77777777" w:rsidR="006A41D9" w:rsidRPr="00ED64B3" w:rsidRDefault="006A41D9" w:rsidP="00BD6DD1">
    <w:pPr>
      <w:pStyle w:val="FooterCouncil"/>
    </w:pPr>
  </w:p>
</w:ftr>
</file>

<file path=word/footer7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7B8C6" w14:textId="77777777" w:rsidR="006A41D9" w:rsidRPr="00ED64B3" w:rsidRDefault="006A41D9" w:rsidP="00BD6DD1">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6BCD0" w14:textId="77777777" w:rsidR="006B79E9" w:rsidRPr="00ED64B3" w:rsidRDefault="006B79E9" w:rsidP="00BD6DD1">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1342478"/>
      <w:docPartObj>
        <w:docPartGallery w:val="Page Numbers (Bottom of Page)"/>
        <w:docPartUnique/>
      </w:docPartObj>
    </w:sdtPr>
    <w:sdtEndPr>
      <w:rPr>
        <w:noProof/>
      </w:rPr>
    </w:sdtEndPr>
    <w:sdtContent>
      <w:p w14:paraId="41DC1D5A" w14:textId="77777777" w:rsidR="006B79E9" w:rsidRDefault="006B79E9">
        <w:pPr>
          <w:pStyle w:val="Footer"/>
          <w:jc w:val="center"/>
        </w:pPr>
        <w:r>
          <w:fldChar w:fldCharType="begin"/>
        </w:r>
        <w:r>
          <w:instrText xml:space="preserve"> PAGE   \* MERGEFORMAT </w:instrText>
        </w:r>
        <w:r>
          <w:fldChar w:fldCharType="separate"/>
        </w:r>
        <w:r>
          <w:t>90</w:t>
        </w:r>
        <w:r>
          <w:fldChar w:fldCharType="end"/>
        </w:r>
      </w:p>
    </w:sdtContent>
  </w:sdt>
  <w:p w14:paraId="345EDDE3" w14:textId="77777777" w:rsidR="006B79E9" w:rsidRPr="00ED64B3" w:rsidRDefault="006B79E9" w:rsidP="00BD6DD1">
    <w:pPr>
      <w:pStyle w:val="FooterCouncil"/>
    </w:pPr>
  </w:p>
</w:ftr>
</file>

<file path=word/footer7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75E38E" w14:textId="77777777" w:rsidR="006B79E9" w:rsidRPr="00ED64B3" w:rsidRDefault="006B79E9" w:rsidP="00BD6DD1">
    <w:pPr>
      <w:pStyle w:val="Footer"/>
    </w:pPr>
  </w:p>
</w:ftr>
</file>

<file path=word/footer7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C776F" w14:textId="77777777" w:rsidR="006A41D9" w:rsidRPr="00ED64B3" w:rsidRDefault="006A41D9" w:rsidP="00BD6DD1">
    <w:pPr>
      <w:pStyle w:val="Footer"/>
    </w:pPr>
  </w:p>
</w:ftr>
</file>

<file path=word/footer7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7579829"/>
      <w:docPartObj>
        <w:docPartGallery w:val="Page Numbers (Bottom of Page)"/>
        <w:docPartUnique/>
      </w:docPartObj>
    </w:sdtPr>
    <w:sdtEndPr>
      <w:rPr>
        <w:noProof/>
      </w:rPr>
    </w:sdtEndPr>
    <w:sdtContent>
      <w:p w14:paraId="47A04B30" w14:textId="305C3739" w:rsidR="0032251B" w:rsidRDefault="0032251B">
        <w:pPr>
          <w:pStyle w:val="Footer"/>
          <w:jc w:val="center"/>
        </w:pPr>
        <w:r>
          <w:fldChar w:fldCharType="begin"/>
        </w:r>
        <w:r>
          <w:instrText xml:space="preserve"> PAGE   \* MERGEFORMAT </w:instrText>
        </w:r>
        <w:r>
          <w:fldChar w:fldCharType="separate"/>
        </w:r>
        <w:r>
          <w:t>96</w:t>
        </w:r>
        <w:r>
          <w:fldChar w:fldCharType="end"/>
        </w:r>
      </w:p>
    </w:sdtContent>
  </w:sdt>
  <w:p w14:paraId="4E6D8B2E" w14:textId="77777777" w:rsidR="006A41D9" w:rsidRPr="00ED64B3" w:rsidRDefault="006A41D9" w:rsidP="00BD6DD1">
    <w:pPr>
      <w:pStyle w:val="FooterCouncil"/>
    </w:pPr>
  </w:p>
</w:ftr>
</file>

<file path=word/footer7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384CB" w14:textId="77777777" w:rsidR="006A41D9" w:rsidRPr="00ED64B3" w:rsidRDefault="006A41D9" w:rsidP="00BD6DD1">
    <w:pPr>
      <w:pStyle w:val="Footer"/>
    </w:pPr>
  </w:p>
</w:ftr>
</file>

<file path=word/footer7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4B3E5" w14:textId="77777777" w:rsidR="006B79E9" w:rsidRPr="00ED64B3" w:rsidRDefault="006B79E9" w:rsidP="00BD6DD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0594182"/>
      <w:docPartObj>
        <w:docPartGallery w:val="Page Numbers (Bottom of Page)"/>
        <w:docPartUnique/>
      </w:docPartObj>
    </w:sdtPr>
    <w:sdtEndPr>
      <w:rPr>
        <w:noProof/>
      </w:rPr>
    </w:sdtEndPr>
    <w:sdtContent>
      <w:p w14:paraId="32217CBA" w14:textId="0B33ED30" w:rsidR="006B79E9" w:rsidRDefault="006B79E9">
        <w:pPr>
          <w:pStyle w:val="Footer"/>
          <w:jc w:val="center"/>
        </w:pPr>
        <w:r>
          <w:fldChar w:fldCharType="begin"/>
        </w:r>
        <w:r>
          <w:instrText xml:space="preserve"> PAGE   \* MERGEFORMAT </w:instrText>
        </w:r>
        <w:r>
          <w:fldChar w:fldCharType="separate"/>
        </w:r>
        <w:r w:rsidR="00D26A48">
          <w:rPr>
            <w:noProof/>
          </w:rPr>
          <w:t>11</w:t>
        </w:r>
        <w:r>
          <w:fldChar w:fldCharType="end"/>
        </w:r>
      </w:p>
    </w:sdtContent>
  </w:sdt>
  <w:p w14:paraId="49BABC7E" w14:textId="77777777" w:rsidR="006B79E9" w:rsidRPr="00ED64B3" w:rsidRDefault="006B79E9" w:rsidP="00BD6DD1">
    <w:pPr>
      <w:pStyle w:val="FooterCouncil"/>
    </w:pPr>
  </w:p>
</w:ftr>
</file>

<file path=word/footer8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6360855"/>
      <w:docPartObj>
        <w:docPartGallery w:val="Page Numbers (Bottom of Page)"/>
        <w:docPartUnique/>
      </w:docPartObj>
    </w:sdtPr>
    <w:sdtEndPr>
      <w:rPr>
        <w:noProof/>
      </w:rPr>
    </w:sdtEndPr>
    <w:sdtContent>
      <w:p w14:paraId="24C828C7" w14:textId="77777777" w:rsidR="006B79E9" w:rsidRDefault="006B79E9">
        <w:pPr>
          <w:pStyle w:val="Footer"/>
          <w:jc w:val="center"/>
        </w:pPr>
        <w:r>
          <w:fldChar w:fldCharType="begin"/>
        </w:r>
        <w:r>
          <w:instrText xml:space="preserve"> PAGE   \* MERGEFORMAT </w:instrText>
        </w:r>
        <w:r>
          <w:fldChar w:fldCharType="separate"/>
        </w:r>
        <w:r>
          <w:t>96</w:t>
        </w:r>
        <w:r>
          <w:fldChar w:fldCharType="end"/>
        </w:r>
      </w:p>
    </w:sdtContent>
  </w:sdt>
  <w:p w14:paraId="2DD12F90" w14:textId="77777777" w:rsidR="006B79E9" w:rsidRPr="00ED64B3" w:rsidRDefault="006B79E9" w:rsidP="00BD6DD1">
    <w:pPr>
      <w:pStyle w:val="FooterCouncil"/>
    </w:pPr>
  </w:p>
</w:ftr>
</file>

<file path=word/footer8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B4694" w14:textId="77777777" w:rsidR="006B79E9" w:rsidRPr="00ED64B3" w:rsidRDefault="006B79E9" w:rsidP="00BD6DD1">
    <w:pPr>
      <w:pStyle w:val="Footer"/>
    </w:pPr>
  </w:p>
</w:ftr>
</file>

<file path=word/footer8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09918" w14:textId="77777777" w:rsidR="006A41D9" w:rsidRPr="00ED64B3" w:rsidRDefault="006A41D9" w:rsidP="00BD6DD1">
    <w:pPr>
      <w:pStyle w:val="Footer"/>
    </w:pPr>
  </w:p>
</w:ftr>
</file>

<file path=word/footer8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9083674"/>
      <w:docPartObj>
        <w:docPartGallery w:val="Page Numbers (Bottom of Page)"/>
        <w:docPartUnique/>
      </w:docPartObj>
    </w:sdtPr>
    <w:sdtEndPr>
      <w:rPr>
        <w:noProof/>
      </w:rPr>
    </w:sdtEndPr>
    <w:sdtContent>
      <w:p w14:paraId="1CEED687" w14:textId="27860054" w:rsidR="0032251B" w:rsidRDefault="0032251B">
        <w:pPr>
          <w:pStyle w:val="Footer"/>
          <w:jc w:val="center"/>
        </w:pPr>
        <w:r>
          <w:fldChar w:fldCharType="begin"/>
        </w:r>
        <w:r>
          <w:instrText xml:space="preserve"> PAGE   \* MERGEFORMAT </w:instrText>
        </w:r>
        <w:r>
          <w:fldChar w:fldCharType="separate"/>
        </w:r>
        <w:r>
          <w:t>99</w:t>
        </w:r>
        <w:r>
          <w:fldChar w:fldCharType="end"/>
        </w:r>
      </w:p>
    </w:sdtContent>
  </w:sdt>
  <w:p w14:paraId="1D677FD7" w14:textId="77777777" w:rsidR="006A41D9" w:rsidRPr="00ED64B3" w:rsidRDefault="006A41D9" w:rsidP="00BD6DD1">
    <w:pPr>
      <w:pStyle w:val="FooterCouncil"/>
    </w:pPr>
  </w:p>
</w:ftr>
</file>

<file path=word/footer8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B4C2E" w14:textId="77777777" w:rsidR="006A41D9" w:rsidRPr="00ED64B3" w:rsidRDefault="006A41D9" w:rsidP="00BD6DD1">
    <w:pPr>
      <w:pStyle w:val="Footer"/>
    </w:pPr>
  </w:p>
</w:ftr>
</file>

<file path=word/footer8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2E814" w14:textId="77777777" w:rsidR="006B79E9" w:rsidRPr="00ED64B3" w:rsidRDefault="006B79E9" w:rsidP="00BD6DD1">
    <w:pPr>
      <w:pStyle w:val="Footer"/>
    </w:pPr>
  </w:p>
</w:ftr>
</file>

<file path=word/footer8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6000656"/>
      <w:docPartObj>
        <w:docPartGallery w:val="Page Numbers (Bottom of Page)"/>
        <w:docPartUnique/>
      </w:docPartObj>
    </w:sdtPr>
    <w:sdtEndPr>
      <w:rPr>
        <w:noProof/>
      </w:rPr>
    </w:sdtEndPr>
    <w:sdtContent>
      <w:p w14:paraId="6761B80E" w14:textId="77777777" w:rsidR="006B79E9" w:rsidRDefault="006B79E9">
        <w:pPr>
          <w:pStyle w:val="Footer"/>
          <w:jc w:val="center"/>
        </w:pPr>
        <w:r>
          <w:fldChar w:fldCharType="begin"/>
        </w:r>
        <w:r>
          <w:instrText xml:space="preserve"> PAGE   \* MERGEFORMAT </w:instrText>
        </w:r>
        <w:r>
          <w:fldChar w:fldCharType="separate"/>
        </w:r>
        <w:r>
          <w:t>99</w:t>
        </w:r>
        <w:r>
          <w:fldChar w:fldCharType="end"/>
        </w:r>
      </w:p>
    </w:sdtContent>
  </w:sdt>
  <w:p w14:paraId="2ADEE1C8" w14:textId="77777777" w:rsidR="006B79E9" w:rsidRPr="00ED64B3" w:rsidRDefault="006B79E9" w:rsidP="00BD6DD1">
    <w:pPr>
      <w:pStyle w:val="FooterCouncil"/>
    </w:pPr>
  </w:p>
</w:ftr>
</file>

<file path=word/footer8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B1232" w14:textId="77777777" w:rsidR="006B79E9" w:rsidRPr="00ED64B3" w:rsidRDefault="006B79E9" w:rsidP="00BD6DD1">
    <w:pPr>
      <w:pStyle w:val="Footer"/>
    </w:pPr>
  </w:p>
</w:ftr>
</file>

<file path=word/footer8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A6900" w14:textId="77777777" w:rsidR="00525BB4" w:rsidRPr="00ED64B3" w:rsidRDefault="00525BB4">
    <w:pPr>
      <w:pStyle w:val="Footer"/>
    </w:pPr>
  </w:p>
</w:ftr>
</file>

<file path=word/footer8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9263084"/>
      <w:docPartObj>
        <w:docPartGallery w:val="Page Numbers (Bottom of Page)"/>
        <w:docPartUnique/>
      </w:docPartObj>
    </w:sdtPr>
    <w:sdtEndPr>
      <w:rPr>
        <w:noProof/>
      </w:rPr>
    </w:sdtEndPr>
    <w:sdtContent>
      <w:p w14:paraId="33C787DA" w14:textId="6D00694B" w:rsidR="00C92133" w:rsidRDefault="00C92133">
        <w:pPr>
          <w:pStyle w:val="Footer"/>
          <w:jc w:val="center"/>
        </w:pPr>
        <w:r>
          <w:fldChar w:fldCharType="begin"/>
        </w:r>
        <w:r>
          <w:instrText xml:space="preserve"> PAGE   \* MERGEFORMAT </w:instrText>
        </w:r>
        <w:r>
          <w:fldChar w:fldCharType="separate"/>
        </w:r>
        <w:r>
          <w:t>102</w:t>
        </w:r>
        <w:r>
          <w:fldChar w:fldCharType="end"/>
        </w:r>
      </w:p>
    </w:sdtContent>
  </w:sdt>
  <w:p w14:paraId="48DC2319" w14:textId="77777777" w:rsidR="00525BB4" w:rsidRPr="00ED64B3" w:rsidRDefault="00525BB4">
    <w:pPr>
      <w:pStyle w:val="FooterCouncil"/>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339E8" w14:textId="77777777" w:rsidR="006B79E9" w:rsidRPr="00ED64B3" w:rsidRDefault="006B79E9" w:rsidP="00BD6DD1">
    <w:pPr>
      <w:pStyle w:val="Footer"/>
    </w:pPr>
  </w:p>
</w:ftr>
</file>

<file path=word/footer9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30385" w14:textId="77777777" w:rsidR="00525BB4" w:rsidRPr="00ED64B3" w:rsidRDefault="00525BB4">
    <w:pPr>
      <w:pStyle w:val="Footer"/>
    </w:pPr>
  </w:p>
</w:ftr>
</file>

<file path=word/footer9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A6F1A" w14:textId="77777777" w:rsidR="006B79E9" w:rsidRPr="00ED64B3" w:rsidRDefault="006B79E9">
    <w:pPr>
      <w:pStyle w:val="Footer"/>
    </w:pPr>
  </w:p>
</w:ftr>
</file>

<file path=word/footer9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3008442"/>
      <w:docPartObj>
        <w:docPartGallery w:val="Page Numbers (Bottom of Page)"/>
        <w:docPartUnique/>
      </w:docPartObj>
    </w:sdtPr>
    <w:sdtEndPr>
      <w:rPr>
        <w:noProof/>
      </w:rPr>
    </w:sdtEndPr>
    <w:sdtContent>
      <w:p w14:paraId="7AAC8037" w14:textId="77777777" w:rsidR="006B79E9" w:rsidRDefault="006B79E9">
        <w:pPr>
          <w:pStyle w:val="Footer"/>
          <w:jc w:val="center"/>
        </w:pPr>
        <w:r>
          <w:fldChar w:fldCharType="begin"/>
        </w:r>
        <w:r>
          <w:instrText xml:space="preserve"> PAGE   \* MERGEFORMAT </w:instrText>
        </w:r>
        <w:r>
          <w:fldChar w:fldCharType="separate"/>
        </w:r>
        <w:r>
          <w:t>102</w:t>
        </w:r>
        <w:r>
          <w:fldChar w:fldCharType="end"/>
        </w:r>
      </w:p>
    </w:sdtContent>
  </w:sdt>
  <w:p w14:paraId="46BFB065" w14:textId="77777777" w:rsidR="006B79E9" w:rsidRPr="00ED64B3" w:rsidRDefault="006B79E9">
    <w:pPr>
      <w:pStyle w:val="FooterCouncil"/>
    </w:pPr>
  </w:p>
</w:ftr>
</file>

<file path=word/footer9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3247B" w14:textId="77777777" w:rsidR="006B79E9" w:rsidRPr="00ED64B3" w:rsidRDefault="006B79E9">
    <w:pPr>
      <w:pStyle w:val="Footer"/>
    </w:pPr>
  </w:p>
</w:ftr>
</file>

<file path=word/footer9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1B63A" w14:textId="77777777" w:rsidR="006A41D9" w:rsidRPr="00ED64B3" w:rsidRDefault="006A41D9" w:rsidP="00BD6DD1">
    <w:pPr>
      <w:pStyle w:val="Footer"/>
    </w:pPr>
  </w:p>
</w:ftr>
</file>

<file path=word/footer9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352693"/>
      <w:docPartObj>
        <w:docPartGallery w:val="Page Numbers (Bottom of Page)"/>
        <w:docPartUnique/>
      </w:docPartObj>
    </w:sdtPr>
    <w:sdtEndPr>
      <w:rPr>
        <w:noProof/>
      </w:rPr>
    </w:sdtEndPr>
    <w:sdtContent>
      <w:p w14:paraId="759897C8" w14:textId="06A29413" w:rsidR="00C92133" w:rsidRDefault="00C92133">
        <w:pPr>
          <w:pStyle w:val="Footer"/>
          <w:jc w:val="center"/>
        </w:pPr>
        <w:r>
          <w:fldChar w:fldCharType="begin"/>
        </w:r>
        <w:r>
          <w:instrText xml:space="preserve"> PAGE   \* MERGEFORMAT </w:instrText>
        </w:r>
        <w:r>
          <w:fldChar w:fldCharType="separate"/>
        </w:r>
        <w:r>
          <w:t>111</w:t>
        </w:r>
        <w:r>
          <w:fldChar w:fldCharType="end"/>
        </w:r>
      </w:p>
    </w:sdtContent>
  </w:sdt>
  <w:p w14:paraId="5F13A896" w14:textId="77777777" w:rsidR="006A41D9" w:rsidRPr="00ED64B3" w:rsidRDefault="006A41D9" w:rsidP="00BD6DD1">
    <w:pPr>
      <w:pStyle w:val="FooterCouncil"/>
    </w:pPr>
  </w:p>
</w:ftr>
</file>

<file path=word/footer9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B1765" w14:textId="77777777" w:rsidR="006A41D9" w:rsidRPr="00ED64B3" w:rsidRDefault="006A41D9" w:rsidP="00BD6DD1">
    <w:pPr>
      <w:pStyle w:val="Footer"/>
    </w:pPr>
  </w:p>
</w:ftr>
</file>

<file path=word/footer9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BD976" w14:textId="77777777" w:rsidR="006B79E9" w:rsidRPr="00ED64B3" w:rsidRDefault="006B79E9" w:rsidP="00BD6DD1">
    <w:pPr>
      <w:pStyle w:val="Footer"/>
    </w:pPr>
  </w:p>
</w:ftr>
</file>

<file path=word/footer9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6376874"/>
      <w:docPartObj>
        <w:docPartGallery w:val="Page Numbers (Bottom of Page)"/>
        <w:docPartUnique/>
      </w:docPartObj>
    </w:sdtPr>
    <w:sdtEndPr>
      <w:rPr>
        <w:noProof/>
      </w:rPr>
    </w:sdtEndPr>
    <w:sdtContent>
      <w:p w14:paraId="09EF26EC" w14:textId="77777777" w:rsidR="006B79E9" w:rsidRDefault="006B79E9">
        <w:pPr>
          <w:pStyle w:val="Footer"/>
          <w:jc w:val="center"/>
        </w:pPr>
        <w:r>
          <w:fldChar w:fldCharType="begin"/>
        </w:r>
        <w:r>
          <w:instrText xml:space="preserve"> PAGE   \* MERGEFORMAT </w:instrText>
        </w:r>
        <w:r>
          <w:fldChar w:fldCharType="separate"/>
        </w:r>
        <w:r>
          <w:t>111</w:t>
        </w:r>
        <w:r>
          <w:fldChar w:fldCharType="end"/>
        </w:r>
      </w:p>
    </w:sdtContent>
  </w:sdt>
  <w:p w14:paraId="36B4D9F7" w14:textId="77777777" w:rsidR="006B79E9" w:rsidRPr="00ED64B3" w:rsidRDefault="006B79E9" w:rsidP="00BD6DD1">
    <w:pPr>
      <w:pStyle w:val="FooterCouncil"/>
    </w:pPr>
  </w:p>
</w:ftr>
</file>

<file path=word/footer9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6F98C" w14:textId="77777777" w:rsidR="006B79E9" w:rsidRPr="00ED64B3" w:rsidRDefault="006B79E9" w:rsidP="00BD6D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D8D93E" w14:textId="77777777" w:rsidR="00F9130B" w:rsidRDefault="00F9130B" w:rsidP="00526F1A">
      <w:pPr>
        <w:spacing w:after="0" w:line="240" w:lineRule="auto"/>
      </w:pPr>
      <w:r>
        <w:separator/>
      </w:r>
    </w:p>
  </w:footnote>
  <w:footnote w:type="continuationSeparator" w:id="0">
    <w:p w14:paraId="27D84C3E" w14:textId="77777777" w:rsidR="00F9130B" w:rsidRDefault="00F9130B" w:rsidP="00526F1A">
      <w:pPr>
        <w:spacing w:after="0" w:line="240" w:lineRule="auto"/>
      </w:pPr>
      <w:r>
        <w:continuationSeparator/>
      </w:r>
    </w:p>
  </w:footnote>
  <w:footnote w:type="continuationNotice" w:id="1">
    <w:p w14:paraId="6590826F" w14:textId="77777777" w:rsidR="00F9130B" w:rsidRDefault="00F9130B">
      <w:pPr>
        <w:spacing w:after="0" w:line="240" w:lineRule="auto"/>
      </w:pPr>
    </w:p>
  </w:footnote>
  <w:footnote w:id="2">
    <w:p w14:paraId="1FBF9012" w14:textId="77777777" w:rsidR="006A41D9" w:rsidRPr="001961AA" w:rsidRDefault="006A41D9" w:rsidP="00BD6DD1">
      <w:pPr>
        <w:pStyle w:val="FootnoteText"/>
        <w:rPr>
          <w:lang w:val="en-IE"/>
        </w:rPr>
      </w:pPr>
      <w:r>
        <w:rPr>
          <w:rStyle w:val="FootnoteReference"/>
        </w:rPr>
        <w:footnoteRef/>
      </w:r>
      <w:r w:rsidRPr="001961AA">
        <w:rPr>
          <w:lang w:val="en-IE"/>
        </w:rPr>
        <w:t xml:space="preserve"> </w:t>
      </w:r>
      <w:r w:rsidRPr="001961AA">
        <w:rPr>
          <w:lang w:val="en-IE"/>
        </w:rPr>
        <w:tab/>
        <w:t>IPCEIs are subject to the notification requirement and stand-still obligation in Article 108(3) of the Treaty on the Functioning of the European Union. The selection and specificities of the proposed projects may require adjustments to ensure compliance with the applicable rules.</w:t>
      </w:r>
    </w:p>
  </w:footnote>
  <w:footnote w:id="3">
    <w:p w14:paraId="1306B678" w14:textId="76698751" w:rsidR="006A41D9" w:rsidRPr="001961AA" w:rsidRDefault="006A41D9" w:rsidP="00BD6DD1">
      <w:pPr>
        <w:pStyle w:val="FootnoteText"/>
        <w:rPr>
          <w:lang w:val="en-IE"/>
        </w:rPr>
      </w:pPr>
      <w:r>
        <w:rPr>
          <w:rStyle w:val="FootnoteReference"/>
        </w:rPr>
        <w:footnoteRef/>
      </w:r>
      <w:r w:rsidRPr="001961AA">
        <w:rPr>
          <w:lang w:val="en-IE"/>
        </w:rPr>
        <w:t xml:space="preserve"> </w:t>
      </w:r>
      <w:r w:rsidRPr="001961AA">
        <w:rPr>
          <w:lang w:val="en-IE"/>
        </w:rPr>
        <w:tab/>
        <w:t xml:space="preserve">See footnote 1. </w:t>
      </w:r>
    </w:p>
  </w:footnote>
  <w:footnote w:id="4">
    <w:p w14:paraId="581B6924" w14:textId="77777777" w:rsidR="006A41D9" w:rsidRPr="001961AA" w:rsidRDefault="006A41D9" w:rsidP="00BD6DD1">
      <w:pPr>
        <w:pStyle w:val="FootnoteText"/>
        <w:ind w:left="0" w:firstLine="0"/>
        <w:rPr>
          <w:sz w:val="22"/>
          <w:szCs w:val="22"/>
          <w:lang w:val="en-IE"/>
        </w:rPr>
      </w:pPr>
      <w:r>
        <w:rPr>
          <w:rStyle w:val="FootnoteReference"/>
          <w:rFonts w:eastAsia="Calibri"/>
          <w:sz w:val="18"/>
          <w:szCs w:val="18"/>
        </w:rPr>
        <w:footnoteRef/>
      </w:r>
      <w:r w:rsidRPr="001961AA">
        <w:rPr>
          <w:sz w:val="18"/>
          <w:lang w:val="en-IE"/>
        </w:rPr>
        <w:t xml:space="preserve"> ISO27000 (also known as the 'ISMS Family of Standards' or 'ISO27K') comprises information security</w:t>
      </w:r>
    </w:p>
    <w:p w14:paraId="2E9D6B7C" w14:textId="77777777" w:rsidR="006A41D9" w:rsidRPr="001961AA" w:rsidRDefault="006A41D9" w:rsidP="00BD6DD1">
      <w:pPr>
        <w:pStyle w:val="FootnoteText"/>
        <w:ind w:left="0" w:firstLine="0"/>
        <w:rPr>
          <w:sz w:val="22"/>
          <w:szCs w:val="22"/>
          <w:lang w:val="en-IE"/>
        </w:rPr>
      </w:pPr>
      <w:r w:rsidRPr="001961AA">
        <w:rPr>
          <w:sz w:val="18"/>
          <w:lang w:val="en-IE"/>
        </w:rPr>
        <w:t xml:space="preserve">standards published jointly by the International Organization for Standardization (ISO) and the International Electrotechnical Commission (IEC). </w:t>
      </w:r>
    </w:p>
  </w:footnote>
  <w:footnote w:id="5">
    <w:p w14:paraId="683152FB" w14:textId="77777777" w:rsidR="006A41D9" w:rsidRPr="001961AA" w:rsidRDefault="006A41D9" w:rsidP="00BD6DD1">
      <w:pPr>
        <w:pStyle w:val="FootnoteText"/>
        <w:ind w:left="0" w:firstLine="0"/>
        <w:rPr>
          <w:sz w:val="22"/>
          <w:szCs w:val="22"/>
          <w:lang w:val="en-IE"/>
        </w:rPr>
      </w:pPr>
      <w:r>
        <w:rPr>
          <w:rStyle w:val="FootnoteReference"/>
          <w:rFonts w:eastAsia="Calibri"/>
          <w:sz w:val="18"/>
          <w:szCs w:val="18"/>
        </w:rPr>
        <w:footnoteRef/>
      </w:r>
      <w:r w:rsidRPr="001961AA">
        <w:rPr>
          <w:sz w:val="18"/>
          <w:lang w:val="en-IE"/>
        </w:rPr>
        <w:t xml:space="preserve"> The CIS 20 (Center for Internet Security) Critical Security Controls for Effective Cyber Defense norms are best</w:t>
      </w:r>
    </w:p>
    <w:p w14:paraId="47494658" w14:textId="77777777" w:rsidR="006A41D9" w:rsidRPr="001961AA" w:rsidRDefault="006A41D9" w:rsidP="00BD6DD1">
      <w:pPr>
        <w:pStyle w:val="FootnoteText"/>
        <w:ind w:left="0" w:firstLine="0"/>
        <w:rPr>
          <w:sz w:val="22"/>
          <w:szCs w:val="22"/>
          <w:lang w:val="en-IE"/>
        </w:rPr>
      </w:pPr>
      <w:r w:rsidRPr="001961AA">
        <w:rPr>
          <w:sz w:val="18"/>
          <w:lang w:val="en-IE"/>
        </w:rPr>
        <w:t>practice guidelines for computer security.</w:t>
      </w:r>
    </w:p>
  </w:footnote>
  <w:footnote w:id="6">
    <w:p w14:paraId="611C6BAB" w14:textId="397E623C" w:rsidR="006A41D9" w:rsidRPr="001961AA" w:rsidRDefault="006A41D9">
      <w:pPr>
        <w:pStyle w:val="FootnoteText"/>
        <w:rPr>
          <w:lang w:val="en-IE"/>
        </w:rPr>
      </w:pPr>
      <w:r>
        <w:rPr>
          <w:rStyle w:val="FootnoteReference"/>
        </w:rPr>
        <w:footnoteRef/>
      </w:r>
      <w:r w:rsidRPr="001961AA">
        <w:rPr>
          <w:lang w:val="en-IE"/>
        </w:rPr>
        <w:t xml:space="preserve"> </w:t>
      </w:r>
      <w:r w:rsidRPr="001961AA">
        <w:rPr>
          <w:lang w:val="en-IE"/>
        </w:rPr>
        <w:tab/>
      </w:r>
      <w:r w:rsidRPr="001961AA">
        <w:rPr>
          <w:color w:val="000000" w:themeColor="text1"/>
          <w:sz w:val="19"/>
          <w:lang w:val="en-IE"/>
        </w:rPr>
        <w:t>The timeline for the implementation of this milestone is without prejudice to Belgium’s obligations under Regulation (EU) 2018/1724 of the European Parliament and of the Council of 2 October 2018 establishing a single digital gateway to provide access to information, to procedures and to assistance and problem-solving services and amending Regulation (EU) No 1024/2012.</w:t>
      </w:r>
    </w:p>
  </w:footnote>
  <w:footnote w:id="7">
    <w:p w14:paraId="1A5B66D3" w14:textId="77777777" w:rsidR="006A41D9" w:rsidRPr="001961AA" w:rsidRDefault="006A41D9" w:rsidP="00BD6DD1">
      <w:pPr>
        <w:pStyle w:val="FootnoteText"/>
        <w:ind w:left="0" w:firstLine="0"/>
        <w:rPr>
          <w:lang w:val="en-IE"/>
        </w:rPr>
      </w:pPr>
      <w:r>
        <w:rPr>
          <w:rStyle w:val="FootnoteReference"/>
          <w:rFonts w:ascii="Calibri" w:eastAsia="Calibri" w:hAnsi="Calibri" w:cs="Calibri"/>
          <w:sz w:val="16"/>
          <w:szCs w:val="16"/>
        </w:rPr>
        <w:footnoteRef/>
      </w:r>
      <w:r w:rsidRPr="001961AA">
        <w:rPr>
          <w:rFonts w:ascii="Calibri" w:hAnsi="Calibri"/>
          <w:sz w:val="16"/>
          <w:lang w:val="en-IE"/>
        </w:rPr>
        <w:t xml:space="preserve"> Digital twins are virtual replicas of objects, processes or places from the physical world.</w:t>
      </w:r>
    </w:p>
  </w:footnote>
  <w:footnote w:id="8">
    <w:p w14:paraId="41762E8B" w14:textId="77777777" w:rsidR="006A41D9" w:rsidRPr="00BF1DC6" w:rsidRDefault="006A41D9" w:rsidP="00BD6DD1">
      <w:pPr>
        <w:pStyle w:val="FootnoteText"/>
        <w:ind w:left="0" w:firstLine="0"/>
        <w:rPr>
          <w:lang w:val="fr-BE"/>
        </w:rPr>
      </w:pPr>
      <w:r>
        <w:rPr>
          <w:rStyle w:val="FootnoteReference"/>
        </w:rPr>
        <w:footnoteRef/>
      </w:r>
      <w:r w:rsidRPr="00BF1DC6">
        <w:rPr>
          <w:lang w:val="fr-BE"/>
        </w:rPr>
        <w:t xml:space="preserve"> Cf. Annex Ia of the Loi portant assentiment à l’accord de coopération du 5 octobre 2018 entre l’Etat fédéral, la Région </w:t>
      </w:r>
      <w:r>
        <w:t>ﬂ</w:t>
      </w:r>
      <w:r w:rsidRPr="00BF1DC6">
        <w:rPr>
          <w:lang w:val="fr-BE"/>
        </w:rPr>
        <w:t xml:space="preserve">amande, la Région wallonne et la Région de Bruxelles-Capitale relatif au </w:t>
      </w:r>
      <w:r>
        <w:t>ﬁ</w:t>
      </w:r>
      <w:r w:rsidRPr="00BF1DC6">
        <w:rPr>
          <w:lang w:val="fr-BE"/>
        </w:rPr>
        <w:t xml:space="preserve">nancement des infrastructures ferroviaires stratégiques / Wet houdende instemming met het samenwerkingsakkoord van 5 oktober 2018 tussen de Federale Staat, het Vlaamse Gewest, het Waalse Gewest en het Brusselse Hoofdstedelijke Gewest betreffende de </w:t>
      </w:r>
      <w:r>
        <w:t>ﬁ</w:t>
      </w:r>
      <w:r w:rsidRPr="00BF1DC6">
        <w:rPr>
          <w:lang w:val="fr-BE"/>
        </w:rPr>
        <w:t>nanciering van de strategische spoorweginfrastructuren, Moniteur belge – 11.03.2019 – Belgisch Staatsblad</w:t>
      </w:r>
    </w:p>
  </w:footnote>
  <w:footnote w:id="9">
    <w:p w14:paraId="6DE45EB7" w14:textId="77777777" w:rsidR="006A41D9" w:rsidRPr="001961AA" w:rsidRDefault="006A41D9" w:rsidP="00BD6DD1">
      <w:pPr>
        <w:pStyle w:val="FootnoteText"/>
        <w:ind w:left="0" w:firstLine="0"/>
        <w:rPr>
          <w:lang w:val="en-IE"/>
        </w:rPr>
      </w:pPr>
      <w:r>
        <w:rPr>
          <w:rStyle w:val="FootnoteReference"/>
        </w:rPr>
        <w:footnoteRef/>
      </w:r>
      <w:r w:rsidRPr="001961AA">
        <w:rPr>
          <w:lang w:val="en-IE"/>
        </w:rPr>
        <w:t xml:space="preserve"> This follows up CSR 3 2018: “Tackle the growing mobility challenges, in particular through investment in new or existing transport infrastructure and reinforcing incentives to use collective and low emission transport”</w:t>
      </w:r>
    </w:p>
  </w:footnote>
  <w:footnote w:id="10">
    <w:p w14:paraId="6D12729C" w14:textId="77777777" w:rsidR="006A41D9" w:rsidRDefault="006A41D9" w:rsidP="00BD6DD1">
      <w:pPr>
        <w:pStyle w:val="FootnoteText"/>
      </w:pPr>
      <w:r>
        <w:rPr>
          <w:rStyle w:val="FootnoteReference"/>
        </w:rPr>
        <w:footnoteRef/>
      </w:r>
      <w:r>
        <w:t xml:space="preserve"> Diest, Gent Dampoort, Herentals, Leuven, Mechelen-Nekkerspoel</w:t>
      </w:r>
    </w:p>
  </w:footnote>
  <w:footnote w:id="11">
    <w:p w14:paraId="2D8FC205" w14:textId="614146E1" w:rsidR="006A41D9" w:rsidRDefault="006A41D9" w:rsidP="00BD6DD1">
      <w:pPr>
        <w:pStyle w:val="FootnoteText"/>
        <w:ind w:left="0" w:firstLine="0"/>
      </w:pPr>
      <w:r>
        <w:rPr>
          <w:rStyle w:val="FootnoteReference"/>
        </w:rPr>
        <w:footnoteRef/>
      </w:r>
      <w:r>
        <w:t xml:space="preserve"> Barvaux, Dinant, Fexche-le-haut-clocher, Marche-en-famenne, Zwijndrecht, Alken, Buggenhout, Eupen, Fleurus, Louvain-la-Neuve, Sint-Agatha-Berchem, Watermael, Ans, Antwerpen-Zuid, Blankenberge, Diest, Mechelen-Nekkerspoel, Visé, Huy, Luttre, Meiser, Sint-Job, Tubize, Verviers-Central,Waremme, Kiewit, Sint-Truiden and Diepenbeek.</w:t>
      </w:r>
    </w:p>
  </w:footnote>
  <w:footnote w:id="12">
    <w:p w14:paraId="0CF8E67D" w14:textId="77777777" w:rsidR="006A41D9" w:rsidRPr="001961AA" w:rsidRDefault="006A41D9" w:rsidP="00BD6DD1">
      <w:pPr>
        <w:pStyle w:val="FootnoteText"/>
        <w:ind w:left="0" w:firstLine="0"/>
        <w:rPr>
          <w:lang w:val="en-IE"/>
        </w:rPr>
      </w:pPr>
      <w:r>
        <w:rPr>
          <w:rStyle w:val="FootnoteReference"/>
        </w:rPr>
        <w:footnoteRef/>
      </w:r>
      <w:r w:rsidRPr="001961AA">
        <w:rPr>
          <w:lang w:val="en-IE"/>
        </w:rPr>
        <w:t xml:space="preserve"> Where the activity supported achieves projected greenhouse gas emissions that are not significantly lower than the relevant benchmarks an explanation of the reasons why this is not possible should be provided. Benchmarks established for free allocation for activities falling within the scope of the Emissions Trading System, as set out in the Commission Implementing Regulation (EU) 2021/447.</w:t>
      </w:r>
    </w:p>
  </w:footnote>
  <w:footnote w:id="13">
    <w:p w14:paraId="43AEF82A" w14:textId="77777777" w:rsidR="006A41D9" w:rsidRPr="001961AA" w:rsidRDefault="006A41D9" w:rsidP="00BD6DD1">
      <w:pPr>
        <w:pStyle w:val="FootnoteText"/>
        <w:ind w:left="0" w:firstLine="0"/>
        <w:rPr>
          <w:lang w:val="en-IE"/>
        </w:rPr>
      </w:pPr>
      <w:r>
        <w:rPr>
          <w:rStyle w:val="FootnoteReference"/>
        </w:rPr>
        <w:footnoteRef/>
      </w:r>
      <w:r w:rsidRPr="001961AA">
        <w:rPr>
          <w:lang w:val="en-IE"/>
        </w:rPr>
        <w:t xml:space="preserve"> This exclusion does not apply to actions under this measure in plants exclusively dedicated to treating non-recyclable hazardous waste, and to existing plants, where the actions under this measure are for the purpose of increasing energy efficiency, capturing exhaust gases for storage or use or recovering materials from incineration ashes, provided such actions under this measure do not result in an increase of the plants’ waste processing capacity or in an extension of the lifetime of the plants; for which evidence is provided at plant level.</w:t>
      </w:r>
    </w:p>
  </w:footnote>
  <w:footnote w:id="14">
    <w:p w14:paraId="2A734A49" w14:textId="77777777" w:rsidR="006A41D9" w:rsidRPr="001961AA" w:rsidRDefault="006A41D9" w:rsidP="00BD6DD1">
      <w:pPr>
        <w:pStyle w:val="FootnoteText"/>
        <w:ind w:left="0" w:firstLine="0"/>
        <w:rPr>
          <w:lang w:val="en-IE"/>
        </w:rPr>
      </w:pPr>
      <w:r>
        <w:rPr>
          <w:rStyle w:val="FootnoteReference"/>
        </w:rPr>
        <w:footnoteRef/>
      </w:r>
      <w:r w:rsidRPr="001961AA">
        <w:rPr>
          <w:lang w:val="en-IE"/>
        </w:rPr>
        <w:t xml:space="preserve"> This exclusion does not apply to actions under this measure in existing mechanical biological treatment plants, where the actions under this measure are for the purpose of increasing energy efficiency or retrofitting to recycling operations of separated waste to compost bio-waste and anaerobic digestion of bio-waste, provided such actions under this measure do not result in an increase of the plants’ waste processing capacity or in an extension of the lifetime of the plants; for which evidence is provided at plant level.</w:t>
      </w:r>
    </w:p>
  </w:footnote>
  <w:footnote w:id="15">
    <w:p w14:paraId="23F5A2FF" w14:textId="77777777" w:rsidR="006A41D9" w:rsidRPr="001961AA" w:rsidRDefault="006A41D9" w:rsidP="00BD6DD1">
      <w:pPr>
        <w:pStyle w:val="FootnoteText"/>
        <w:ind w:left="0" w:firstLine="0"/>
        <w:rPr>
          <w:lang w:val="en-IE"/>
        </w:rPr>
      </w:pPr>
      <w:r>
        <w:rPr>
          <w:rStyle w:val="FootnoteReference"/>
        </w:rPr>
        <w:footnoteRef/>
      </w:r>
      <w:r w:rsidRPr="001961AA">
        <w:rPr>
          <w:lang w:val="en-IE"/>
        </w:rPr>
        <w:t xml:space="preserve"> This exclusion does not apply to actions under this measure in existing mechanical biological treatment plants, where the actions under this measure are for the purpose of increasing energy efficiency or retrofitting to recycling operations of separated waste to compost bio-waste and anaerobic digestion of bio-waste, provided such actions under this measure do not result in an increase of the plants’ waste processing capacity or in an extension of the lifetime of the plants; for which evidence is provided at plant level.</w:t>
      </w:r>
    </w:p>
  </w:footnote>
  <w:footnote w:id="16">
    <w:p w14:paraId="217AC743" w14:textId="77777777" w:rsidR="006A41D9" w:rsidRPr="001961AA" w:rsidRDefault="006A41D9" w:rsidP="00BD6DD1">
      <w:pPr>
        <w:pStyle w:val="FootnoteText"/>
        <w:ind w:left="0" w:firstLine="0"/>
        <w:rPr>
          <w:lang w:val="en-IE"/>
        </w:rPr>
      </w:pPr>
      <w:r>
        <w:rPr>
          <w:rStyle w:val="FootnoteReference"/>
        </w:rPr>
        <w:footnoteRef/>
      </w:r>
      <w:r w:rsidRPr="001961AA">
        <w:rPr>
          <w:lang w:val="en-IE"/>
        </w:rPr>
        <w:t xml:space="preserve"> This exclusion does not apply to actions under this measure in plants exclusively dedicated to treating non-recyclable hazardous waste, and to existing plants, where the actions under this measure are for the purpose of increasing energy efficiency, capturing exhaust gases for storage or use or recovering materials from incineration ashes, provided such actions under this measure do not result in an increase of the plants’ waste processing capacity or in an extension of the lifetime of the plants; for which evidence is provided at plant level.</w:t>
      </w:r>
    </w:p>
  </w:footnote>
  <w:footnote w:id="17">
    <w:p w14:paraId="7E3B18C6" w14:textId="77777777" w:rsidR="006A41D9" w:rsidRPr="001961AA" w:rsidRDefault="006A41D9" w:rsidP="00BD6DD1">
      <w:pPr>
        <w:pStyle w:val="FootnoteText"/>
        <w:ind w:left="0" w:firstLine="0"/>
        <w:rPr>
          <w:lang w:val="en-IE"/>
        </w:rPr>
      </w:pPr>
      <w:r>
        <w:rPr>
          <w:rStyle w:val="FootnoteReference"/>
        </w:rPr>
        <w:footnoteRef/>
      </w:r>
      <w:r w:rsidRPr="001961AA">
        <w:rPr>
          <w:lang w:val="en-IE"/>
        </w:rPr>
        <w:t xml:space="preserve"> This exclusion does not apply to actions under this measure in existing mechanical biological treatment plants, where the actions under this measure are for the purpose of increasing energy efficiency or retrofitting to recycling operations of separated waste to compost bio-waste and anaerobic digestion of bio-waste, provided such actions under this measure do not result in an increase of the plants’ waste processing capacity or in an extension of the lifetime of the plants; for which evidence is provided at plant level.</w:t>
      </w:r>
    </w:p>
  </w:footnote>
  <w:footnote w:id="18">
    <w:p w14:paraId="3C32500D" w14:textId="77777777" w:rsidR="006A41D9" w:rsidRPr="001961AA" w:rsidRDefault="006A41D9" w:rsidP="00BD6DD1">
      <w:pPr>
        <w:pStyle w:val="FootnoteText"/>
        <w:ind w:left="0" w:firstLine="0"/>
        <w:rPr>
          <w:lang w:val="en-IE"/>
        </w:rPr>
      </w:pPr>
      <w:r>
        <w:rPr>
          <w:rStyle w:val="FootnoteReference"/>
        </w:rPr>
        <w:footnoteRef/>
      </w:r>
      <w:r w:rsidRPr="001961AA">
        <w:rPr>
          <w:lang w:val="en-IE"/>
        </w:rPr>
        <w:t xml:space="preserve"> Where the activity supported achieves projected greenhouse gas emissions that are not significantly lower than the relevant benchmarks an explanation of the reasons why this is not possible should be provided. Benchmarks established for free allocation for activities falling within the scope of the Emissions Trading System, as set out in the Commission Implementing Regulation (EU) 2021/447.</w:t>
      </w:r>
    </w:p>
  </w:footnote>
  <w:footnote w:id="19">
    <w:p w14:paraId="7135E0C1" w14:textId="77777777" w:rsidR="006A41D9" w:rsidRPr="001961AA" w:rsidRDefault="006A41D9" w:rsidP="00BD6DD1">
      <w:pPr>
        <w:pStyle w:val="FootnoteText"/>
        <w:ind w:left="0" w:firstLine="0"/>
        <w:rPr>
          <w:lang w:val="en-IE"/>
        </w:rPr>
      </w:pPr>
      <w:r>
        <w:rPr>
          <w:rStyle w:val="FootnoteReference"/>
        </w:rPr>
        <w:footnoteRef/>
      </w:r>
      <w:r w:rsidRPr="001961AA">
        <w:rPr>
          <w:lang w:val="en-IE"/>
        </w:rPr>
        <w:t xml:space="preserve"> This exclusion does not apply to actions under this measure in plants exclusively dedicated to treating non-recyclable hazardous waste, and to existing plants, where the actions under this measure are for the purpose of increasing energy efficiency, capturing exhaust gases for storage or use or recovering materials from incineration ashes, provided such actions under this measure do not result in an increase of the plants’ waste processing capacity or in an extension of the lifetime of the plants; for which evidence is provided at plant level.</w:t>
      </w:r>
    </w:p>
  </w:footnote>
  <w:footnote w:id="20">
    <w:p w14:paraId="3AFC4ABE" w14:textId="77777777" w:rsidR="006A41D9" w:rsidRPr="001961AA" w:rsidRDefault="006A41D9" w:rsidP="00BD6DD1">
      <w:pPr>
        <w:pStyle w:val="FootnoteText"/>
        <w:ind w:left="0" w:firstLine="0"/>
        <w:rPr>
          <w:lang w:val="en-IE"/>
        </w:rPr>
      </w:pPr>
      <w:r>
        <w:rPr>
          <w:rStyle w:val="FootnoteReference"/>
        </w:rPr>
        <w:footnoteRef/>
      </w:r>
      <w:r w:rsidRPr="001961AA">
        <w:rPr>
          <w:lang w:val="en-IE"/>
        </w:rPr>
        <w:t xml:space="preserve"> This exclusion does not apply to actions under this measure in existing mechanical biological treatment plants, where the actions under this measure are for the purpose of increasing energy efficiency or retrofitting to recycling operations of separated waste to compost bio-waste and anaerobic digestion of bio-waste, provided such actions under this measure do not result in an increase of the plants’ waste processing capacity or in an extension of the lifetime of the plants; for which evidence is provided at plant level.</w:t>
      </w:r>
    </w:p>
  </w:footnote>
  <w:footnote w:id="21">
    <w:p w14:paraId="7BCC33F6" w14:textId="77777777" w:rsidR="006A41D9" w:rsidRPr="001961AA" w:rsidRDefault="006A41D9" w:rsidP="00BD6DD1">
      <w:pPr>
        <w:pStyle w:val="FootnoteText"/>
        <w:ind w:left="0" w:firstLine="0"/>
        <w:rPr>
          <w:lang w:val="en-IE"/>
        </w:rPr>
      </w:pPr>
      <w:r>
        <w:rPr>
          <w:rStyle w:val="FootnoteReference"/>
        </w:rPr>
        <w:footnoteRef/>
      </w:r>
      <w:r w:rsidRPr="001961AA">
        <w:rPr>
          <w:lang w:val="en-IE"/>
        </w:rPr>
        <w:t xml:space="preserve"> Where the activity supported achieves projected greenhouse gas emissions that are not significantly lower than the relevant benchmarks an explanation of the reasons why this is not possible should be provided. Benchmarks established for free allocation for activities falling within the scope of the Emissions Trading System, as set out in the Commission Implementing Regulation (EU) 2021/447.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A450D" w14:textId="77777777" w:rsidR="00D26A48" w:rsidRPr="00D26A48" w:rsidRDefault="00D26A48" w:rsidP="00D26A48">
    <w:pPr>
      <w:pStyle w:val="HeaderCoverPage"/>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C8855" w14:textId="77777777" w:rsidR="006A41D9" w:rsidRPr="00ED64B3" w:rsidRDefault="006A41D9" w:rsidP="00BD6DD1">
    <w:pPr>
      <w:pStyle w:val="Header"/>
    </w:pPr>
  </w:p>
</w:hdr>
</file>

<file path=word/header10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D26B8" w14:textId="77777777" w:rsidR="006A41D9" w:rsidRPr="00ED64B3" w:rsidRDefault="006A41D9" w:rsidP="00BD6DD1">
    <w:pPr>
      <w:pStyle w:val="Header"/>
    </w:pPr>
  </w:p>
</w:hdr>
</file>

<file path=word/header10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20185" w14:textId="77777777" w:rsidR="006A41D9" w:rsidRPr="00ED64B3" w:rsidRDefault="006A41D9" w:rsidP="00BD6DD1">
    <w:pPr>
      <w:pStyle w:val="Header"/>
    </w:pPr>
  </w:p>
</w:hdr>
</file>

<file path=word/header10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419DF" w14:textId="77777777" w:rsidR="006A41D9" w:rsidRPr="00ED64B3" w:rsidRDefault="006A41D9" w:rsidP="00BD6DD1">
    <w:pPr>
      <w:pStyle w:val="Header"/>
    </w:pPr>
  </w:p>
</w:hdr>
</file>

<file path=word/header10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7E5DC" w14:textId="77777777" w:rsidR="006B79E9" w:rsidRPr="00ED64B3" w:rsidRDefault="006B79E9" w:rsidP="00BD6DD1">
    <w:pPr>
      <w:pStyle w:val="Header"/>
    </w:pPr>
  </w:p>
</w:hdr>
</file>

<file path=word/header10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5E2A7" w14:textId="77777777" w:rsidR="006B79E9" w:rsidRPr="00ED64B3" w:rsidRDefault="006B79E9" w:rsidP="00BD6DD1">
    <w:pPr>
      <w:pStyle w:val="Header"/>
    </w:pPr>
  </w:p>
</w:hdr>
</file>

<file path=word/header10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A29B5" w14:textId="77777777" w:rsidR="006B79E9" w:rsidRPr="00ED64B3" w:rsidRDefault="006B79E9" w:rsidP="00BD6DD1">
    <w:pPr>
      <w:pStyle w:val="Header"/>
    </w:pPr>
  </w:p>
</w:hdr>
</file>

<file path=word/header10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DC420" w14:textId="77777777" w:rsidR="00B10CDF" w:rsidRPr="00ED64B3" w:rsidRDefault="00B10CDF">
    <w:pPr>
      <w:pStyle w:val="Header"/>
    </w:pPr>
  </w:p>
</w:hdr>
</file>

<file path=word/header10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19C25" w14:textId="77777777" w:rsidR="00B10CDF" w:rsidRPr="00ED64B3" w:rsidRDefault="00B10CDF">
    <w:pPr>
      <w:pStyle w:val="Header"/>
    </w:pPr>
  </w:p>
</w:hdr>
</file>

<file path=word/header10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D28B7" w14:textId="77777777" w:rsidR="00B10CDF" w:rsidRPr="00ED64B3" w:rsidRDefault="00B10CDF">
    <w:pPr>
      <w:pStyle w:val="Header"/>
    </w:pPr>
  </w:p>
</w:hdr>
</file>

<file path=word/header10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AEA91" w14:textId="77777777" w:rsidR="006B79E9" w:rsidRPr="00ED64B3" w:rsidRDefault="006B79E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C08D6" w14:textId="77777777" w:rsidR="006A41D9" w:rsidRPr="00ED64B3" w:rsidRDefault="006A41D9" w:rsidP="00BD6DD1">
    <w:pPr>
      <w:pStyle w:val="Header"/>
    </w:pPr>
  </w:p>
</w:hdr>
</file>

<file path=word/header1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04E36" w14:textId="77777777" w:rsidR="006B79E9" w:rsidRPr="00ED64B3" w:rsidRDefault="006B79E9">
    <w:pPr>
      <w:pStyle w:val="Header"/>
    </w:pPr>
  </w:p>
</w:hdr>
</file>

<file path=word/header1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593CE" w14:textId="77777777" w:rsidR="006B79E9" w:rsidRPr="00ED64B3" w:rsidRDefault="006B79E9">
    <w:pPr>
      <w:pStyle w:val="Header"/>
    </w:pPr>
  </w:p>
</w:hdr>
</file>

<file path=word/header1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BD5E4" w14:textId="77777777" w:rsidR="006A41D9" w:rsidRPr="00ED64B3" w:rsidRDefault="006A41D9" w:rsidP="00BD6DD1">
    <w:pPr>
      <w:pStyle w:val="Header"/>
    </w:pPr>
  </w:p>
</w:hdr>
</file>

<file path=word/header1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2AF9D" w14:textId="77777777" w:rsidR="006A41D9" w:rsidRPr="00ED64B3" w:rsidRDefault="006A41D9" w:rsidP="00BD6DD1">
    <w:pPr>
      <w:pStyle w:val="Header"/>
    </w:pPr>
  </w:p>
</w:hdr>
</file>

<file path=word/header1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F0302" w14:textId="77777777" w:rsidR="006A41D9" w:rsidRPr="00ED64B3" w:rsidRDefault="006A41D9" w:rsidP="00BD6DD1">
    <w:pPr>
      <w:pStyle w:val="Header"/>
    </w:pPr>
  </w:p>
</w:hdr>
</file>

<file path=word/header1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A1A4E" w14:textId="77777777" w:rsidR="006B79E9" w:rsidRPr="00ED64B3" w:rsidRDefault="006B79E9" w:rsidP="00BD6DD1">
    <w:pPr>
      <w:pStyle w:val="Header"/>
    </w:pPr>
  </w:p>
</w:hdr>
</file>

<file path=word/header1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7D13E" w14:textId="77777777" w:rsidR="006B79E9" w:rsidRPr="00ED64B3" w:rsidRDefault="006B79E9" w:rsidP="00BD6DD1">
    <w:pPr>
      <w:pStyle w:val="Header"/>
    </w:pPr>
  </w:p>
</w:hdr>
</file>

<file path=word/header1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B36A1" w14:textId="77777777" w:rsidR="006B79E9" w:rsidRPr="00ED64B3" w:rsidRDefault="006B79E9" w:rsidP="00BD6DD1">
    <w:pPr>
      <w:pStyle w:val="Header"/>
    </w:pPr>
  </w:p>
</w:hdr>
</file>

<file path=word/header1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C351B" w14:textId="77777777" w:rsidR="00243DEB" w:rsidRDefault="00243DEB">
    <w:pPr>
      <w:pStyle w:val="Header"/>
    </w:pPr>
  </w:p>
</w:hdr>
</file>

<file path=word/header1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A386C" w14:textId="77777777" w:rsidR="00243DEB" w:rsidRPr="00ED64B3" w:rsidRDefault="00243DE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BB6CF" w14:textId="77777777" w:rsidR="006A41D9" w:rsidRPr="00ED64B3" w:rsidRDefault="006A41D9" w:rsidP="00BD6DD1">
    <w:pPr>
      <w:pStyle w:val="Header"/>
    </w:pPr>
  </w:p>
</w:hdr>
</file>

<file path=word/header1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7AE84" w14:textId="77777777" w:rsidR="00243DEB" w:rsidRDefault="00243DEB">
    <w:pPr>
      <w:pStyle w:val="Header"/>
    </w:pPr>
  </w:p>
</w:hdr>
</file>

<file path=word/header1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DCDFA" w14:textId="77777777" w:rsidR="006B79E9" w:rsidRDefault="006B79E9">
    <w:pPr>
      <w:pStyle w:val="Header"/>
    </w:pPr>
  </w:p>
</w:hdr>
</file>

<file path=word/header1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89818" w14:textId="77777777" w:rsidR="006B79E9" w:rsidRPr="00ED64B3" w:rsidRDefault="006B79E9">
    <w:pPr>
      <w:pStyle w:val="Header"/>
    </w:pPr>
  </w:p>
</w:hdr>
</file>

<file path=word/header1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CD420" w14:textId="77777777" w:rsidR="006B79E9" w:rsidRDefault="006B79E9">
    <w:pPr>
      <w:pStyle w:val="Header"/>
    </w:pPr>
  </w:p>
</w:hdr>
</file>

<file path=word/header1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38164" w14:textId="77777777" w:rsidR="00243DEB" w:rsidRDefault="00243DEB">
    <w:pPr>
      <w:pStyle w:val="Header"/>
    </w:pPr>
  </w:p>
</w:hdr>
</file>

<file path=word/header1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3163F" w14:textId="77777777" w:rsidR="006A41D9" w:rsidRPr="00ED64B3" w:rsidRDefault="006A41D9" w:rsidP="00BD6DD1">
    <w:pPr>
      <w:pStyle w:val="Header"/>
    </w:pPr>
  </w:p>
</w:hdr>
</file>

<file path=word/header1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703EF" w14:textId="77777777" w:rsidR="00243DEB" w:rsidRDefault="00243DEB">
    <w:pPr>
      <w:pStyle w:val="Header"/>
    </w:pPr>
  </w:p>
</w:hdr>
</file>

<file path=word/header1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C99E5" w14:textId="77777777" w:rsidR="006B79E9" w:rsidRDefault="006B79E9">
    <w:pPr>
      <w:pStyle w:val="Header"/>
    </w:pPr>
  </w:p>
</w:hdr>
</file>

<file path=word/header1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BC61A" w14:textId="77777777" w:rsidR="006B79E9" w:rsidRPr="00ED64B3" w:rsidRDefault="006B79E9" w:rsidP="00BD6DD1">
    <w:pPr>
      <w:pStyle w:val="Header"/>
    </w:pPr>
  </w:p>
</w:hdr>
</file>

<file path=word/header1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D5D18" w14:textId="77777777" w:rsidR="006B79E9" w:rsidRDefault="006B79E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93DD9" w14:textId="77777777" w:rsidR="006B79E9" w:rsidRPr="00ED64B3" w:rsidRDefault="006B79E9" w:rsidP="00BD6DD1">
    <w:pPr>
      <w:pStyle w:val="Header"/>
    </w:pPr>
  </w:p>
</w:hdr>
</file>

<file path=word/header1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17348" w14:textId="77777777" w:rsidR="00243DEB" w:rsidRDefault="00243DEB">
    <w:pPr>
      <w:pStyle w:val="Header"/>
    </w:pPr>
  </w:p>
</w:hdr>
</file>

<file path=word/header1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E1828" w14:textId="77777777" w:rsidR="006A41D9" w:rsidRPr="00ED64B3" w:rsidRDefault="006A41D9" w:rsidP="00BD6DD1">
    <w:pPr>
      <w:pStyle w:val="Header"/>
    </w:pPr>
  </w:p>
</w:hdr>
</file>

<file path=word/header1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8F086" w14:textId="77777777" w:rsidR="00243DEB" w:rsidRDefault="00243DEB">
    <w:pPr>
      <w:pStyle w:val="Header"/>
    </w:pPr>
  </w:p>
</w:hdr>
</file>

<file path=word/header1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91D0B9" w14:textId="77777777" w:rsidR="006B79E9" w:rsidRDefault="006B79E9">
    <w:pPr>
      <w:pStyle w:val="Header"/>
    </w:pPr>
  </w:p>
</w:hdr>
</file>

<file path=word/header1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34139" w14:textId="77777777" w:rsidR="006B79E9" w:rsidRPr="00ED64B3" w:rsidRDefault="006B79E9" w:rsidP="00BD6DD1">
    <w:pPr>
      <w:pStyle w:val="Header"/>
    </w:pPr>
  </w:p>
</w:hdr>
</file>

<file path=word/header1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02803" w14:textId="77777777" w:rsidR="006B79E9" w:rsidRDefault="006B79E9">
    <w:pPr>
      <w:pStyle w:val="Header"/>
    </w:pPr>
  </w:p>
</w:hdr>
</file>

<file path=word/header1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0B2DD" w14:textId="77777777" w:rsidR="00243DEB" w:rsidRDefault="00243DEB">
    <w:pPr>
      <w:pStyle w:val="Header"/>
    </w:pPr>
  </w:p>
</w:hdr>
</file>

<file path=word/header1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AD43A" w14:textId="77777777" w:rsidR="006A41D9" w:rsidRPr="00ED64B3" w:rsidRDefault="006A41D9" w:rsidP="00BD6DD1">
    <w:pPr>
      <w:pStyle w:val="Header"/>
    </w:pPr>
  </w:p>
</w:hdr>
</file>

<file path=word/header1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9641D" w14:textId="77777777" w:rsidR="00243DEB" w:rsidRDefault="00243DEB">
    <w:pPr>
      <w:pStyle w:val="Header"/>
    </w:pPr>
  </w:p>
</w:hdr>
</file>

<file path=word/header1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49CF6" w14:textId="77777777" w:rsidR="006B79E9" w:rsidRDefault="006B79E9">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AD827" w14:textId="77777777" w:rsidR="006B79E9" w:rsidRPr="00ED64B3" w:rsidRDefault="006B79E9" w:rsidP="00BD6DD1">
    <w:pPr>
      <w:pStyle w:val="Header"/>
    </w:pPr>
  </w:p>
</w:hdr>
</file>

<file path=word/header1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03787" w14:textId="77777777" w:rsidR="006B79E9" w:rsidRPr="00ED64B3" w:rsidRDefault="006B79E9" w:rsidP="00BD6DD1">
    <w:pPr>
      <w:pStyle w:val="Header"/>
    </w:pPr>
  </w:p>
</w:hdr>
</file>

<file path=word/header1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EDAFC" w14:textId="77777777" w:rsidR="006B79E9" w:rsidRDefault="006B79E9">
    <w:pPr>
      <w:pStyle w:val="Header"/>
    </w:pPr>
  </w:p>
</w:hdr>
</file>

<file path=word/header1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B4DF7" w14:textId="77777777" w:rsidR="00243DEB" w:rsidRDefault="00243DEB">
    <w:pPr>
      <w:pStyle w:val="Header"/>
    </w:pPr>
  </w:p>
</w:hdr>
</file>

<file path=word/header1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147C62" w14:textId="77777777" w:rsidR="006A41D9" w:rsidRPr="00ED64B3" w:rsidRDefault="006A41D9" w:rsidP="00BD6DD1">
    <w:pPr>
      <w:pStyle w:val="Header"/>
    </w:pPr>
  </w:p>
</w:hdr>
</file>

<file path=word/header1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5904A" w14:textId="77777777" w:rsidR="00243DEB" w:rsidRDefault="00243DEB">
    <w:pPr>
      <w:pStyle w:val="Header"/>
    </w:pPr>
  </w:p>
</w:hdr>
</file>

<file path=word/header1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2DA2F" w14:textId="77777777" w:rsidR="006B79E9" w:rsidRDefault="006B79E9">
    <w:pPr>
      <w:pStyle w:val="Header"/>
    </w:pPr>
  </w:p>
</w:hdr>
</file>

<file path=word/header1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7BB47A" w14:textId="77777777" w:rsidR="006B79E9" w:rsidRPr="00ED64B3" w:rsidRDefault="006B79E9" w:rsidP="00BD6DD1">
    <w:pPr>
      <w:pStyle w:val="Header"/>
    </w:pPr>
  </w:p>
</w:hdr>
</file>

<file path=word/header1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7B0EA" w14:textId="77777777" w:rsidR="006B79E9" w:rsidRDefault="006B79E9">
    <w:pPr>
      <w:pStyle w:val="Header"/>
    </w:pPr>
  </w:p>
</w:hdr>
</file>

<file path=word/header1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F3FE4" w14:textId="77777777" w:rsidR="00243DEB" w:rsidRDefault="00243DEB">
    <w:pPr>
      <w:pStyle w:val="Header"/>
    </w:pPr>
  </w:p>
</w:hdr>
</file>

<file path=word/header1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3BF04" w14:textId="77777777" w:rsidR="006A41D9" w:rsidRPr="00ED64B3" w:rsidRDefault="006A41D9" w:rsidP="00BD6DD1">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D4D1F" w14:textId="77777777" w:rsidR="006B79E9" w:rsidRPr="00ED64B3" w:rsidRDefault="006B79E9" w:rsidP="00BD6DD1">
    <w:pPr>
      <w:pStyle w:val="Header"/>
    </w:pPr>
  </w:p>
</w:hdr>
</file>

<file path=word/header1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78097" w14:textId="77777777" w:rsidR="00243DEB" w:rsidRDefault="00243DEB">
    <w:pPr>
      <w:pStyle w:val="Header"/>
    </w:pPr>
  </w:p>
</w:hdr>
</file>

<file path=word/header1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51DB2" w14:textId="77777777" w:rsidR="006B79E9" w:rsidRDefault="006B79E9">
    <w:pPr>
      <w:pStyle w:val="Header"/>
    </w:pPr>
  </w:p>
</w:hdr>
</file>

<file path=word/header1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4FDDEA" w14:textId="77777777" w:rsidR="006B79E9" w:rsidRPr="00ED64B3" w:rsidRDefault="006B79E9" w:rsidP="00BD6DD1">
    <w:pPr>
      <w:pStyle w:val="Header"/>
    </w:pPr>
  </w:p>
</w:hdr>
</file>

<file path=word/header1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F5AF2" w14:textId="77777777" w:rsidR="006B79E9" w:rsidRDefault="006B79E9">
    <w:pPr>
      <w:pStyle w:val="Header"/>
    </w:pPr>
  </w:p>
</w:hdr>
</file>

<file path=word/header1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6EA17" w14:textId="77777777" w:rsidR="00275C49" w:rsidRPr="00ED64B3" w:rsidRDefault="00275C49">
    <w:pPr>
      <w:pStyle w:val="Header"/>
    </w:pPr>
  </w:p>
</w:hdr>
</file>

<file path=word/header1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8C5DA" w14:textId="77777777" w:rsidR="00275C49" w:rsidRPr="00ED64B3" w:rsidRDefault="00275C49">
    <w:pPr>
      <w:pStyle w:val="Header"/>
    </w:pPr>
  </w:p>
</w:hdr>
</file>

<file path=word/header1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7B8F1" w14:textId="77777777" w:rsidR="00275C49" w:rsidRPr="00ED64B3" w:rsidRDefault="00275C49">
    <w:pPr>
      <w:pStyle w:val="Header"/>
    </w:pPr>
  </w:p>
</w:hdr>
</file>

<file path=word/header1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4A4FC" w14:textId="77777777" w:rsidR="00275C49" w:rsidRPr="00ED64B3" w:rsidRDefault="00275C49">
    <w:pPr>
      <w:pStyle w:val="Header"/>
    </w:pPr>
  </w:p>
</w:hdr>
</file>

<file path=word/header1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694A8" w14:textId="77777777" w:rsidR="00275C49" w:rsidRPr="00ED64B3" w:rsidRDefault="00275C49">
    <w:pPr>
      <w:pStyle w:val="Header"/>
    </w:pPr>
  </w:p>
</w:hdr>
</file>

<file path=word/header1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0A2C2" w14:textId="77777777" w:rsidR="00275C49" w:rsidRPr="00ED64B3" w:rsidRDefault="00275C49">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53FA7" w14:textId="77777777" w:rsidR="006A41D9" w:rsidRPr="00ED64B3" w:rsidRDefault="006A41D9" w:rsidP="00BD6DD1">
    <w:pPr>
      <w:pStyle w:val="Header"/>
    </w:pPr>
  </w:p>
</w:hdr>
</file>

<file path=word/header1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3075B" w14:textId="77777777" w:rsidR="00BD6DD1" w:rsidRPr="00ED64B3" w:rsidRDefault="00BD6DD1" w:rsidP="00BD6DD1">
    <w:pPr>
      <w:pStyle w:val="Header"/>
    </w:pPr>
  </w:p>
</w:hdr>
</file>

<file path=word/header1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C0FD6E" w14:textId="77777777" w:rsidR="00243DEB" w:rsidRPr="00ED64B3" w:rsidRDefault="00243DEB">
    <w:pPr>
      <w:pStyle w:val="Header"/>
    </w:pPr>
  </w:p>
</w:hdr>
</file>

<file path=word/header1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4801B" w14:textId="77777777" w:rsidR="00BD6DD1" w:rsidRPr="00ED64B3" w:rsidRDefault="00BD6DD1" w:rsidP="00BD6DD1">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E8B6A" w14:textId="77777777" w:rsidR="006A41D9" w:rsidRPr="00ED64B3" w:rsidRDefault="006A41D9" w:rsidP="00BD6DD1">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B0FCB" w14:textId="77777777" w:rsidR="006A41D9" w:rsidRPr="00ED64B3" w:rsidRDefault="006A41D9" w:rsidP="00BD6DD1">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C009E" w14:textId="77777777" w:rsidR="006B79E9" w:rsidRPr="00ED64B3" w:rsidRDefault="006B79E9" w:rsidP="00BD6D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92B85A" w14:textId="77777777" w:rsidR="00D26A48" w:rsidRPr="00D26A48" w:rsidRDefault="00D26A48" w:rsidP="00D26A48">
    <w:pPr>
      <w:pStyle w:val="HeaderCoverPage"/>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B740A" w14:textId="77777777" w:rsidR="006B79E9" w:rsidRPr="00ED64B3" w:rsidRDefault="006B79E9" w:rsidP="00BD6DD1">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8530A" w14:textId="77777777" w:rsidR="006B79E9" w:rsidRPr="00ED64B3" w:rsidRDefault="006B79E9" w:rsidP="00BD6DD1">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48E4D" w14:textId="77777777" w:rsidR="006A41D9" w:rsidRPr="00ED64B3" w:rsidRDefault="006A41D9" w:rsidP="00BD6DD1">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3CD81" w14:textId="77777777" w:rsidR="006A41D9" w:rsidRPr="00ED64B3" w:rsidRDefault="006A41D9" w:rsidP="00BD6DD1">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49A260" w14:textId="77777777" w:rsidR="006A41D9" w:rsidRPr="00ED64B3" w:rsidRDefault="006A41D9" w:rsidP="00BD6DD1">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67EBD" w14:textId="77777777" w:rsidR="006B79E9" w:rsidRPr="00ED64B3" w:rsidRDefault="006B79E9" w:rsidP="00BD6DD1">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605B6" w14:textId="77777777" w:rsidR="006B79E9" w:rsidRPr="00ED64B3" w:rsidRDefault="006B79E9" w:rsidP="00BD6DD1">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217E06" w14:textId="77777777" w:rsidR="006B79E9" w:rsidRPr="00ED64B3" w:rsidRDefault="006B79E9" w:rsidP="00BD6DD1">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9B717" w14:textId="77777777" w:rsidR="006A41D9" w:rsidRPr="00ED64B3" w:rsidRDefault="006A41D9" w:rsidP="00BD6DD1">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478A3" w14:textId="77777777" w:rsidR="006A41D9" w:rsidRPr="00ED64B3" w:rsidRDefault="006A41D9" w:rsidP="00BD6D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BFFC4" w14:textId="77777777" w:rsidR="00D26A48" w:rsidRPr="00D26A48" w:rsidRDefault="00D26A48" w:rsidP="00D26A48">
    <w:pPr>
      <w:pStyle w:val="HeaderCoverPage"/>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DE8AF" w14:textId="77777777" w:rsidR="006A41D9" w:rsidRPr="00ED64B3" w:rsidRDefault="006A41D9" w:rsidP="00BD6DD1">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4CE20" w14:textId="77777777" w:rsidR="006B79E9" w:rsidRPr="00ED64B3" w:rsidRDefault="006B79E9" w:rsidP="00BD6DD1">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94BC5" w14:textId="77777777" w:rsidR="006B79E9" w:rsidRPr="00ED64B3" w:rsidRDefault="006B79E9" w:rsidP="00BD6DD1">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BD827" w14:textId="77777777" w:rsidR="006B79E9" w:rsidRPr="00ED64B3" w:rsidRDefault="006B79E9" w:rsidP="00BD6DD1">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DA767" w14:textId="77777777" w:rsidR="006A41D9" w:rsidRPr="00ED64B3" w:rsidRDefault="006A41D9" w:rsidP="00BD6DD1">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EB4B2" w14:textId="77777777" w:rsidR="006A41D9" w:rsidRPr="00ED64B3" w:rsidRDefault="006A41D9" w:rsidP="00BD6DD1">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EE625" w14:textId="77777777" w:rsidR="006A41D9" w:rsidRPr="00ED64B3" w:rsidRDefault="006A41D9" w:rsidP="00BD6DD1">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D7FB8" w14:textId="77777777" w:rsidR="00243DEB" w:rsidRPr="00ED64B3" w:rsidRDefault="00243DEB" w:rsidP="00BD6DD1">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BE3AF" w14:textId="77777777" w:rsidR="00243DEB" w:rsidRPr="00ED64B3" w:rsidRDefault="00243DEB" w:rsidP="00BD6DD1">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8938D" w14:textId="77777777" w:rsidR="00243DEB" w:rsidRPr="00ED64B3" w:rsidRDefault="00243DEB" w:rsidP="00BD6DD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A7D8D" w14:textId="77777777" w:rsidR="006A41D9" w:rsidRPr="00ED64B3" w:rsidRDefault="006A41D9" w:rsidP="00BD6DD1">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9247D" w14:textId="77777777" w:rsidR="00243DEB" w:rsidRPr="00ED64B3" w:rsidRDefault="00243DEB" w:rsidP="00BD6DD1">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57BB3" w14:textId="77777777" w:rsidR="00243DEB" w:rsidRPr="00ED64B3" w:rsidRDefault="00243DEB" w:rsidP="00BD6DD1">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612E0" w14:textId="77777777" w:rsidR="00243DEB" w:rsidRPr="00ED64B3" w:rsidRDefault="00243DEB" w:rsidP="00BD6DD1">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731AF" w14:textId="77777777" w:rsidR="006B79E9" w:rsidRPr="00ED64B3" w:rsidRDefault="006B79E9" w:rsidP="00BD6DD1">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B4B5C" w14:textId="77777777" w:rsidR="006B79E9" w:rsidRPr="00ED64B3" w:rsidRDefault="006B79E9" w:rsidP="00BD6DD1">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AB091" w14:textId="77777777" w:rsidR="006B79E9" w:rsidRPr="00ED64B3" w:rsidRDefault="006B79E9" w:rsidP="00BD6DD1">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5EB08" w14:textId="77777777" w:rsidR="006A41D9" w:rsidRPr="00ED64B3" w:rsidRDefault="006A41D9" w:rsidP="00BD6DD1">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78B17" w14:textId="77777777" w:rsidR="006A41D9" w:rsidRPr="00ED64B3" w:rsidRDefault="006A41D9" w:rsidP="00BD6DD1">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C9A66" w14:textId="77777777" w:rsidR="006A41D9" w:rsidRPr="00ED64B3" w:rsidRDefault="006A41D9" w:rsidP="00BD6DD1">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814C28" w14:textId="77777777" w:rsidR="006B79E9" w:rsidRPr="00ED64B3" w:rsidRDefault="006B79E9" w:rsidP="00BD6DD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B24D4" w14:textId="77777777" w:rsidR="006A41D9" w:rsidRPr="00ED64B3" w:rsidRDefault="006A41D9" w:rsidP="00BD6DD1">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2FE4E" w14:textId="77777777" w:rsidR="006B79E9" w:rsidRPr="00ED64B3" w:rsidRDefault="006B79E9" w:rsidP="00BD6DD1">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03D0A2" w14:textId="77777777" w:rsidR="006B79E9" w:rsidRPr="00ED64B3" w:rsidRDefault="006B79E9" w:rsidP="00BD6DD1">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97148" w14:textId="77777777" w:rsidR="005531F9" w:rsidRPr="00ED64B3" w:rsidRDefault="005531F9" w:rsidP="00BD6DD1">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109F4" w14:textId="77777777" w:rsidR="005531F9" w:rsidRPr="00ED64B3" w:rsidRDefault="005531F9" w:rsidP="00BD6DD1">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B245E" w14:textId="77777777" w:rsidR="005531F9" w:rsidRPr="00ED64B3" w:rsidRDefault="005531F9" w:rsidP="00BD6DD1">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5FD9B" w14:textId="77777777" w:rsidR="006B79E9" w:rsidRPr="00ED64B3" w:rsidRDefault="006B79E9" w:rsidP="00BD6DD1">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C901C" w14:textId="77777777" w:rsidR="006B79E9" w:rsidRPr="00ED64B3" w:rsidRDefault="006B79E9" w:rsidP="00BD6DD1">
    <w:pPr>
      <w:pStyle w:val="Header"/>
    </w:pPr>
  </w:p>
</w:hdr>
</file>

<file path=word/header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96E2C" w14:textId="77777777" w:rsidR="006B79E9" w:rsidRPr="00ED64B3" w:rsidRDefault="006B79E9" w:rsidP="00BD6DD1">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0574F" w14:textId="77777777" w:rsidR="006A41D9" w:rsidRPr="00ED64B3" w:rsidRDefault="006A41D9" w:rsidP="00BD6DD1">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7B57F" w14:textId="77777777" w:rsidR="006A41D9" w:rsidRPr="00ED64B3" w:rsidRDefault="006A41D9" w:rsidP="00BD6DD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7E36D" w14:textId="77777777" w:rsidR="006A41D9" w:rsidRPr="00ED64B3" w:rsidRDefault="006A41D9" w:rsidP="00BD6DD1">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0BDC69" w14:textId="77777777" w:rsidR="006A41D9" w:rsidRPr="00ED64B3" w:rsidRDefault="006A41D9" w:rsidP="00BD6DD1">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26FE0" w14:textId="77777777" w:rsidR="006B79E9" w:rsidRPr="00ED64B3" w:rsidRDefault="006B79E9" w:rsidP="00BD6DD1">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9A6C5" w14:textId="77777777" w:rsidR="006B79E9" w:rsidRPr="00ED64B3" w:rsidRDefault="006B79E9" w:rsidP="00BD6DD1">
    <w:pPr>
      <w:pStyle w:val="Header"/>
    </w:pPr>
  </w:p>
</w:hdr>
</file>

<file path=word/header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6E19B" w14:textId="77777777" w:rsidR="006B79E9" w:rsidRPr="00ED64B3" w:rsidRDefault="006B79E9" w:rsidP="00BD6DD1">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7C9B7" w14:textId="77777777" w:rsidR="006A41D9" w:rsidRPr="00ED64B3" w:rsidRDefault="006A41D9" w:rsidP="00BD6DD1">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0756A" w14:textId="77777777" w:rsidR="006A41D9" w:rsidRPr="00ED64B3" w:rsidRDefault="006A41D9" w:rsidP="00BD6DD1">
    <w:pPr>
      <w:pStyle w:val="Header"/>
    </w:pPr>
  </w:p>
</w:hdr>
</file>

<file path=word/header6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CA3A1" w14:textId="77777777" w:rsidR="006A41D9" w:rsidRPr="00ED64B3" w:rsidRDefault="006A41D9" w:rsidP="00BD6DD1">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4B0DA" w14:textId="77777777" w:rsidR="006B79E9" w:rsidRPr="00ED64B3" w:rsidRDefault="006B79E9" w:rsidP="00BD6DD1">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9662C" w14:textId="77777777" w:rsidR="006B79E9" w:rsidRPr="00ED64B3" w:rsidRDefault="006B79E9" w:rsidP="00BD6DD1">
    <w:pPr>
      <w:pStyle w:val="Header"/>
    </w:pPr>
  </w:p>
</w:hdr>
</file>

<file path=word/header6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B3D7D" w14:textId="77777777" w:rsidR="006B79E9" w:rsidRPr="00ED64B3" w:rsidRDefault="006B79E9" w:rsidP="00BD6DD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F266E" w14:textId="77777777" w:rsidR="006B79E9" w:rsidRPr="00ED64B3" w:rsidRDefault="006B79E9" w:rsidP="00BD6DD1">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8EADD" w14:textId="77777777" w:rsidR="006A41D9" w:rsidRPr="00ED64B3" w:rsidRDefault="006A41D9" w:rsidP="00BD6DD1">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AA959" w14:textId="77777777" w:rsidR="006A41D9" w:rsidRPr="00ED64B3" w:rsidRDefault="006A41D9" w:rsidP="00BD6DD1">
    <w:pPr>
      <w:pStyle w:val="Header"/>
    </w:pPr>
  </w:p>
</w:hdr>
</file>

<file path=word/header7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F7AA3" w14:textId="77777777" w:rsidR="006A41D9" w:rsidRPr="00ED64B3" w:rsidRDefault="006A41D9" w:rsidP="00BD6DD1">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BA04B" w14:textId="77777777" w:rsidR="006B79E9" w:rsidRPr="00ED64B3" w:rsidRDefault="006B79E9" w:rsidP="00BD6DD1">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8E9BF" w14:textId="77777777" w:rsidR="006B79E9" w:rsidRPr="00ED64B3" w:rsidRDefault="006B79E9" w:rsidP="00BD6DD1">
    <w:pPr>
      <w:pStyle w:val="Header"/>
    </w:pPr>
  </w:p>
</w:hdr>
</file>

<file path=word/header7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12C60" w14:textId="77777777" w:rsidR="006B79E9" w:rsidRPr="00ED64B3" w:rsidRDefault="006B79E9" w:rsidP="00BD6DD1">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0A52B" w14:textId="77777777" w:rsidR="006A41D9" w:rsidRPr="00ED64B3" w:rsidRDefault="006A41D9" w:rsidP="00BD6DD1">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23B01" w14:textId="77777777" w:rsidR="006A41D9" w:rsidRPr="00ED64B3" w:rsidRDefault="006A41D9" w:rsidP="00BD6DD1">
    <w:pPr>
      <w:pStyle w:val="Header"/>
    </w:pPr>
  </w:p>
</w:hdr>
</file>

<file path=word/header7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A14B6" w14:textId="77777777" w:rsidR="006A41D9" w:rsidRPr="00ED64B3" w:rsidRDefault="006A41D9" w:rsidP="00BD6DD1">
    <w:pPr>
      <w:pStyle w:val="Header"/>
    </w:pPr>
  </w:p>
</w:hdr>
</file>

<file path=word/header7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F7A45" w14:textId="77777777" w:rsidR="006B79E9" w:rsidRPr="00ED64B3" w:rsidRDefault="006B79E9" w:rsidP="00BD6DD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900F6" w14:textId="77777777" w:rsidR="006B79E9" w:rsidRPr="00ED64B3" w:rsidRDefault="006B79E9" w:rsidP="00BD6DD1">
    <w:pPr>
      <w:pStyle w:val="Header"/>
    </w:pPr>
  </w:p>
</w:hdr>
</file>

<file path=word/header8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6C5EC" w14:textId="77777777" w:rsidR="006B79E9" w:rsidRPr="00ED64B3" w:rsidRDefault="006B79E9" w:rsidP="00BD6DD1">
    <w:pPr>
      <w:pStyle w:val="Header"/>
    </w:pPr>
  </w:p>
</w:hdr>
</file>

<file path=word/header8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77D01" w14:textId="77777777" w:rsidR="006B79E9" w:rsidRPr="00ED64B3" w:rsidRDefault="006B79E9" w:rsidP="00BD6DD1">
    <w:pPr>
      <w:pStyle w:val="Header"/>
    </w:pPr>
  </w:p>
</w:hdr>
</file>

<file path=word/header8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691E7C" w14:textId="77777777" w:rsidR="006A41D9" w:rsidRPr="00ED64B3" w:rsidRDefault="006A41D9" w:rsidP="00BD6DD1">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D10C2" w14:textId="77777777" w:rsidR="006A41D9" w:rsidRPr="00ED64B3" w:rsidRDefault="006A41D9" w:rsidP="00BD6DD1">
    <w:pPr>
      <w:pStyle w:val="Header"/>
    </w:pPr>
  </w:p>
</w:hdr>
</file>

<file path=word/header8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2D331" w14:textId="77777777" w:rsidR="006A41D9" w:rsidRPr="00ED64B3" w:rsidRDefault="006A41D9" w:rsidP="00BD6DD1">
    <w:pPr>
      <w:pStyle w:val="Header"/>
    </w:pPr>
  </w:p>
</w:hdr>
</file>

<file path=word/header8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DFE9C" w14:textId="77777777" w:rsidR="006B79E9" w:rsidRPr="00ED64B3" w:rsidRDefault="006B79E9" w:rsidP="00BD6DD1">
    <w:pPr>
      <w:pStyle w:val="Header"/>
    </w:pPr>
  </w:p>
</w:hdr>
</file>

<file path=word/header8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3CEE3" w14:textId="77777777" w:rsidR="006B79E9" w:rsidRPr="00ED64B3" w:rsidRDefault="006B79E9" w:rsidP="00BD6DD1">
    <w:pPr>
      <w:pStyle w:val="Header"/>
    </w:pPr>
  </w:p>
</w:hdr>
</file>

<file path=word/header8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AB5E2" w14:textId="77777777" w:rsidR="006B79E9" w:rsidRPr="00ED64B3" w:rsidRDefault="006B79E9" w:rsidP="00BD6DD1">
    <w:pPr>
      <w:pStyle w:val="Header"/>
    </w:pPr>
  </w:p>
</w:hdr>
</file>

<file path=word/header8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DB29D" w14:textId="77777777" w:rsidR="00525BB4" w:rsidRPr="00ED64B3" w:rsidRDefault="00525BB4">
    <w:pPr>
      <w:pStyle w:val="Header"/>
    </w:pPr>
  </w:p>
</w:hdr>
</file>

<file path=word/header8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84964" w14:textId="77777777" w:rsidR="00525BB4" w:rsidRPr="00ED64B3" w:rsidRDefault="00525BB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42543" w14:textId="77777777" w:rsidR="006B79E9" w:rsidRPr="00ED64B3" w:rsidRDefault="006B79E9" w:rsidP="00BD6DD1">
    <w:pPr>
      <w:pStyle w:val="Header"/>
    </w:pPr>
  </w:p>
</w:hdr>
</file>

<file path=word/header9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BBD1B" w14:textId="77777777" w:rsidR="00525BB4" w:rsidRPr="00ED64B3" w:rsidRDefault="00525BB4">
    <w:pPr>
      <w:pStyle w:val="Header"/>
    </w:pPr>
  </w:p>
</w:hdr>
</file>

<file path=word/header9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7E9B9" w14:textId="77777777" w:rsidR="006B79E9" w:rsidRPr="00ED64B3" w:rsidRDefault="006B79E9">
    <w:pPr>
      <w:pStyle w:val="Header"/>
    </w:pPr>
  </w:p>
</w:hdr>
</file>

<file path=word/header9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1BF66" w14:textId="77777777" w:rsidR="006B79E9" w:rsidRPr="00ED64B3" w:rsidRDefault="006B79E9">
    <w:pPr>
      <w:pStyle w:val="Header"/>
    </w:pPr>
  </w:p>
</w:hdr>
</file>

<file path=word/header9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4F5880" w14:textId="77777777" w:rsidR="006B79E9" w:rsidRPr="00ED64B3" w:rsidRDefault="006B79E9">
    <w:pPr>
      <w:pStyle w:val="Header"/>
    </w:pPr>
  </w:p>
</w:hdr>
</file>

<file path=word/header9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F8B94" w14:textId="77777777" w:rsidR="006A41D9" w:rsidRPr="00ED64B3" w:rsidRDefault="006A41D9" w:rsidP="00BD6DD1">
    <w:pPr>
      <w:pStyle w:val="Header"/>
    </w:pPr>
  </w:p>
</w:hdr>
</file>

<file path=word/header9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EA329" w14:textId="77777777" w:rsidR="006A41D9" w:rsidRPr="00ED64B3" w:rsidRDefault="006A41D9" w:rsidP="00BD6DD1">
    <w:pPr>
      <w:pStyle w:val="Header"/>
    </w:pPr>
  </w:p>
</w:hdr>
</file>

<file path=word/header9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D7805" w14:textId="77777777" w:rsidR="006A41D9" w:rsidRPr="00ED64B3" w:rsidRDefault="006A41D9" w:rsidP="00BD6DD1">
    <w:pPr>
      <w:pStyle w:val="Header"/>
    </w:pPr>
  </w:p>
</w:hdr>
</file>

<file path=word/header9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888A8" w14:textId="77777777" w:rsidR="006B79E9" w:rsidRPr="00ED64B3" w:rsidRDefault="006B79E9" w:rsidP="00BD6DD1">
    <w:pPr>
      <w:pStyle w:val="Header"/>
    </w:pPr>
  </w:p>
</w:hdr>
</file>

<file path=word/header9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74AED" w14:textId="77777777" w:rsidR="006B79E9" w:rsidRPr="00ED64B3" w:rsidRDefault="006B79E9" w:rsidP="00BD6DD1">
    <w:pPr>
      <w:pStyle w:val="Header"/>
    </w:pPr>
  </w:p>
</w:hdr>
</file>

<file path=word/header9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05B36" w14:textId="77777777" w:rsidR="006B79E9" w:rsidRPr="00ED64B3" w:rsidRDefault="006B79E9" w:rsidP="00BD6D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76D6568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0B76FBE4"/>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EF6A5B44"/>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71682140"/>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BBC045FC"/>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4EC6180"/>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30268B58"/>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D31E9FD2"/>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2CB5F8F"/>
    <w:multiLevelType w:val="hybridMultilevel"/>
    <w:tmpl w:val="79D685A2"/>
    <w:lvl w:ilvl="0" w:tplc="F0F2FA58">
      <w:start w:val="1"/>
      <w:numFmt w:val="bullet"/>
      <w:lvlText w:val="-"/>
      <w:lvlJc w:val="left"/>
      <w:pPr>
        <w:ind w:left="720" w:hanging="360"/>
      </w:pPr>
      <w:rPr>
        <w:rFonts w:ascii="Calibri" w:hAnsi="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045B5649"/>
    <w:multiLevelType w:val="hybridMultilevel"/>
    <w:tmpl w:val="08840EB2"/>
    <w:lvl w:ilvl="0" w:tplc="DA882816">
      <w:start w:val="8"/>
      <w:numFmt w:val="bullet"/>
      <w:lvlText w:val="-"/>
      <w:lvlJc w:val="left"/>
      <w:pPr>
        <w:ind w:left="360" w:hanging="360"/>
      </w:pPr>
      <w:rPr>
        <w:rFonts w:ascii="Times New Roman" w:eastAsiaTheme="minorHAnsi" w:hAnsi="Times New Roman" w:cs="Times New Roman" w:hint="default"/>
        <w:u w:val="no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56115E9"/>
    <w:multiLevelType w:val="hybridMultilevel"/>
    <w:tmpl w:val="0AEEC256"/>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1" w15:restartNumberingAfterBreak="0">
    <w:nsid w:val="06C60A37"/>
    <w:multiLevelType w:val="hybridMultilevel"/>
    <w:tmpl w:val="47167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BB5467A"/>
    <w:multiLevelType w:val="hybridMultilevel"/>
    <w:tmpl w:val="FEFCC8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153A144A"/>
    <w:multiLevelType w:val="hybridMultilevel"/>
    <w:tmpl w:val="3F726C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5" w15:restartNumberingAfterBreak="0">
    <w:nsid w:val="1E5D0DF6"/>
    <w:multiLevelType w:val="hybridMultilevel"/>
    <w:tmpl w:val="A55A1E30"/>
    <w:name w:val="Considérant2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2E44180"/>
    <w:multiLevelType w:val="multilevel"/>
    <w:tmpl w:val="72C43302"/>
    <w:name w:val="NumPar"/>
    <w:lvl w:ilvl="0">
      <w:start w:val="1"/>
      <w:numFmt w:val="decimal"/>
      <w:lvlRestart w:val="0"/>
      <w:pStyle w:val="NumPar1"/>
      <w:lvlText w:val="%1."/>
      <w:lvlJc w:val="left"/>
      <w:pPr>
        <w:tabs>
          <w:tab w:val="num" w:pos="850"/>
        </w:tabs>
        <w:ind w:left="850" w:hanging="850"/>
      </w:pPr>
      <w:rPr>
        <w:rFonts w:hint="default"/>
      </w:rPr>
    </w:lvl>
    <w:lvl w:ilvl="1">
      <w:start w:val="1"/>
      <w:numFmt w:val="decimal"/>
      <w:pStyle w:val="NumPar2"/>
      <w:lvlText w:val="%1.%2."/>
      <w:lvlJc w:val="left"/>
      <w:pPr>
        <w:tabs>
          <w:tab w:val="num" w:pos="850"/>
        </w:tabs>
        <w:ind w:left="850" w:hanging="850"/>
      </w:pPr>
      <w:rPr>
        <w:rFonts w:hint="default"/>
      </w:rPr>
    </w:lvl>
    <w:lvl w:ilvl="2">
      <w:start w:val="1"/>
      <w:numFmt w:val="decimal"/>
      <w:pStyle w:val="NumPar3"/>
      <w:lvlText w:val="%1.%2.%3."/>
      <w:lvlJc w:val="left"/>
      <w:pPr>
        <w:tabs>
          <w:tab w:val="num" w:pos="850"/>
        </w:tabs>
        <w:ind w:left="850" w:hanging="850"/>
      </w:pPr>
      <w:rPr>
        <w:rFonts w:hint="default"/>
      </w:rPr>
    </w:lvl>
    <w:lvl w:ilvl="3">
      <w:start w:val="1"/>
      <w:numFmt w:val="decimal"/>
      <w:pStyle w:val="NumPar4"/>
      <w:lvlText w:val="%1.%2.%3.%4."/>
      <w:lvlJc w:val="left"/>
      <w:pPr>
        <w:tabs>
          <w:tab w:val="num" w:pos="850"/>
        </w:tabs>
        <w:ind w:left="850" w:hanging="85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33F5575"/>
    <w:multiLevelType w:val="hybridMultilevel"/>
    <w:tmpl w:val="4F3C0CCC"/>
    <w:lvl w:ilvl="0" w:tplc="ED5C6F18">
      <w:start w:val="1"/>
      <w:numFmt w:val="decimal"/>
      <w:pStyle w:val="Titresection"/>
      <w:lvlText w:val="%1."/>
      <w:lvlJc w:val="left"/>
      <w:pPr>
        <w:ind w:left="720" w:hanging="360"/>
      </w:pPr>
      <w:rPr>
        <w:rFonts w:hint="default"/>
      </w:rPr>
    </w:lvl>
    <w:lvl w:ilvl="1" w:tplc="61D6B87C">
      <w:start w:val="1"/>
      <w:numFmt w:val="decimal"/>
      <w:lvlText w:val="(%2)"/>
      <w:lvlJc w:val="left"/>
      <w:pPr>
        <w:ind w:left="1440" w:hanging="360"/>
      </w:pPr>
      <w:rPr>
        <w:rFonts w:hint="default"/>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243D67C3"/>
    <w:multiLevelType w:val="hybridMultilevel"/>
    <w:tmpl w:val="E17CF4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28353A97"/>
    <w:multiLevelType w:val="hybridMultilevel"/>
    <w:tmpl w:val="E46C8F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29321018"/>
    <w:multiLevelType w:val="hybridMultilevel"/>
    <w:tmpl w:val="4446BD2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2A4013CF"/>
    <w:multiLevelType w:val="hybridMultilevel"/>
    <w:tmpl w:val="4C20B872"/>
    <w:lvl w:ilvl="0" w:tplc="DA882816">
      <w:start w:val="8"/>
      <w:numFmt w:val="bullet"/>
      <w:lvlText w:val="-"/>
      <w:lvlJc w:val="left"/>
      <w:pPr>
        <w:ind w:left="1210" w:hanging="360"/>
      </w:pPr>
      <w:rPr>
        <w:rFonts w:ascii="Times New Roman" w:eastAsiaTheme="minorHAnsi" w:hAnsi="Times New Roman" w:cs="Times New Roman" w:hint="default"/>
        <w:u w:val="none"/>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2B08044A"/>
    <w:multiLevelType w:val="hybridMultilevel"/>
    <w:tmpl w:val="612642C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3" w15:restartNumberingAfterBreak="0">
    <w:nsid w:val="2CAA4342"/>
    <w:multiLevelType w:val="hybridMultilevel"/>
    <w:tmpl w:val="D72435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5"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26" w15:restartNumberingAfterBreak="0">
    <w:nsid w:val="2FB02DCC"/>
    <w:multiLevelType w:val="hybridMultilevel"/>
    <w:tmpl w:val="736EABCC"/>
    <w:lvl w:ilvl="0" w:tplc="18090001">
      <w:start w:val="1"/>
      <w:numFmt w:val="bullet"/>
      <w:lvlText w:val=""/>
      <w:lvlJc w:val="left"/>
      <w:pPr>
        <w:ind w:left="1210" w:hanging="360"/>
      </w:pPr>
      <w:rPr>
        <w:rFonts w:ascii="Symbol" w:hAnsi="Symbol" w:hint="default"/>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0031E7D"/>
    <w:multiLevelType w:val="hybridMultilevel"/>
    <w:tmpl w:val="B40CB83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8" w15:restartNumberingAfterBreak="0">
    <w:nsid w:val="33772CE6"/>
    <w:multiLevelType w:val="hybridMultilevel"/>
    <w:tmpl w:val="E406802C"/>
    <w:lvl w:ilvl="0" w:tplc="FFFFFFFF">
      <w:start w:val="1"/>
      <w:numFmt w:val="lowerLetter"/>
      <w:pStyle w:val="Titresous-section"/>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9" w15:restartNumberingAfterBreak="0">
    <w:nsid w:val="33A61FA6"/>
    <w:multiLevelType w:val="hybridMultilevel"/>
    <w:tmpl w:val="C832ACE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30" w15:restartNumberingAfterBreak="0">
    <w:nsid w:val="3BC94B12"/>
    <w:multiLevelType w:val="hybridMultilevel"/>
    <w:tmpl w:val="7BFC18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3C850ACC"/>
    <w:multiLevelType w:val="hybridMultilevel"/>
    <w:tmpl w:val="A4F02504"/>
    <w:lvl w:ilvl="0" w:tplc="080C0001">
      <w:start w:val="1"/>
      <w:numFmt w:val="bullet"/>
      <w:lvlText w:val=""/>
      <w:lvlJc w:val="left"/>
      <w:pPr>
        <w:ind w:left="3010" w:hanging="360"/>
      </w:pPr>
      <w:rPr>
        <w:rFonts w:ascii="Symbol" w:hAnsi="Symbol" w:hint="default"/>
      </w:rPr>
    </w:lvl>
    <w:lvl w:ilvl="1" w:tplc="080C0003" w:tentative="1">
      <w:start w:val="1"/>
      <w:numFmt w:val="bullet"/>
      <w:lvlText w:val="o"/>
      <w:lvlJc w:val="left"/>
      <w:pPr>
        <w:ind w:left="3730" w:hanging="360"/>
      </w:pPr>
      <w:rPr>
        <w:rFonts w:ascii="Courier New" w:hAnsi="Courier New" w:cs="Courier New" w:hint="default"/>
      </w:rPr>
    </w:lvl>
    <w:lvl w:ilvl="2" w:tplc="080C0005" w:tentative="1">
      <w:start w:val="1"/>
      <w:numFmt w:val="bullet"/>
      <w:lvlText w:val=""/>
      <w:lvlJc w:val="left"/>
      <w:pPr>
        <w:ind w:left="4450" w:hanging="360"/>
      </w:pPr>
      <w:rPr>
        <w:rFonts w:ascii="Wingdings" w:hAnsi="Wingdings" w:hint="default"/>
      </w:rPr>
    </w:lvl>
    <w:lvl w:ilvl="3" w:tplc="080C0001" w:tentative="1">
      <w:start w:val="1"/>
      <w:numFmt w:val="bullet"/>
      <w:lvlText w:val=""/>
      <w:lvlJc w:val="left"/>
      <w:pPr>
        <w:ind w:left="5170" w:hanging="360"/>
      </w:pPr>
      <w:rPr>
        <w:rFonts w:ascii="Symbol" w:hAnsi="Symbol" w:hint="default"/>
      </w:rPr>
    </w:lvl>
    <w:lvl w:ilvl="4" w:tplc="080C0003" w:tentative="1">
      <w:start w:val="1"/>
      <w:numFmt w:val="bullet"/>
      <w:lvlText w:val="o"/>
      <w:lvlJc w:val="left"/>
      <w:pPr>
        <w:ind w:left="5890" w:hanging="360"/>
      </w:pPr>
      <w:rPr>
        <w:rFonts w:ascii="Courier New" w:hAnsi="Courier New" w:cs="Courier New" w:hint="default"/>
      </w:rPr>
    </w:lvl>
    <w:lvl w:ilvl="5" w:tplc="080C0005" w:tentative="1">
      <w:start w:val="1"/>
      <w:numFmt w:val="bullet"/>
      <w:lvlText w:val=""/>
      <w:lvlJc w:val="left"/>
      <w:pPr>
        <w:ind w:left="6610" w:hanging="360"/>
      </w:pPr>
      <w:rPr>
        <w:rFonts w:ascii="Wingdings" w:hAnsi="Wingdings" w:hint="default"/>
      </w:rPr>
    </w:lvl>
    <w:lvl w:ilvl="6" w:tplc="080C0001" w:tentative="1">
      <w:start w:val="1"/>
      <w:numFmt w:val="bullet"/>
      <w:lvlText w:val=""/>
      <w:lvlJc w:val="left"/>
      <w:pPr>
        <w:ind w:left="7330" w:hanging="360"/>
      </w:pPr>
      <w:rPr>
        <w:rFonts w:ascii="Symbol" w:hAnsi="Symbol" w:hint="default"/>
      </w:rPr>
    </w:lvl>
    <w:lvl w:ilvl="7" w:tplc="080C0003" w:tentative="1">
      <w:start w:val="1"/>
      <w:numFmt w:val="bullet"/>
      <w:lvlText w:val="o"/>
      <w:lvlJc w:val="left"/>
      <w:pPr>
        <w:ind w:left="8050" w:hanging="360"/>
      </w:pPr>
      <w:rPr>
        <w:rFonts w:ascii="Courier New" w:hAnsi="Courier New" w:cs="Courier New" w:hint="default"/>
      </w:rPr>
    </w:lvl>
    <w:lvl w:ilvl="8" w:tplc="080C0005" w:tentative="1">
      <w:start w:val="1"/>
      <w:numFmt w:val="bullet"/>
      <w:lvlText w:val=""/>
      <w:lvlJc w:val="left"/>
      <w:pPr>
        <w:ind w:left="8770" w:hanging="360"/>
      </w:pPr>
      <w:rPr>
        <w:rFonts w:ascii="Wingdings" w:hAnsi="Wingdings" w:hint="default"/>
      </w:rPr>
    </w:lvl>
  </w:abstractNum>
  <w:abstractNum w:abstractNumId="32" w15:restartNumberingAfterBreak="0">
    <w:nsid w:val="3D215F95"/>
    <w:multiLevelType w:val="hybridMultilevel"/>
    <w:tmpl w:val="340E816C"/>
    <w:lvl w:ilvl="0" w:tplc="DA882816">
      <w:start w:val="8"/>
      <w:numFmt w:val="bullet"/>
      <w:lvlText w:val="-"/>
      <w:lvlJc w:val="left"/>
      <w:pPr>
        <w:ind w:left="1210" w:hanging="360"/>
      </w:pPr>
      <w:rPr>
        <w:rFonts w:ascii="Times New Roman" w:eastAsiaTheme="minorHAnsi" w:hAnsi="Times New Roman" w:cs="Times New Roman" w:hint="default"/>
        <w:u w:val="none"/>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33" w15:restartNumberingAfterBreak="0">
    <w:nsid w:val="3EDA7CD4"/>
    <w:multiLevelType w:val="hybridMultilevel"/>
    <w:tmpl w:val="468826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41883A10"/>
    <w:multiLevelType w:val="hybridMultilevel"/>
    <w:tmpl w:val="56DE05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41F17C43"/>
    <w:multiLevelType w:val="hybridMultilevel"/>
    <w:tmpl w:val="C4B4E8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7"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38"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9" w15:restartNumberingAfterBreak="0">
    <w:nsid w:val="4B901FE8"/>
    <w:multiLevelType w:val="hybridMultilevel"/>
    <w:tmpl w:val="8E5E4E2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4EB94DB1"/>
    <w:multiLevelType w:val="hybridMultilevel"/>
    <w:tmpl w:val="79E0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F98418F"/>
    <w:multiLevelType w:val="hybridMultilevel"/>
    <w:tmpl w:val="7E88BA9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51CA7A80"/>
    <w:multiLevelType w:val="hybridMultilevel"/>
    <w:tmpl w:val="95BCF0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52641C0D"/>
    <w:multiLevelType w:val="hybridMultilevel"/>
    <w:tmpl w:val="9D4CED6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4" w15:restartNumberingAfterBreak="0">
    <w:nsid w:val="55171206"/>
    <w:multiLevelType w:val="hybridMultilevel"/>
    <w:tmpl w:val="606C7A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5"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46" w15:restartNumberingAfterBreak="0">
    <w:nsid w:val="5A51A5EA"/>
    <w:multiLevelType w:val="hybridMultilevel"/>
    <w:tmpl w:val="FFFFFFFF"/>
    <w:lvl w:ilvl="0" w:tplc="E4C600CA">
      <w:start w:val="1"/>
      <w:numFmt w:val="bullet"/>
      <w:lvlText w:val=""/>
      <w:lvlJc w:val="left"/>
      <w:pPr>
        <w:ind w:left="720" w:hanging="360"/>
      </w:pPr>
      <w:rPr>
        <w:rFonts w:ascii="Symbol" w:hAnsi="Symbol" w:hint="default"/>
      </w:rPr>
    </w:lvl>
    <w:lvl w:ilvl="1" w:tplc="8EA829AA">
      <w:start w:val="1"/>
      <w:numFmt w:val="bullet"/>
      <w:lvlText w:val="o"/>
      <w:lvlJc w:val="left"/>
      <w:pPr>
        <w:ind w:left="1440" w:hanging="360"/>
      </w:pPr>
      <w:rPr>
        <w:rFonts w:ascii="Courier New" w:hAnsi="Courier New" w:hint="default"/>
      </w:rPr>
    </w:lvl>
    <w:lvl w:ilvl="2" w:tplc="DC16F8DA">
      <w:start w:val="1"/>
      <w:numFmt w:val="bullet"/>
      <w:lvlText w:val=""/>
      <w:lvlJc w:val="left"/>
      <w:pPr>
        <w:ind w:left="2160" w:hanging="360"/>
      </w:pPr>
      <w:rPr>
        <w:rFonts w:ascii="Wingdings" w:hAnsi="Wingdings" w:hint="default"/>
      </w:rPr>
    </w:lvl>
    <w:lvl w:ilvl="3" w:tplc="60400EB4">
      <w:start w:val="1"/>
      <w:numFmt w:val="bullet"/>
      <w:lvlText w:val=""/>
      <w:lvlJc w:val="left"/>
      <w:pPr>
        <w:ind w:left="2880" w:hanging="360"/>
      </w:pPr>
      <w:rPr>
        <w:rFonts w:ascii="Symbol" w:hAnsi="Symbol" w:hint="default"/>
      </w:rPr>
    </w:lvl>
    <w:lvl w:ilvl="4" w:tplc="7F8ED4C6">
      <w:start w:val="1"/>
      <w:numFmt w:val="bullet"/>
      <w:lvlText w:val="o"/>
      <w:lvlJc w:val="left"/>
      <w:pPr>
        <w:ind w:left="3600" w:hanging="360"/>
      </w:pPr>
      <w:rPr>
        <w:rFonts w:ascii="Courier New" w:hAnsi="Courier New" w:hint="default"/>
      </w:rPr>
    </w:lvl>
    <w:lvl w:ilvl="5" w:tplc="56B83648">
      <w:start w:val="1"/>
      <w:numFmt w:val="bullet"/>
      <w:lvlText w:val=""/>
      <w:lvlJc w:val="left"/>
      <w:pPr>
        <w:ind w:left="4320" w:hanging="360"/>
      </w:pPr>
      <w:rPr>
        <w:rFonts w:ascii="Wingdings" w:hAnsi="Wingdings" w:hint="default"/>
      </w:rPr>
    </w:lvl>
    <w:lvl w:ilvl="6" w:tplc="F7BECD68">
      <w:start w:val="1"/>
      <w:numFmt w:val="bullet"/>
      <w:lvlText w:val=""/>
      <w:lvlJc w:val="left"/>
      <w:pPr>
        <w:ind w:left="5040" w:hanging="360"/>
      </w:pPr>
      <w:rPr>
        <w:rFonts w:ascii="Symbol" w:hAnsi="Symbol" w:hint="default"/>
      </w:rPr>
    </w:lvl>
    <w:lvl w:ilvl="7" w:tplc="8E12DFEE">
      <w:start w:val="1"/>
      <w:numFmt w:val="bullet"/>
      <w:lvlText w:val="o"/>
      <w:lvlJc w:val="left"/>
      <w:pPr>
        <w:ind w:left="5760" w:hanging="360"/>
      </w:pPr>
      <w:rPr>
        <w:rFonts w:ascii="Courier New" w:hAnsi="Courier New" w:hint="default"/>
      </w:rPr>
    </w:lvl>
    <w:lvl w:ilvl="8" w:tplc="34200108">
      <w:start w:val="1"/>
      <w:numFmt w:val="bullet"/>
      <w:lvlText w:val=""/>
      <w:lvlJc w:val="left"/>
      <w:pPr>
        <w:ind w:left="6480" w:hanging="360"/>
      </w:pPr>
      <w:rPr>
        <w:rFonts w:ascii="Wingdings" w:hAnsi="Wingdings" w:hint="default"/>
      </w:rPr>
    </w:lvl>
  </w:abstractNum>
  <w:abstractNum w:abstractNumId="4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4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4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50" w15:restartNumberingAfterBreak="0">
    <w:nsid w:val="64A12FA4"/>
    <w:multiLevelType w:val="multilevel"/>
    <w:tmpl w:val="428ECF3E"/>
    <w:name w:val="Heading"/>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67487442"/>
    <w:multiLevelType w:val="hybridMultilevel"/>
    <w:tmpl w:val="A092965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2"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53" w15:restartNumberingAfterBreak="0">
    <w:nsid w:val="6882BBEE"/>
    <w:multiLevelType w:val="hybridMultilevel"/>
    <w:tmpl w:val="FFFFFFFF"/>
    <w:lvl w:ilvl="0" w:tplc="BB924FB4">
      <w:start w:val="1"/>
      <w:numFmt w:val="bullet"/>
      <w:lvlText w:val=""/>
      <w:lvlJc w:val="left"/>
      <w:pPr>
        <w:ind w:left="720" w:hanging="360"/>
      </w:pPr>
      <w:rPr>
        <w:rFonts w:ascii="Symbol" w:hAnsi="Symbol" w:hint="default"/>
      </w:rPr>
    </w:lvl>
    <w:lvl w:ilvl="1" w:tplc="057E20C4">
      <w:start w:val="1"/>
      <w:numFmt w:val="bullet"/>
      <w:lvlText w:val="o"/>
      <w:lvlJc w:val="left"/>
      <w:pPr>
        <w:ind w:left="1440" w:hanging="360"/>
      </w:pPr>
      <w:rPr>
        <w:rFonts w:ascii="Courier New" w:hAnsi="Courier New" w:hint="default"/>
      </w:rPr>
    </w:lvl>
    <w:lvl w:ilvl="2" w:tplc="7A14CDF6">
      <w:start w:val="1"/>
      <w:numFmt w:val="bullet"/>
      <w:lvlText w:val=""/>
      <w:lvlJc w:val="left"/>
      <w:pPr>
        <w:ind w:left="2160" w:hanging="360"/>
      </w:pPr>
      <w:rPr>
        <w:rFonts w:ascii="Wingdings" w:hAnsi="Wingdings" w:hint="default"/>
      </w:rPr>
    </w:lvl>
    <w:lvl w:ilvl="3" w:tplc="D3A603D4">
      <w:start w:val="1"/>
      <w:numFmt w:val="bullet"/>
      <w:lvlText w:val=""/>
      <w:lvlJc w:val="left"/>
      <w:pPr>
        <w:ind w:left="2880" w:hanging="360"/>
      </w:pPr>
      <w:rPr>
        <w:rFonts w:ascii="Symbol" w:hAnsi="Symbol" w:hint="default"/>
      </w:rPr>
    </w:lvl>
    <w:lvl w:ilvl="4" w:tplc="1A942678">
      <w:start w:val="1"/>
      <w:numFmt w:val="bullet"/>
      <w:lvlText w:val="o"/>
      <w:lvlJc w:val="left"/>
      <w:pPr>
        <w:ind w:left="3600" w:hanging="360"/>
      </w:pPr>
      <w:rPr>
        <w:rFonts w:ascii="Courier New" w:hAnsi="Courier New" w:hint="default"/>
      </w:rPr>
    </w:lvl>
    <w:lvl w:ilvl="5" w:tplc="466861A4">
      <w:start w:val="1"/>
      <w:numFmt w:val="bullet"/>
      <w:lvlText w:val=""/>
      <w:lvlJc w:val="left"/>
      <w:pPr>
        <w:ind w:left="4320" w:hanging="360"/>
      </w:pPr>
      <w:rPr>
        <w:rFonts w:ascii="Wingdings" w:hAnsi="Wingdings" w:hint="default"/>
      </w:rPr>
    </w:lvl>
    <w:lvl w:ilvl="6" w:tplc="5D06036A">
      <w:start w:val="1"/>
      <w:numFmt w:val="bullet"/>
      <w:lvlText w:val=""/>
      <w:lvlJc w:val="left"/>
      <w:pPr>
        <w:ind w:left="5040" w:hanging="360"/>
      </w:pPr>
      <w:rPr>
        <w:rFonts w:ascii="Symbol" w:hAnsi="Symbol" w:hint="default"/>
      </w:rPr>
    </w:lvl>
    <w:lvl w:ilvl="7" w:tplc="765AFDBA">
      <w:start w:val="1"/>
      <w:numFmt w:val="bullet"/>
      <w:lvlText w:val="o"/>
      <w:lvlJc w:val="left"/>
      <w:pPr>
        <w:ind w:left="5760" w:hanging="360"/>
      </w:pPr>
      <w:rPr>
        <w:rFonts w:ascii="Courier New" w:hAnsi="Courier New" w:hint="default"/>
      </w:rPr>
    </w:lvl>
    <w:lvl w:ilvl="8" w:tplc="5BAC4E58">
      <w:start w:val="1"/>
      <w:numFmt w:val="bullet"/>
      <w:lvlText w:val=""/>
      <w:lvlJc w:val="left"/>
      <w:pPr>
        <w:ind w:left="6480" w:hanging="360"/>
      </w:pPr>
      <w:rPr>
        <w:rFonts w:ascii="Wingdings" w:hAnsi="Wingdings" w:hint="default"/>
      </w:rPr>
    </w:lvl>
  </w:abstractNum>
  <w:abstractNum w:abstractNumId="54" w15:restartNumberingAfterBreak="0">
    <w:nsid w:val="6A064933"/>
    <w:multiLevelType w:val="hybridMultilevel"/>
    <w:tmpl w:val="BCD4B7FA"/>
    <w:lvl w:ilvl="0" w:tplc="F33844AA">
      <w:start w:val="1"/>
      <w:numFmt w:val="upperRoman"/>
      <w:pStyle w:val="Gdtitrechapitre"/>
      <w:lvlText w:val="Partie %1."/>
      <w:lvlJc w:val="left"/>
      <w:pPr>
        <w:ind w:left="36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5" w15:restartNumberingAfterBreak="0">
    <w:nsid w:val="6A4B114A"/>
    <w:multiLevelType w:val="hybridMultilevel"/>
    <w:tmpl w:val="FE8271D0"/>
    <w:name w:val="NumPar2"/>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6" w15:restartNumberingAfterBreak="0">
    <w:nsid w:val="6BA03074"/>
    <w:multiLevelType w:val="hybridMultilevel"/>
    <w:tmpl w:val="09E4D2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7" w15:restartNumberingAfterBreak="0">
    <w:nsid w:val="6CB93D00"/>
    <w:multiLevelType w:val="hybridMultilevel"/>
    <w:tmpl w:val="C204A0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8" w15:restartNumberingAfterBreak="0">
    <w:nsid w:val="6DF4DC24"/>
    <w:multiLevelType w:val="hybridMultilevel"/>
    <w:tmpl w:val="029680C8"/>
    <w:lvl w:ilvl="0" w:tplc="F0F2FA58">
      <w:start w:val="1"/>
      <w:numFmt w:val="bullet"/>
      <w:lvlText w:val="-"/>
      <w:lvlJc w:val="left"/>
      <w:pPr>
        <w:ind w:left="720" w:hanging="360"/>
      </w:pPr>
      <w:rPr>
        <w:rFonts w:ascii="Calibri" w:hAnsi="Calibri" w:hint="default"/>
      </w:rPr>
    </w:lvl>
    <w:lvl w:ilvl="1" w:tplc="B24A6E3E">
      <w:start w:val="1"/>
      <w:numFmt w:val="bullet"/>
      <w:lvlText w:val="o"/>
      <w:lvlJc w:val="left"/>
      <w:pPr>
        <w:ind w:left="1440" w:hanging="360"/>
      </w:pPr>
      <w:rPr>
        <w:rFonts w:ascii="Courier New" w:hAnsi="Courier New" w:hint="default"/>
      </w:rPr>
    </w:lvl>
    <w:lvl w:ilvl="2" w:tplc="C03C7196">
      <w:start w:val="1"/>
      <w:numFmt w:val="bullet"/>
      <w:lvlText w:val=""/>
      <w:lvlJc w:val="left"/>
      <w:pPr>
        <w:ind w:left="2160" w:hanging="360"/>
      </w:pPr>
      <w:rPr>
        <w:rFonts w:ascii="Wingdings" w:hAnsi="Wingdings" w:hint="default"/>
      </w:rPr>
    </w:lvl>
    <w:lvl w:ilvl="3" w:tplc="10A4CDFE">
      <w:start w:val="1"/>
      <w:numFmt w:val="bullet"/>
      <w:lvlText w:val=""/>
      <w:lvlJc w:val="left"/>
      <w:pPr>
        <w:ind w:left="2880" w:hanging="360"/>
      </w:pPr>
      <w:rPr>
        <w:rFonts w:ascii="Symbol" w:hAnsi="Symbol" w:hint="default"/>
      </w:rPr>
    </w:lvl>
    <w:lvl w:ilvl="4" w:tplc="30FA3360">
      <w:start w:val="1"/>
      <w:numFmt w:val="bullet"/>
      <w:lvlText w:val="o"/>
      <w:lvlJc w:val="left"/>
      <w:pPr>
        <w:ind w:left="3600" w:hanging="360"/>
      </w:pPr>
      <w:rPr>
        <w:rFonts w:ascii="Courier New" w:hAnsi="Courier New" w:hint="default"/>
      </w:rPr>
    </w:lvl>
    <w:lvl w:ilvl="5" w:tplc="490228C2">
      <w:start w:val="1"/>
      <w:numFmt w:val="bullet"/>
      <w:lvlText w:val=""/>
      <w:lvlJc w:val="left"/>
      <w:pPr>
        <w:ind w:left="4320" w:hanging="360"/>
      </w:pPr>
      <w:rPr>
        <w:rFonts w:ascii="Wingdings" w:hAnsi="Wingdings" w:hint="default"/>
      </w:rPr>
    </w:lvl>
    <w:lvl w:ilvl="6" w:tplc="0F7661CA">
      <w:start w:val="1"/>
      <w:numFmt w:val="bullet"/>
      <w:lvlText w:val=""/>
      <w:lvlJc w:val="left"/>
      <w:pPr>
        <w:ind w:left="5040" w:hanging="360"/>
      </w:pPr>
      <w:rPr>
        <w:rFonts w:ascii="Symbol" w:hAnsi="Symbol" w:hint="default"/>
      </w:rPr>
    </w:lvl>
    <w:lvl w:ilvl="7" w:tplc="DD5A453E">
      <w:start w:val="1"/>
      <w:numFmt w:val="bullet"/>
      <w:lvlText w:val="o"/>
      <w:lvlJc w:val="left"/>
      <w:pPr>
        <w:ind w:left="5760" w:hanging="360"/>
      </w:pPr>
      <w:rPr>
        <w:rFonts w:ascii="Courier New" w:hAnsi="Courier New" w:hint="default"/>
      </w:rPr>
    </w:lvl>
    <w:lvl w:ilvl="8" w:tplc="AD868F74">
      <w:start w:val="1"/>
      <w:numFmt w:val="bullet"/>
      <w:lvlText w:val=""/>
      <w:lvlJc w:val="left"/>
      <w:pPr>
        <w:ind w:left="6480" w:hanging="360"/>
      </w:pPr>
      <w:rPr>
        <w:rFonts w:ascii="Wingdings" w:hAnsi="Wingdings" w:hint="default"/>
      </w:rPr>
    </w:lvl>
  </w:abstractNum>
  <w:abstractNum w:abstractNumId="59" w15:restartNumberingAfterBreak="0">
    <w:nsid w:val="79451862"/>
    <w:multiLevelType w:val="hybridMultilevel"/>
    <w:tmpl w:val="1C646E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0"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61" w15:restartNumberingAfterBreak="0">
    <w:nsid w:val="7F651649"/>
    <w:multiLevelType w:val="hybridMultilevel"/>
    <w:tmpl w:val="32C632AE"/>
    <w:lvl w:ilvl="0" w:tplc="F2B800F0">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8"/>
  </w:num>
  <w:num w:numId="2">
    <w:abstractNumId w:val="49"/>
  </w:num>
  <w:num w:numId="3">
    <w:abstractNumId w:val="36"/>
  </w:num>
  <w:num w:numId="4">
    <w:abstractNumId w:val="52"/>
  </w:num>
  <w:num w:numId="5">
    <w:abstractNumId w:val="25"/>
  </w:num>
  <w:num w:numId="6">
    <w:abstractNumId w:val="37"/>
  </w:num>
  <w:num w:numId="7">
    <w:abstractNumId w:val="16"/>
  </w:num>
  <w:num w:numId="8">
    <w:abstractNumId w:val="14"/>
  </w:num>
  <w:num w:numId="9">
    <w:abstractNumId w:val="38"/>
  </w:num>
  <w:num w:numId="10">
    <w:abstractNumId w:val="47"/>
  </w:num>
  <w:num w:numId="11">
    <w:abstractNumId w:val="48"/>
  </w:num>
  <w:num w:numId="12">
    <w:abstractNumId w:val="24"/>
  </w:num>
  <w:num w:numId="13">
    <w:abstractNumId w:val="45"/>
  </w:num>
  <w:num w:numId="14">
    <w:abstractNumId w:val="60"/>
  </w:num>
  <w:num w:numId="15">
    <w:abstractNumId w:val="7"/>
  </w:num>
  <w:num w:numId="16">
    <w:abstractNumId w:val="5"/>
  </w:num>
  <w:num w:numId="17">
    <w:abstractNumId w:val="4"/>
  </w:num>
  <w:num w:numId="18">
    <w:abstractNumId w:val="3"/>
  </w:num>
  <w:num w:numId="19">
    <w:abstractNumId w:val="6"/>
  </w:num>
  <w:num w:numId="20">
    <w:abstractNumId w:val="2"/>
  </w:num>
  <w:num w:numId="21">
    <w:abstractNumId w:val="1"/>
  </w:num>
  <w:num w:numId="22">
    <w:abstractNumId w:val="0"/>
  </w:num>
  <w:num w:numId="23">
    <w:abstractNumId w:val="10"/>
  </w:num>
  <w:num w:numId="24">
    <w:abstractNumId w:val="20"/>
  </w:num>
  <w:num w:numId="25">
    <w:abstractNumId w:val="22"/>
  </w:num>
  <w:num w:numId="26">
    <w:abstractNumId w:val="32"/>
  </w:num>
  <w:num w:numId="27">
    <w:abstractNumId w:val="43"/>
  </w:num>
  <w:num w:numId="28">
    <w:abstractNumId w:val="40"/>
  </w:num>
  <w:num w:numId="29">
    <w:abstractNumId w:val="31"/>
  </w:num>
  <w:num w:numId="30">
    <w:abstractNumId w:val="41"/>
  </w:num>
  <w:num w:numId="31">
    <w:abstractNumId w:val="61"/>
  </w:num>
  <w:num w:numId="32">
    <w:abstractNumId w:val="9"/>
  </w:num>
  <w:num w:numId="33">
    <w:abstractNumId w:val="29"/>
  </w:num>
  <w:num w:numId="34">
    <w:abstractNumId w:val="27"/>
  </w:num>
  <w:num w:numId="3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59"/>
  </w:num>
  <w:num w:numId="38">
    <w:abstractNumId w:val="46"/>
  </w:num>
  <w:num w:numId="39">
    <w:abstractNumId w:val="53"/>
  </w:num>
  <w:num w:numId="40">
    <w:abstractNumId w:val="54"/>
  </w:num>
  <w:num w:numId="41">
    <w:abstractNumId w:val="17"/>
  </w:num>
  <w:num w:numId="42">
    <w:abstractNumId w:val="28"/>
  </w:num>
  <w:num w:numId="43">
    <w:abstractNumId w:val="51"/>
  </w:num>
  <w:num w:numId="44">
    <w:abstractNumId w:val="55"/>
  </w:num>
  <w:num w:numId="45">
    <w:abstractNumId w:val="39"/>
  </w:num>
  <w:num w:numId="46">
    <w:abstractNumId w:val="19"/>
  </w:num>
  <w:num w:numId="47">
    <w:abstractNumId w:val="44"/>
  </w:num>
  <w:num w:numId="48">
    <w:abstractNumId w:val="13"/>
  </w:num>
  <w:num w:numId="49">
    <w:abstractNumId w:val="18"/>
  </w:num>
  <w:num w:numId="50">
    <w:abstractNumId w:val="34"/>
  </w:num>
  <w:num w:numId="51">
    <w:abstractNumId w:val="30"/>
  </w:num>
  <w:num w:numId="52">
    <w:abstractNumId w:val="56"/>
  </w:num>
  <w:num w:numId="53">
    <w:abstractNumId w:val="33"/>
  </w:num>
  <w:num w:numId="54">
    <w:abstractNumId w:val="57"/>
  </w:num>
  <w:num w:numId="55">
    <w:abstractNumId w:val="8"/>
  </w:num>
  <w:num w:numId="56">
    <w:abstractNumId w:val="21"/>
  </w:num>
  <w:num w:numId="57">
    <w:abstractNumId w:val="26"/>
  </w:num>
  <w:num w:numId="58">
    <w:abstractNumId w:val="12"/>
  </w:num>
  <w:num w:numId="59">
    <w:abstractNumId w:val="35"/>
  </w:num>
  <w:num w:numId="60">
    <w:abstractNumId w:val="42"/>
  </w:num>
  <w:num w:numId="61">
    <w:abstractNumId w:val="2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nl-BE" w:vendorID="64" w:dllVersion="0" w:nlCheck="1" w:checkStyle="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fr-BE" w:vendorID="64" w:dllVersion="0" w:nlCheck="1" w:checkStyle="0"/>
  <w:activeWritingStyle w:appName="MSWord" w:lang="da-DK" w:vendorID="64" w:dllVersion="0" w:nlCheck="1" w:checkStyle="0"/>
  <w:activeWritingStyle w:appName="MSWord" w:lang="pt-PT" w:vendorID="64" w:dllVersion="0" w:nlCheck="1" w:checkStyle="0"/>
  <w:activeWritingStyle w:appName="MSWord" w:lang="fr-FR" w:vendorID="64" w:dllVersion="0" w:nlCheck="1" w:checkStyle="0"/>
  <w:activeWritingStyle w:appName="MSWord" w:lang="de-DE" w:vendorID="64" w:dllVersion="0" w:nlCheck="1" w:checkStyle="0"/>
  <w:revisionView w:markup="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EPKit_DocumentHasBeenSaved" w:val="true"/>
    <w:docVar w:name="FigNum" w:val="1"/>
    <w:docVar w:name="LW_ACCOMPAGNANT.CP" w:val="to the "/>
    <w:docVar w:name="LW_ANNEX_NBR_FIRST" w:val="1"/>
    <w:docVar w:name="LW_ANNEX_NBR_LAST" w:val="1"/>
    <w:docVar w:name="LW_ANNEX_UNIQUE" w:val="1"/>
    <w:docVar w:name="LW_CORRIGENDUM" w:val="&lt;UNUSED&gt;"/>
    <w:docVar w:name="LW_COVERPAGE_EXISTS" w:val="True"/>
    <w:docVar w:name="LW_COVERPAGE_GUID" w:val="D8B11044-7B80-4ADA-ABAB-6D3783C65F3E"/>
    <w:docVar w:name="LW_COVERPAGE_TYPE" w:val="1"/>
    <w:docVar w:name="LW_CROSSREFERENCE" w:val="{SWD(2024) 274 final}"/>
    <w:docVar w:name="LW_DocType" w:val="NORMAL"/>
    <w:docVar w:name="LW_EMISSION" w:val="20.11.2024"/>
    <w:docVar w:name="LW_EMISSION_ISODATE" w:val="2024-11-20"/>
    <w:docVar w:name="LW_EMISSION_LOCATION" w:val="BRX"/>
    <w:docVar w:name="LW_EMISSION_PREFIX" w:val="Brussels, "/>
    <w:docVar w:name="LW_EMISSION_SUFFIX" w:val=" "/>
    <w:docVar w:name="LW_ID_DOCTYPE_NONLW" w:val="CP-036"/>
    <w:docVar w:name="LW_LANGUE" w:val="EN"/>
    <w:docVar w:name="LW_LEVEL_OF_SENSITIVITY" w:val="Standard treatment"/>
    <w:docVar w:name="LW_NOM.INST" w:val="EUROPEAN COMMISSION"/>
    <w:docVar w:name="LW_NOM.INST_JOINTDOC" w:val="&lt;EMPTY&gt;"/>
    <w:docVar w:name="LW_OBJETACTEPRINCIPAL.CP" w:val="amending Implementing Decision (EU) (ST 10161/21 INIT; ST 10161/21 ADD 1) of 13 July 2021 on the approval of the assessment of the recovery and resilience plan for Belgium"/>
    <w:docVar w:name="LW_PART_NBR" w:val="1"/>
    <w:docVar w:name="LW_PART_NBR_TOTAL" w:val="1"/>
    <w:docVar w:name="LW_REF.INST.NEW" w:val="COM"/>
    <w:docVar w:name="LW_REF.INST.NEW_ADOPTED" w:val="final"/>
    <w:docVar w:name="LW_REF.INST.NEW_TEXT" w:val="(2024) 55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ANNEX_x000b_"/>
    <w:docVar w:name="LW_TYPEACTEPRINCIPAL.CP" w:val="Proposal for a COUNCIL IMPLEMENTING DECISION"/>
    <w:docVar w:name="LwApiVersions" w:val="LW4CoDe 1.24.5.0; LW 9.0, Build 20240221"/>
  </w:docVars>
  <w:rsids>
    <w:rsidRoot w:val="00526F1A"/>
    <w:rsid w:val="000000A0"/>
    <w:rsid w:val="00000814"/>
    <w:rsid w:val="00000D46"/>
    <w:rsid w:val="000010F9"/>
    <w:rsid w:val="000015F8"/>
    <w:rsid w:val="00001AD9"/>
    <w:rsid w:val="00001BB8"/>
    <w:rsid w:val="00001C38"/>
    <w:rsid w:val="000021A5"/>
    <w:rsid w:val="00002286"/>
    <w:rsid w:val="00002290"/>
    <w:rsid w:val="00002344"/>
    <w:rsid w:val="000023BE"/>
    <w:rsid w:val="000023F7"/>
    <w:rsid w:val="00002558"/>
    <w:rsid w:val="000027C0"/>
    <w:rsid w:val="000029C0"/>
    <w:rsid w:val="00002AC7"/>
    <w:rsid w:val="00002BE4"/>
    <w:rsid w:val="00002C26"/>
    <w:rsid w:val="00002F3E"/>
    <w:rsid w:val="000030B9"/>
    <w:rsid w:val="00003115"/>
    <w:rsid w:val="00003213"/>
    <w:rsid w:val="000033A0"/>
    <w:rsid w:val="000035F8"/>
    <w:rsid w:val="00003A83"/>
    <w:rsid w:val="00003C78"/>
    <w:rsid w:val="00003D0B"/>
    <w:rsid w:val="00003F74"/>
    <w:rsid w:val="0000404D"/>
    <w:rsid w:val="000040E6"/>
    <w:rsid w:val="0000415C"/>
    <w:rsid w:val="0000415D"/>
    <w:rsid w:val="0000431F"/>
    <w:rsid w:val="00004332"/>
    <w:rsid w:val="000044B7"/>
    <w:rsid w:val="00004503"/>
    <w:rsid w:val="0000461A"/>
    <w:rsid w:val="00004727"/>
    <w:rsid w:val="0000474F"/>
    <w:rsid w:val="000047E5"/>
    <w:rsid w:val="000049C3"/>
    <w:rsid w:val="00004E0C"/>
    <w:rsid w:val="00004FE6"/>
    <w:rsid w:val="00005001"/>
    <w:rsid w:val="0000547A"/>
    <w:rsid w:val="000055B6"/>
    <w:rsid w:val="000055BF"/>
    <w:rsid w:val="0000565E"/>
    <w:rsid w:val="000058A6"/>
    <w:rsid w:val="00005E16"/>
    <w:rsid w:val="00005E83"/>
    <w:rsid w:val="00005EC6"/>
    <w:rsid w:val="00005F75"/>
    <w:rsid w:val="000062F5"/>
    <w:rsid w:val="000063EE"/>
    <w:rsid w:val="0000649A"/>
    <w:rsid w:val="000064D4"/>
    <w:rsid w:val="0000674C"/>
    <w:rsid w:val="0000695F"/>
    <w:rsid w:val="00006B62"/>
    <w:rsid w:val="00006C11"/>
    <w:rsid w:val="00007445"/>
    <w:rsid w:val="000075CB"/>
    <w:rsid w:val="00007616"/>
    <w:rsid w:val="00007694"/>
    <w:rsid w:val="0000777C"/>
    <w:rsid w:val="000077D7"/>
    <w:rsid w:val="000079CE"/>
    <w:rsid w:val="00007A3D"/>
    <w:rsid w:val="00007DCE"/>
    <w:rsid w:val="000103D7"/>
    <w:rsid w:val="0001063A"/>
    <w:rsid w:val="000107BA"/>
    <w:rsid w:val="00010945"/>
    <w:rsid w:val="00010CF8"/>
    <w:rsid w:val="00010EDF"/>
    <w:rsid w:val="00010EF8"/>
    <w:rsid w:val="00010F82"/>
    <w:rsid w:val="000110C0"/>
    <w:rsid w:val="000112BC"/>
    <w:rsid w:val="00011642"/>
    <w:rsid w:val="0001176F"/>
    <w:rsid w:val="000117B6"/>
    <w:rsid w:val="000117F6"/>
    <w:rsid w:val="00011ABC"/>
    <w:rsid w:val="00011ADA"/>
    <w:rsid w:val="00011B1A"/>
    <w:rsid w:val="00011BCA"/>
    <w:rsid w:val="00011DC9"/>
    <w:rsid w:val="00011F6B"/>
    <w:rsid w:val="00012180"/>
    <w:rsid w:val="00012427"/>
    <w:rsid w:val="00012559"/>
    <w:rsid w:val="00012AAD"/>
    <w:rsid w:val="00012F04"/>
    <w:rsid w:val="00012F4C"/>
    <w:rsid w:val="000130A6"/>
    <w:rsid w:val="00013224"/>
    <w:rsid w:val="00013506"/>
    <w:rsid w:val="00013533"/>
    <w:rsid w:val="0001379E"/>
    <w:rsid w:val="000139BF"/>
    <w:rsid w:val="00013ADE"/>
    <w:rsid w:val="00014194"/>
    <w:rsid w:val="0001424F"/>
    <w:rsid w:val="000144D3"/>
    <w:rsid w:val="000145A1"/>
    <w:rsid w:val="00014612"/>
    <w:rsid w:val="00014C88"/>
    <w:rsid w:val="00014F01"/>
    <w:rsid w:val="00015005"/>
    <w:rsid w:val="0001533B"/>
    <w:rsid w:val="00015448"/>
    <w:rsid w:val="00015E7A"/>
    <w:rsid w:val="00015E86"/>
    <w:rsid w:val="00015F27"/>
    <w:rsid w:val="00016095"/>
    <w:rsid w:val="000160D5"/>
    <w:rsid w:val="00016273"/>
    <w:rsid w:val="000167A7"/>
    <w:rsid w:val="000169A1"/>
    <w:rsid w:val="000169C3"/>
    <w:rsid w:val="00016A43"/>
    <w:rsid w:val="00016C39"/>
    <w:rsid w:val="00016E91"/>
    <w:rsid w:val="0001774B"/>
    <w:rsid w:val="0001774E"/>
    <w:rsid w:val="000177A7"/>
    <w:rsid w:val="000179DF"/>
    <w:rsid w:val="00017F25"/>
    <w:rsid w:val="00020149"/>
    <w:rsid w:val="000209E5"/>
    <w:rsid w:val="00020AAA"/>
    <w:rsid w:val="00020C6E"/>
    <w:rsid w:val="00020D36"/>
    <w:rsid w:val="00020FA2"/>
    <w:rsid w:val="00021370"/>
    <w:rsid w:val="00021A3D"/>
    <w:rsid w:val="00021ABE"/>
    <w:rsid w:val="00021EFC"/>
    <w:rsid w:val="00022287"/>
    <w:rsid w:val="00022326"/>
    <w:rsid w:val="00022384"/>
    <w:rsid w:val="000224CC"/>
    <w:rsid w:val="000224F7"/>
    <w:rsid w:val="0002256E"/>
    <w:rsid w:val="00022593"/>
    <w:rsid w:val="000225A9"/>
    <w:rsid w:val="000225AC"/>
    <w:rsid w:val="00022863"/>
    <w:rsid w:val="00022A27"/>
    <w:rsid w:val="00022DE0"/>
    <w:rsid w:val="00023009"/>
    <w:rsid w:val="0002301F"/>
    <w:rsid w:val="00023145"/>
    <w:rsid w:val="00023349"/>
    <w:rsid w:val="00023718"/>
    <w:rsid w:val="0002371D"/>
    <w:rsid w:val="0002387B"/>
    <w:rsid w:val="000238C7"/>
    <w:rsid w:val="00023922"/>
    <w:rsid w:val="00023B5E"/>
    <w:rsid w:val="00023BA9"/>
    <w:rsid w:val="00023C3C"/>
    <w:rsid w:val="0002420B"/>
    <w:rsid w:val="00024483"/>
    <w:rsid w:val="00024690"/>
    <w:rsid w:val="000247D9"/>
    <w:rsid w:val="00024BA8"/>
    <w:rsid w:val="00024E17"/>
    <w:rsid w:val="00024E6C"/>
    <w:rsid w:val="00024FEF"/>
    <w:rsid w:val="00025237"/>
    <w:rsid w:val="0002535C"/>
    <w:rsid w:val="00025544"/>
    <w:rsid w:val="00025546"/>
    <w:rsid w:val="00025551"/>
    <w:rsid w:val="0002561E"/>
    <w:rsid w:val="00025681"/>
    <w:rsid w:val="000257C1"/>
    <w:rsid w:val="00025F3E"/>
    <w:rsid w:val="0002617C"/>
    <w:rsid w:val="0002620D"/>
    <w:rsid w:val="00026240"/>
    <w:rsid w:val="000262C2"/>
    <w:rsid w:val="000263CE"/>
    <w:rsid w:val="0002645C"/>
    <w:rsid w:val="0002655B"/>
    <w:rsid w:val="00026C47"/>
    <w:rsid w:val="00026E45"/>
    <w:rsid w:val="000271A2"/>
    <w:rsid w:val="0002721A"/>
    <w:rsid w:val="00027615"/>
    <w:rsid w:val="00027679"/>
    <w:rsid w:val="00027837"/>
    <w:rsid w:val="00027B4D"/>
    <w:rsid w:val="00027BCA"/>
    <w:rsid w:val="00027C9D"/>
    <w:rsid w:val="00027CCE"/>
    <w:rsid w:val="00027D79"/>
    <w:rsid w:val="00027EE5"/>
    <w:rsid w:val="00027F27"/>
    <w:rsid w:val="00030835"/>
    <w:rsid w:val="000309E8"/>
    <w:rsid w:val="000309EA"/>
    <w:rsid w:val="00030B57"/>
    <w:rsid w:val="00030EF3"/>
    <w:rsid w:val="00031132"/>
    <w:rsid w:val="00031582"/>
    <w:rsid w:val="000316A1"/>
    <w:rsid w:val="000319C7"/>
    <w:rsid w:val="00032018"/>
    <w:rsid w:val="00032123"/>
    <w:rsid w:val="00032373"/>
    <w:rsid w:val="000328CC"/>
    <w:rsid w:val="000328EE"/>
    <w:rsid w:val="00032D6B"/>
    <w:rsid w:val="00032F20"/>
    <w:rsid w:val="0003312D"/>
    <w:rsid w:val="0003315A"/>
    <w:rsid w:val="00033470"/>
    <w:rsid w:val="000336BE"/>
    <w:rsid w:val="000338AB"/>
    <w:rsid w:val="00033A90"/>
    <w:rsid w:val="00034072"/>
    <w:rsid w:val="00034457"/>
    <w:rsid w:val="00034844"/>
    <w:rsid w:val="00034A60"/>
    <w:rsid w:val="00034C68"/>
    <w:rsid w:val="00034EB5"/>
    <w:rsid w:val="00035601"/>
    <w:rsid w:val="00035B15"/>
    <w:rsid w:val="00035FF1"/>
    <w:rsid w:val="0003605E"/>
    <w:rsid w:val="00036097"/>
    <w:rsid w:val="00036118"/>
    <w:rsid w:val="00036163"/>
    <w:rsid w:val="000364D4"/>
    <w:rsid w:val="000365BE"/>
    <w:rsid w:val="00036877"/>
    <w:rsid w:val="000368D0"/>
    <w:rsid w:val="00036931"/>
    <w:rsid w:val="0003698F"/>
    <w:rsid w:val="00036A6A"/>
    <w:rsid w:val="00036CA7"/>
    <w:rsid w:val="00036F74"/>
    <w:rsid w:val="000373FC"/>
    <w:rsid w:val="00037962"/>
    <w:rsid w:val="00037C9A"/>
    <w:rsid w:val="00037CDF"/>
    <w:rsid w:val="00037D6F"/>
    <w:rsid w:val="00040321"/>
    <w:rsid w:val="000403D7"/>
    <w:rsid w:val="00040749"/>
    <w:rsid w:val="00040923"/>
    <w:rsid w:val="00040A26"/>
    <w:rsid w:val="00040AC8"/>
    <w:rsid w:val="0004103E"/>
    <w:rsid w:val="000410B5"/>
    <w:rsid w:val="000411A4"/>
    <w:rsid w:val="0004123B"/>
    <w:rsid w:val="0004156B"/>
    <w:rsid w:val="00041727"/>
    <w:rsid w:val="000418DD"/>
    <w:rsid w:val="00041AB0"/>
    <w:rsid w:val="00041B50"/>
    <w:rsid w:val="00041E03"/>
    <w:rsid w:val="00041F2A"/>
    <w:rsid w:val="00041F5F"/>
    <w:rsid w:val="00041F72"/>
    <w:rsid w:val="000420FB"/>
    <w:rsid w:val="00042741"/>
    <w:rsid w:val="00042ABC"/>
    <w:rsid w:val="00042C30"/>
    <w:rsid w:val="00042E0D"/>
    <w:rsid w:val="00043217"/>
    <w:rsid w:val="0004324F"/>
    <w:rsid w:val="0004333A"/>
    <w:rsid w:val="00043354"/>
    <w:rsid w:val="0004365E"/>
    <w:rsid w:val="0004376B"/>
    <w:rsid w:val="0004381F"/>
    <w:rsid w:val="00043829"/>
    <w:rsid w:val="00043FB6"/>
    <w:rsid w:val="00044270"/>
    <w:rsid w:val="00044457"/>
    <w:rsid w:val="00044510"/>
    <w:rsid w:val="00044670"/>
    <w:rsid w:val="00044988"/>
    <w:rsid w:val="00044F79"/>
    <w:rsid w:val="00045509"/>
    <w:rsid w:val="00045584"/>
    <w:rsid w:val="000456EA"/>
    <w:rsid w:val="0004583E"/>
    <w:rsid w:val="000458BA"/>
    <w:rsid w:val="00045975"/>
    <w:rsid w:val="000459A2"/>
    <w:rsid w:val="000459AE"/>
    <w:rsid w:val="00045BDD"/>
    <w:rsid w:val="00045D3F"/>
    <w:rsid w:val="000464F3"/>
    <w:rsid w:val="0004672A"/>
    <w:rsid w:val="00046823"/>
    <w:rsid w:val="00046951"/>
    <w:rsid w:val="00046976"/>
    <w:rsid w:val="00046A3F"/>
    <w:rsid w:val="00046AF2"/>
    <w:rsid w:val="00046D5B"/>
    <w:rsid w:val="00046EC0"/>
    <w:rsid w:val="00046F09"/>
    <w:rsid w:val="00046FC1"/>
    <w:rsid w:val="000475A4"/>
    <w:rsid w:val="000475D0"/>
    <w:rsid w:val="0004786B"/>
    <w:rsid w:val="00047A7D"/>
    <w:rsid w:val="00047F34"/>
    <w:rsid w:val="00050111"/>
    <w:rsid w:val="00050451"/>
    <w:rsid w:val="00050E00"/>
    <w:rsid w:val="00050F19"/>
    <w:rsid w:val="0005126D"/>
    <w:rsid w:val="00051278"/>
    <w:rsid w:val="00051495"/>
    <w:rsid w:val="00051810"/>
    <w:rsid w:val="00051967"/>
    <w:rsid w:val="00051A8F"/>
    <w:rsid w:val="00051ABF"/>
    <w:rsid w:val="00051CC5"/>
    <w:rsid w:val="00051FFE"/>
    <w:rsid w:val="0005200B"/>
    <w:rsid w:val="000520DF"/>
    <w:rsid w:val="00052130"/>
    <w:rsid w:val="00052245"/>
    <w:rsid w:val="000522CF"/>
    <w:rsid w:val="00052306"/>
    <w:rsid w:val="00052343"/>
    <w:rsid w:val="00052783"/>
    <w:rsid w:val="00052AB0"/>
    <w:rsid w:val="00052AEC"/>
    <w:rsid w:val="00052E6E"/>
    <w:rsid w:val="00052EB5"/>
    <w:rsid w:val="000533FA"/>
    <w:rsid w:val="0005372E"/>
    <w:rsid w:val="000538F6"/>
    <w:rsid w:val="00053DB8"/>
    <w:rsid w:val="00053F04"/>
    <w:rsid w:val="0005446D"/>
    <w:rsid w:val="00054604"/>
    <w:rsid w:val="000546A5"/>
    <w:rsid w:val="00054A2C"/>
    <w:rsid w:val="00054E5C"/>
    <w:rsid w:val="00054E77"/>
    <w:rsid w:val="00054E8D"/>
    <w:rsid w:val="000550BB"/>
    <w:rsid w:val="0005538A"/>
    <w:rsid w:val="0005596B"/>
    <w:rsid w:val="00055CCB"/>
    <w:rsid w:val="00055D98"/>
    <w:rsid w:val="00055DFD"/>
    <w:rsid w:val="00055E1F"/>
    <w:rsid w:val="000563CC"/>
    <w:rsid w:val="000565FB"/>
    <w:rsid w:val="00056892"/>
    <w:rsid w:val="00056C2F"/>
    <w:rsid w:val="00056C67"/>
    <w:rsid w:val="00056E05"/>
    <w:rsid w:val="00057003"/>
    <w:rsid w:val="00057086"/>
    <w:rsid w:val="00057238"/>
    <w:rsid w:val="00057461"/>
    <w:rsid w:val="000575F1"/>
    <w:rsid w:val="000576C7"/>
    <w:rsid w:val="00057911"/>
    <w:rsid w:val="00057A38"/>
    <w:rsid w:val="00057BAB"/>
    <w:rsid w:val="00057BC8"/>
    <w:rsid w:val="00057BDA"/>
    <w:rsid w:val="00057CD7"/>
    <w:rsid w:val="00057EBF"/>
    <w:rsid w:val="00057FC3"/>
    <w:rsid w:val="00060137"/>
    <w:rsid w:val="000601E9"/>
    <w:rsid w:val="000604CC"/>
    <w:rsid w:val="000607DE"/>
    <w:rsid w:val="000607E7"/>
    <w:rsid w:val="00060AC4"/>
    <w:rsid w:val="00060D0D"/>
    <w:rsid w:val="00060F04"/>
    <w:rsid w:val="00060F86"/>
    <w:rsid w:val="00061000"/>
    <w:rsid w:val="000610AA"/>
    <w:rsid w:val="00061233"/>
    <w:rsid w:val="00061443"/>
    <w:rsid w:val="00061684"/>
    <w:rsid w:val="00061909"/>
    <w:rsid w:val="00061F1D"/>
    <w:rsid w:val="00061F8C"/>
    <w:rsid w:val="00061FDB"/>
    <w:rsid w:val="00061FF4"/>
    <w:rsid w:val="0006206D"/>
    <w:rsid w:val="000620EA"/>
    <w:rsid w:val="0006244B"/>
    <w:rsid w:val="000624A2"/>
    <w:rsid w:val="00062EB0"/>
    <w:rsid w:val="00062F07"/>
    <w:rsid w:val="00063315"/>
    <w:rsid w:val="00063672"/>
    <w:rsid w:val="00063D6F"/>
    <w:rsid w:val="00063EED"/>
    <w:rsid w:val="00064092"/>
    <w:rsid w:val="000640E0"/>
    <w:rsid w:val="0006412F"/>
    <w:rsid w:val="0006426C"/>
    <w:rsid w:val="00064280"/>
    <w:rsid w:val="00064416"/>
    <w:rsid w:val="00064597"/>
    <w:rsid w:val="00064A7A"/>
    <w:rsid w:val="00064B28"/>
    <w:rsid w:val="00064D84"/>
    <w:rsid w:val="00064D8C"/>
    <w:rsid w:val="00064DA4"/>
    <w:rsid w:val="000653EA"/>
    <w:rsid w:val="00065B55"/>
    <w:rsid w:val="00065E6F"/>
    <w:rsid w:val="0006612A"/>
    <w:rsid w:val="000661A9"/>
    <w:rsid w:val="0006625C"/>
    <w:rsid w:val="0006633D"/>
    <w:rsid w:val="00066389"/>
    <w:rsid w:val="00066477"/>
    <w:rsid w:val="0006677B"/>
    <w:rsid w:val="00066833"/>
    <w:rsid w:val="0006687C"/>
    <w:rsid w:val="00066964"/>
    <w:rsid w:val="00066A70"/>
    <w:rsid w:val="00066AD4"/>
    <w:rsid w:val="00066E73"/>
    <w:rsid w:val="000670AF"/>
    <w:rsid w:val="00067185"/>
    <w:rsid w:val="0006739D"/>
    <w:rsid w:val="000673F5"/>
    <w:rsid w:val="00067792"/>
    <w:rsid w:val="000679A4"/>
    <w:rsid w:val="000679BF"/>
    <w:rsid w:val="00067A64"/>
    <w:rsid w:val="00067E3C"/>
    <w:rsid w:val="00067EBC"/>
    <w:rsid w:val="00070003"/>
    <w:rsid w:val="00070011"/>
    <w:rsid w:val="0007024A"/>
    <w:rsid w:val="0007037D"/>
    <w:rsid w:val="00070389"/>
    <w:rsid w:val="0007055F"/>
    <w:rsid w:val="000708BB"/>
    <w:rsid w:val="000709B3"/>
    <w:rsid w:val="000709FB"/>
    <w:rsid w:val="00070A3B"/>
    <w:rsid w:val="00070C17"/>
    <w:rsid w:val="00070C1D"/>
    <w:rsid w:val="00071009"/>
    <w:rsid w:val="0007139C"/>
    <w:rsid w:val="00071490"/>
    <w:rsid w:val="000717D2"/>
    <w:rsid w:val="00071BE5"/>
    <w:rsid w:val="00071C22"/>
    <w:rsid w:val="00071C94"/>
    <w:rsid w:val="00071E3B"/>
    <w:rsid w:val="00071E93"/>
    <w:rsid w:val="00072013"/>
    <w:rsid w:val="000721FB"/>
    <w:rsid w:val="00072382"/>
    <w:rsid w:val="000723BF"/>
    <w:rsid w:val="00072800"/>
    <w:rsid w:val="00072B78"/>
    <w:rsid w:val="00072BC1"/>
    <w:rsid w:val="00072BF9"/>
    <w:rsid w:val="00072EF9"/>
    <w:rsid w:val="00072F02"/>
    <w:rsid w:val="0007329F"/>
    <w:rsid w:val="0007355E"/>
    <w:rsid w:val="000736B1"/>
    <w:rsid w:val="00073D19"/>
    <w:rsid w:val="00073E80"/>
    <w:rsid w:val="000742F9"/>
    <w:rsid w:val="0007438D"/>
    <w:rsid w:val="0007456D"/>
    <w:rsid w:val="000745EC"/>
    <w:rsid w:val="00074A3C"/>
    <w:rsid w:val="00074B58"/>
    <w:rsid w:val="00074DE4"/>
    <w:rsid w:val="00074F0E"/>
    <w:rsid w:val="00075147"/>
    <w:rsid w:val="00075185"/>
    <w:rsid w:val="000757CB"/>
    <w:rsid w:val="00075847"/>
    <w:rsid w:val="000758BA"/>
    <w:rsid w:val="000759B5"/>
    <w:rsid w:val="000759E2"/>
    <w:rsid w:val="00075B56"/>
    <w:rsid w:val="00075F3A"/>
    <w:rsid w:val="000760A0"/>
    <w:rsid w:val="000760F9"/>
    <w:rsid w:val="0007644C"/>
    <w:rsid w:val="000764FF"/>
    <w:rsid w:val="0007662C"/>
    <w:rsid w:val="000766C3"/>
    <w:rsid w:val="0007679C"/>
    <w:rsid w:val="00076998"/>
    <w:rsid w:val="00076EDF"/>
    <w:rsid w:val="00077283"/>
    <w:rsid w:val="0007749E"/>
    <w:rsid w:val="00077504"/>
    <w:rsid w:val="00077974"/>
    <w:rsid w:val="00077A0F"/>
    <w:rsid w:val="00077C9B"/>
    <w:rsid w:val="00077DF0"/>
    <w:rsid w:val="00077E54"/>
    <w:rsid w:val="00077E65"/>
    <w:rsid w:val="00077FB0"/>
    <w:rsid w:val="0008014F"/>
    <w:rsid w:val="000803D9"/>
    <w:rsid w:val="00080403"/>
    <w:rsid w:val="00080B81"/>
    <w:rsid w:val="00080D52"/>
    <w:rsid w:val="00080E73"/>
    <w:rsid w:val="00081415"/>
    <w:rsid w:val="00081861"/>
    <w:rsid w:val="000818B5"/>
    <w:rsid w:val="00081922"/>
    <w:rsid w:val="00081937"/>
    <w:rsid w:val="00081A80"/>
    <w:rsid w:val="0008200F"/>
    <w:rsid w:val="00082279"/>
    <w:rsid w:val="0008241F"/>
    <w:rsid w:val="00082434"/>
    <w:rsid w:val="000826B0"/>
    <w:rsid w:val="00082B01"/>
    <w:rsid w:val="00082CAE"/>
    <w:rsid w:val="00082F9B"/>
    <w:rsid w:val="000832C8"/>
    <w:rsid w:val="00083394"/>
    <w:rsid w:val="00083527"/>
    <w:rsid w:val="0008386E"/>
    <w:rsid w:val="000840AB"/>
    <w:rsid w:val="0008450E"/>
    <w:rsid w:val="000846B9"/>
    <w:rsid w:val="00084CA0"/>
    <w:rsid w:val="0008502D"/>
    <w:rsid w:val="0008506E"/>
    <w:rsid w:val="0008511E"/>
    <w:rsid w:val="00085A7B"/>
    <w:rsid w:val="00085ABF"/>
    <w:rsid w:val="00085D67"/>
    <w:rsid w:val="00085F52"/>
    <w:rsid w:val="00085F7A"/>
    <w:rsid w:val="0008629D"/>
    <w:rsid w:val="000862DA"/>
    <w:rsid w:val="00086843"/>
    <w:rsid w:val="00086A30"/>
    <w:rsid w:val="00086A7B"/>
    <w:rsid w:val="00086A8E"/>
    <w:rsid w:val="00086FA7"/>
    <w:rsid w:val="0008714B"/>
    <w:rsid w:val="000871B3"/>
    <w:rsid w:val="000871FE"/>
    <w:rsid w:val="00087244"/>
    <w:rsid w:val="0008732A"/>
    <w:rsid w:val="00087415"/>
    <w:rsid w:val="000874EB"/>
    <w:rsid w:val="0008754F"/>
    <w:rsid w:val="000875B9"/>
    <w:rsid w:val="000878CB"/>
    <w:rsid w:val="000878D1"/>
    <w:rsid w:val="00087901"/>
    <w:rsid w:val="00087C97"/>
    <w:rsid w:val="00087F41"/>
    <w:rsid w:val="0009027D"/>
    <w:rsid w:val="00090412"/>
    <w:rsid w:val="00090522"/>
    <w:rsid w:val="000906E2"/>
    <w:rsid w:val="00090707"/>
    <w:rsid w:val="000909C4"/>
    <w:rsid w:val="00090C93"/>
    <w:rsid w:val="00090DFD"/>
    <w:rsid w:val="00091043"/>
    <w:rsid w:val="00091332"/>
    <w:rsid w:val="000913A0"/>
    <w:rsid w:val="000914F5"/>
    <w:rsid w:val="00091530"/>
    <w:rsid w:val="00091635"/>
    <w:rsid w:val="00091703"/>
    <w:rsid w:val="00091920"/>
    <w:rsid w:val="00091B5A"/>
    <w:rsid w:val="00092224"/>
    <w:rsid w:val="0009228E"/>
    <w:rsid w:val="000925D4"/>
    <w:rsid w:val="00092660"/>
    <w:rsid w:val="00092799"/>
    <w:rsid w:val="00092963"/>
    <w:rsid w:val="000929B0"/>
    <w:rsid w:val="000929F3"/>
    <w:rsid w:val="00092A9B"/>
    <w:rsid w:val="00092B94"/>
    <w:rsid w:val="00092BCA"/>
    <w:rsid w:val="00093080"/>
    <w:rsid w:val="000930D7"/>
    <w:rsid w:val="0009329D"/>
    <w:rsid w:val="000932BD"/>
    <w:rsid w:val="000932F1"/>
    <w:rsid w:val="0009338D"/>
    <w:rsid w:val="000935BA"/>
    <w:rsid w:val="0009361D"/>
    <w:rsid w:val="0009365E"/>
    <w:rsid w:val="00093B22"/>
    <w:rsid w:val="00093CD7"/>
    <w:rsid w:val="00093E59"/>
    <w:rsid w:val="0009404B"/>
    <w:rsid w:val="0009405C"/>
    <w:rsid w:val="00094130"/>
    <w:rsid w:val="0009415A"/>
    <w:rsid w:val="000941BE"/>
    <w:rsid w:val="0009473A"/>
    <w:rsid w:val="000950D5"/>
    <w:rsid w:val="000952A4"/>
    <w:rsid w:val="000952EA"/>
    <w:rsid w:val="000953E1"/>
    <w:rsid w:val="00095401"/>
    <w:rsid w:val="00095562"/>
    <w:rsid w:val="000958F2"/>
    <w:rsid w:val="00095946"/>
    <w:rsid w:val="000959B5"/>
    <w:rsid w:val="0009602C"/>
    <w:rsid w:val="00096102"/>
    <w:rsid w:val="000964EB"/>
    <w:rsid w:val="00096840"/>
    <w:rsid w:val="00096B12"/>
    <w:rsid w:val="00096C5D"/>
    <w:rsid w:val="00096F6D"/>
    <w:rsid w:val="000971F2"/>
    <w:rsid w:val="000972A8"/>
    <w:rsid w:val="000974CA"/>
    <w:rsid w:val="0009750B"/>
    <w:rsid w:val="000976B2"/>
    <w:rsid w:val="0009784B"/>
    <w:rsid w:val="000978BA"/>
    <w:rsid w:val="00097917"/>
    <w:rsid w:val="00097953"/>
    <w:rsid w:val="00097C71"/>
    <w:rsid w:val="00097CA9"/>
    <w:rsid w:val="00097F4C"/>
    <w:rsid w:val="000A05EA"/>
    <w:rsid w:val="000A09A2"/>
    <w:rsid w:val="000A0B0E"/>
    <w:rsid w:val="000A0D7C"/>
    <w:rsid w:val="000A0DFC"/>
    <w:rsid w:val="000A0E94"/>
    <w:rsid w:val="000A104E"/>
    <w:rsid w:val="000A1193"/>
    <w:rsid w:val="000A127C"/>
    <w:rsid w:val="000A12FB"/>
    <w:rsid w:val="000A16C1"/>
    <w:rsid w:val="000A1957"/>
    <w:rsid w:val="000A1CEF"/>
    <w:rsid w:val="000A1F6E"/>
    <w:rsid w:val="000A2566"/>
    <w:rsid w:val="000A2B78"/>
    <w:rsid w:val="000A2C29"/>
    <w:rsid w:val="000A2E6A"/>
    <w:rsid w:val="000A2F8D"/>
    <w:rsid w:val="000A309A"/>
    <w:rsid w:val="000A33AD"/>
    <w:rsid w:val="000A33F0"/>
    <w:rsid w:val="000A37AD"/>
    <w:rsid w:val="000A3862"/>
    <w:rsid w:val="000A38B8"/>
    <w:rsid w:val="000A395A"/>
    <w:rsid w:val="000A3B1E"/>
    <w:rsid w:val="000A3B5A"/>
    <w:rsid w:val="000A3EC5"/>
    <w:rsid w:val="000A45E5"/>
    <w:rsid w:val="000A464A"/>
    <w:rsid w:val="000A4795"/>
    <w:rsid w:val="000A4865"/>
    <w:rsid w:val="000A48DC"/>
    <w:rsid w:val="000A4A0B"/>
    <w:rsid w:val="000A4BC3"/>
    <w:rsid w:val="000A4CB7"/>
    <w:rsid w:val="000A5014"/>
    <w:rsid w:val="000A5046"/>
    <w:rsid w:val="000A5177"/>
    <w:rsid w:val="000A55EF"/>
    <w:rsid w:val="000A56C9"/>
    <w:rsid w:val="000A574C"/>
    <w:rsid w:val="000A578F"/>
    <w:rsid w:val="000A57A7"/>
    <w:rsid w:val="000A57F9"/>
    <w:rsid w:val="000A5B3D"/>
    <w:rsid w:val="000A5F97"/>
    <w:rsid w:val="000A6890"/>
    <w:rsid w:val="000A6D86"/>
    <w:rsid w:val="000A6F27"/>
    <w:rsid w:val="000A6F7A"/>
    <w:rsid w:val="000A7011"/>
    <w:rsid w:val="000A71E9"/>
    <w:rsid w:val="000A7215"/>
    <w:rsid w:val="000A72DD"/>
    <w:rsid w:val="000A738E"/>
    <w:rsid w:val="000A73C1"/>
    <w:rsid w:val="000A75BE"/>
    <w:rsid w:val="000A7613"/>
    <w:rsid w:val="000A76CC"/>
    <w:rsid w:val="000A7AF7"/>
    <w:rsid w:val="000A7D3B"/>
    <w:rsid w:val="000A7DA6"/>
    <w:rsid w:val="000A7E02"/>
    <w:rsid w:val="000A7F6E"/>
    <w:rsid w:val="000B007F"/>
    <w:rsid w:val="000B075F"/>
    <w:rsid w:val="000B079E"/>
    <w:rsid w:val="000B079F"/>
    <w:rsid w:val="000B07DB"/>
    <w:rsid w:val="000B0C6E"/>
    <w:rsid w:val="000B0E11"/>
    <w:rsid w:val="000B0F7A"/>
    <w:rsid w:val="000B1013"/>
    <w:rsid w:val="000B128C"/>
    <w:rsid w:val="000B146B"/>
    <w:rsid w:val="000B1485"/>
    <w:rsid w:val="000B168D"/>
    <w:rsid w:val="000B1A5D"/>
    <w:rsid w:val="000B1A90"/>
    <w:rsid w:val="000B1B95"/>
    <w:rsid w:val="000B1C6F"/>
    <w:rsid w:val="000B2006"/>
    <w:rsid w:val="000B2202"/>
    <w:rsid w:val="000B221C"/>
    <w:rsid w:val="000B2310"/>
    <w:rsid w:val="000B2405"/>
    <w:rsid w:val="000B2870"/>
    <w:rsid w:val="000B2D41"/>
    <w:rsid w:val="000B2D6D"/>
    <w:rsid w:val="000B2E8E"/>
    <w:rsid w:val="000B2EF2"/>
    <w:rsid w:val="000B2F00"/>
    <w:rsid w:val="000B2F4A"/>
    <w:rsid w:val="000B2F87"/>
    <w:rsid w:val="000B2FC7"/>
    <w:rsid w:val="000B304B"/>
    <w:rsid w:val="000B34A7"/>
    <w:rsid w:val="000B35BE"/>
    <w:rsid w:val="000B3630"/>
    <w:rsid w:val="000B36E9"/>
    <w:rsid w:val="000B388D"/>
    <w:rsid w:val="000B3963"/>
    <w:rsid w:val="000B3AA4"/>
    <w:rsid w:val="000B3B8F"/>
    <w:rsid w:val="000B3BFC"/>
    <w:rsid w:val="000B4159"/>
    <w:rsid w:val="000B4843"/>
    <w:rsid w:val="000B48A1"/>
    <w:rsid w:val="000B4AA7"/>
    <w:rsid w:val="000B4C00"/>
    <w:rsid w:val="000B4C47"/>
    <w:rsid w:val="000B5007"/>
    <w:rsid w:val="000B51E1"/>
    <w:rsid w:val="000B5213"/>
    <w:rsid w:val="000B52CB"/>
    <w:rsid w:val="000B5321"/>
    <w:rsid w:val="000B5409"/>
    <w:rsid w:val="000B5421"/>
    <w:rsid w:val="000B562E"/>
    <w:rsid w:val="000B572C"/>
    <w:rsid w:val="000B5DCC"/>
    <w:rsid w:val="000B5E43"/>
    <w:rsid w:val="000B60A5"/>
    <w:rsid w:val="000B60DD"/>
    <w:rsid w:val="000B626B"/>
    <w:rsid w:val="000B6682"/>
    <w:rsid w:val="000B66D6"/>
    <w:rsid w:val="000B689D"/>
    <w:rsid w:val="000B698D"/>
    <w:rsid w:val="000B69FF"/>
    <w:rsid w:val="000B6B31"/>
    <w:rsid w:val="000B700F"/>
    <w:rsid w:val="000B707A"/>
    <w:rsid w:val="000B73CD"/>
    <w:rsid w:val="000B7470"/>
    <w:rsid w:val="000B7A0E"/>
    <w:rsid w:val="000B7B91"/>
    <w:rsid w:val="000B7DB1"/>
    <w:rsid w:val="000B7F54"/>
    <w:rsid w:val="000B7F58"/>
    <w:rsid w:val="000C0087"/>
    <w:rsid w:val="000C0118"/>
    <w:rsid w:val="000C020E"/>
    <w:rsid w:val="000C02CD"/>
    <w:rsid w:val="000C0419"/>
    <w:rsid w:val="000C0679"/>
    <w:rsid w:val="000C08A2"/>
    <w:rsid w:val="000C0C6C"/>
    <w:rsid w:val="000C0DF3"/>
    <w:rsid w:val="000C11EC"/>
    <w:rsid w:val="000C145F"/>
    <w:rsid w:val="000C14A0"/>
    <w:rsid w:val="000C1615"/>
    <w:rsid w:val="000C1F03"/>
    <w:rsid w:val="000C209E"/>
    <w:rsid w:val="000C21EC"/>
    <w:rsid w:val="000C22A0"/>
    <w:rsid w:val="000C2458"/>
    <w:rsid w:val="000C24A5"/>
    <w:rsid w:val="000C27CF"/>
    <w:rsid w:val="000C29A0"/>
    <w:rsid w:val="000C29F9"/>
    <w:rsid w:val="000C2BFD"/>
    <w:rsid w:val="000C31BF"/>
    <w:rsid w:val="000C33FE"/>
    <w:rsid w:val="000C354A"/>
    <w:rsid w:val="000C3EAA"/>
    <w:rsid w:val="000C432F"/>
    <w:rsid w:val="000C46BB"/>
    <w:rsid w:val="000C4DAF"/>
    <w:rsid w:val="000C4DB1"/>
    <w:rsid w:val="000C4F4C"/>
    <w:rsid w:val="000C5172"/>
    <w:rsid w:val="000C51A6"/>
    <w:rsid w:val="000C5333"/>
    <w:rsid w:val="000C54F1"/>
    <w:rsid w:val="000C5666"/>
    <w:rsid w:val="000C5706"/>
    <w:rsid w:val="000C5834"/>
    <w:rsid w:val="000C5961"/>
    <w:rsid w:val="000C5B03"/>
    <w:rsid w:val="000C5DC3"/>
    <w:rsid w:val="000C60C6"/>
    <w:rsid w:val="000C623C"/>
    <w:rsid w:val="000C64C5"/>
    <w:rsid w:val="000C6589"/>
    <w:rsid w:val="000C68AF"/>
    <w:rsid w:val="000C6995"/>
    <w:rsid w:val="000C69E7"/>
    <w:rsid w:val="000C6A13"/>
    <w:rsid w:val="000C6A22"/>
    <w:rsid w:val="000C707A"/>
    <w:rsid w:val="000C7143"/>
    <w:rsid w:val="000C71D0"/>
    <w:rsid w:val="000C72E3"/>
    <w:rsid w:val="000C7313"/>
    <w:rsid w:val="000C7440"/>
    <w:rsid w:val="000C765F"/>
    <w:rsid w:val="000C78D5"/>
    <w:rsid w:val="000C78E6"/>
    <w:rsid w:val="000C7A03"/>
    <w:rsid w:val="000C7A29"/>
    <w:rsid w:val="000C7B0D"/>
    <w:rsid w:val="000C7E26"/>
    <w:rsid w:val="000C7EBE"/>
    <w:rsid w:val="000C7F2D"/>
    <w:rsid w:val="000C7F33"/>
    <w:rsid w:val="000D0007"/>
    <w:rsid w:val="000D077F"/>
    <w:rsid w:val="000D0BBB"/>
    <w:rsid w:val="000D0C4C"/>
    <w:rsid w:val="000D0D6B"/>
    <w:rsid w:val="000D0DAC"/>
    <w:rsid w:val="000D0FE9"/>
    <w:rsid w:val="000D108F"/>
    <w:rsid w:val="000D11E5"/>
    <w:rsid w:val="000D12FA"/>
    <w:rsid w:val="000D12FF"/>
    <w:rsid w:val="000D1B54"/>
    <w:rsid w:val="000D1D5F"/>
    <w:rsid w:val="000D1DC7"/>
    <w:rsid w:val="000D20E3"/>
    <w:rsid w:val="000D21B3"/>
    <w:rsid w:val="000D2488"/>
    <w:rsid w:val="000D27FE"/>
    <w:rsid w:val="000D280B"/>
    <w:rsid w:val="000D2881"/>
    <w:rsid w:val="000D28BB"/>
    <w:rsid w:val="000D2A06"/>
    <w:rsid w:val="000D2B14"/>
    <w:rsid w:val="000D2BFE"/>
    <w:rsid w:val="000D2F4D"/>
    <w:rsid w:val="000D30AB"/>
    <w:rsid w:val="000D3440"/>
    <w:rsid w:val="000D3797"/>
    <w:rsid w:val="000D383D"/>
    <w:rsid w:val="000D3BBC"/>
    <w:rsid w:val="000D4323"/>
    <w:rsid w:val="000D450A"/>
    <w:rsid w:val="000D452E"/>
    <w:rsid w:val="000D45E2"/>
    <w:rsid w:val="000D4A13"/>
    <w:rsid w:val="000D4A25"/>
    <w:rsid w:val="000D4BA9"/>
    <w:rsid w:val="000D4E64"/>
    <w:rsid w:val="000D4FA3"/>
    <w:rsid w:val="000D57F4"/>
    <w:rsid w:val="000D5804"/>
    <w:rsid w:val="000D5823"/>
    <w:rsid w:val="000D5850"/>
    <w:rsid w:val="000D5BA3"/>
    <w:rsid w:val="000D5E30"/>
    <w:rsid w:val="000D5F07"/>
    <w:rsid w:val="000D5F86"/>
    <w:rsid w:val="000D608A"/>
    <w:rsid w:val="000D6124"/>
    <w:rsid w:val="000D62A3"/>
    <w:rsid w:val="000D6458"/>
    <w:rsid w:val="000D64D7"/>
    <w:rsid w:val="000D66A5"/>
    <w:rsid w:val="000D670B"/>
    <w:rsid w:val="000D6920"/>
    <w:rsid w:val="000D6D75"/>
    <w:rsid w:val="000D6EA4"/>
    <w:rsid w:val="000D7308"/>
    <w:rsid w:val="000D73BF"/>
    <w:rsid w:val="000D7599"/>
    <w:rsid w:val="000D7965"/>
    <w:rsid w:val="000E000D"/>
    <w:rsid w:val="000E0273"/>
    <w:rsid w:val="000E09D1"/>
    <w:rsid w:val="000E0C0C"/>
    <w:rsid w:val="000E0E46"/>
    <w:rsid w:val="000E0E79"/>
    <w:rsid w:val="000E1087"/>
    <w:rsid w:val="000E1557"/>
    <w:rsid w:val="000E1AC9"/>
    <w:rsid w:val="000E1BD0"/>
    <w:rsid w:val="000E1E0D"/>
    <w:rsid w:val="000E1F60"/>
    <w:rsid w:val="000E1F80"/>
    <w:rsid w:val="000E202D"/>
    <w:rsid w:val="000E2233"/>
    <w:rsid w:val="000E24A5"/>
    <w:rsid w:val="000E271A"/>
    <w:rsid w:val="000E2B90"/>
    <w:rsid w:val="000E2CCE"/>
    <w:rsid w:val="000E2EB2"/>
    <w:rsid w:val="000E2EFB"/>
    <w:rsid w:val="000E342B"/>
    <w:rsid w:val="000E3435"/>
    <w:rsid w:val="000E352B"/>
    <w:rsid w:val="000E359D"/>
    <w:rsid w:val="000E363D"/>
    <w:rsid w:val="000E3727"/>
    <w:rsid w:val="000E39FB"/>
    <w:rsid w:val="000E3A50"/>
    <w:rsid w:val="000E3B26"/>
    <w:rsid w:val="000E3CC9"/>
    <w:rsid w:val="000E40E5"/>
    <w:rsid w:val="000E4324"/>
    <w:rsid w:val="000E4397"/>
    <w:rsid w:val="000E43B2"/>
    <w:rsid w:val="000E4420"/>
    <w:rsid w:val="000E4499"/>
    <w:rsid w:val="000E46AA"/>
    <w:rsid w:val="000E4729"/>
    <w:rsid w:val="000E499C"/>
    <w:rsid w:val="000E4A6B"/>
    <w:rsid w:val="000E4C5E"/>
    <w:rsid w:val="000E4FEC"/>
    <w:rsid w:val="000E5010"/>
    <w:rsid w:val="000E51DC"/>
    <w:rsid w:val="000E52BE"/>
    <w:rsid w:val="000E5400"/>
    <w:rsid w:val="000E5646"/>
    <w:rsid w:val="000E5CAE"/>
    <w:rsid w:val="000E5E25"/>
    <w:rsid w:val="000E6523"/>
    <w:rsid w:val="000E69D0"/>
    <w:rsid w:val="000E6AE8"/>
    <w:rsid w:val="000E718A"/>
    <w:rsid w:val="000E720D"/>
    <w:rsid w:val="000E72A8"/>
    <w:rsid w:val="000E7360"/>
    <w:rsid w:val="000E7543"/>
    <w:rsid w:val="000E759F"/>
    <w:rsid w:val="000E766B"/>
    <w:rsid w:val="000E777E"/>
    <w:rsid w:val="000E7980"/>
    <w:rsid w:val="000E7B7F"/>
    <w:rsid w:val="000E7CFA"/>
    <w:rsid w:val="000E7EC8"/>
    <w:rsid w:val="000E7F11"/>
    <w:rsid w:val="000E7F96"/>
    <w:rsid w:val="000E7FC6"/>
    <w:rsid w:val="000F024E"/>
    <w:rsid w:val="000F03E0"/>
    <w:rsid w:val="000F041B"/>
    <w:rsid w:val="000F05B9"/>
    <w:rsid w:val="000F05D5"/>
    <w:rsid w:val="000F05F8"/>
    <w:rsid w:val="000F0668"/>
    <w:rsid w:val="000F0C44"/>
    <w:rsid w:val="000F0C5C"/>
    <w:rsid w:val="000F0E8B"/>
    <w:rsid w:val="000F103D"/>
    <w:rsid w:val="000F10BB"/>
    <w:rsid w:val="000F182A"/>
    <w:rsid w:val="000F18BA"/>
    <w:rsid w:val="000F1F15"/>
    <w:rsid w:val="000F1F2F"/>
    <w:rsid w:val="000F1FCB"/>
    <w:rsid w:val="000F2185"/>
    <w:rsid w:val="000F2711"/>
    <w:rsid w:val="000F2758"/>
    <w:rsid w:val="000F282B"/>
    <w:rsid w:val="000F2972"/>
    <w:rsid w:val="000F2F2B"/>
    <w:rsid w:val="000F312F"/>
    <w:rsid w:val="000F314F"/>
    <w:rsid w:val="000F3492"/>
    <w:rsid w:val="000F34FA"/>
    <w:rsid w:val="000F3563"/>
    <w:rsid w:val="000F3974"/>
    <w:rsid w:val="000F3A69"/>
    <w:rsid w:val="000F3AA9"/>
    <w:rsid w:val="000F3B93"/>
    <w:rsid w:val="000F3BEB"/>
    <w:rsid w:val="000F4087"/>
    <w:rsid w:val="000F423C"/>
    <w:rsid w:val="000F42AC"/>
    <w:rsid w:val="000F4322"/>
    <w:rsid w:val="000F4712"/>
    <w:rsid w:val="000F473E"/>
    <w:rsid w:val="000F4A97"/>
    <w:rsid w:val="000F4B0D"/>
    <w:rsid w:val="000F4E05"/>
    <w:rsid w:val="000F4E86"/>
    <w:rsid w:val="000F5309"/>
    <w:rsid w:val="000F54EA"/>
    <w:rsid w:val="000F5505"/>
    <w:rsid w:val="000F555C"/>
    <w:rsid w:val="000F592D"/>
    <w:rsid w:val="000F5978"/>
    <w:rsid w:val="000F59EF"/>
    <w:rsid w:val="000F5AE3"/>
    <w:rsid w:val="000F5B32"/>
    <w:rsid w:val="000F5C1B"/>
    <w:rsid w:val="000F612C"/>
    <w:rsid w:val="000F6137"/>
    <w:rsid w:val="000F6218"/>
    <w:rsid w:val="000F62C7"/>
    <w:rsid w:val="000F6642"/>
    <w:rsid w:val="000F6882"/>
    <w:rsid w:val="000F6C4A"/>
    <w:rsid w:val="000F7178"/>
    <w:rsid w:val="000F730A"/>
    <w:rsid w:val="000F7502"/>
    <w:rsid w:val="000F751D"/>
    <w:rsid w:val="000F7557"/>
    <w:rsid w:val="000F7A69"/>
    <w:rsid w:val="000F7C4D"/>
    <w:rsid w:val="000F7C84"/>
    <w:rsid w:val="000F7DE8"/>
    <w:rsid w:val="000FEC9B"/>
    <w:rsid w:val="0010035B"/>
    <w:rsid w:val="001004C0"/>
    <w:rsid w:val="00100A65"/>
    <w:rsid w:val="00100B48"/>
    <w:rsid w:val="00100F55"/>
    <w:rsid w:val="00100FEE"/>
    <w:rsid w:val="001011A8"/>
    <w:rsid w:val="001013A2"/>
    <w:rsid w:val="0010197E"/>
    <w:rsid w:val="00101C2B"/>
    <w:rsid w:val="00101D01"/>
    <w:rsid w:val="00101D40"/>
    <w:rsid w:val="00102010"/>
    <w:rsid w:val="00102093"/>
    <w:rsid w:val="00102222"/>
    <w:rsid w:val="00102BC8"/>
    <w:rsid w:val="00102BF5"/>
    <w:rsid w:val="00103100"/>
    <w:rsid w:val="00103155"/>
    <w:rsid w:val="00103238"/>
    <w:rsid w:val="001032B8"/>
    <w:rsid w:val="0010338F"/>
    <w:rsid w:val="001034B2"/>
    <w:rsid w:val="00103774"/>
    <w:rsid w:val="00103791"/>
    <w:rsid w:val="001039EE"/>
    <w:rsid w:val="00103D98"/>
    <w:rsid w:val="0010457D"/>
    <w:rsid w:val="001046B2"/>
    <w:rsid w:val="00104871"/>
    <w:rsid w:val="00104DB4"/>
    <w:rsid w:val="00104F4A"/>
    <w:rsid w:val="00105206"/>
    <w:rsid w:val="00105221"/>
    <w:rsid w:val="00105277"/>
    <w:rsid w:val="0010532F"/>
    <w:rsid w:val="001059D3"/>
    <w:rsid w:val="00105B93"/>
    <w:rsid w:val="00105C5D"/>
    <w:rsid w:val="00105D62"/>
    <w:rsid w:val="00105E9B"/>
    <w:rsid w:val="00105FA1"/>
    <w:rsid w:val="00106464"/>
    <w:rsid w:val="00106518"/>
    <w:rsid w:val="00106A99"/>
    <w:rsid w:val="00106C4A"/>
    <w:rsid w:val="00106ED0"/>
    <w:rsid w:val="00106EE5"/>
    <w:rsid w:val="001071E0"/>
    <w:rsid w:val="00107273"/>
    <w:rsid w:val="00107BB7"/>
    <w:rsid w:val="00107F37"/>
    <w:rsid w:val="00110340"/>
    <w:rsid w:val="00110357"/>
    <w:rsid w:val="00110662"/>
    <w:rsid w:val="00110707"/>
    <w:rsid w:val="00110711"/>
    <w:rsid w:val="00110743"/>
    <w:rsid w:val="001107D5"/>
    <w:rsid w:val="00110ADD"/>
    <w:rsid w:val="00110ADE"/>
    <w:rsid w:val="00110C65"/>
    <w:rsid w:val="00110D2C"/>
    <w:rsid w:val="00111078"/>
    <w:rsid w:val="00111097"/>
    <w:rsid w:val="0011131A"/>
    <w:rsid w:val="0011150F"/>
    <w:rsid w:val="0011159E"/>
    <w:rsid w:val="001115A4"/>
    <w:rsid w:val="001116FA"/>
    <w:rsid w:val="001117CD"/>
    <w:rsid w:val="00111D68"/>
    <w:rsid w:val="00111E4B"/>
    <w:rsid w:val="00111F30"/>
    <w:rsid w:val="00112268"/>
    <w:rsid w:val="0011245C"/>
    <w:rsid w:val="001124FA"/>
    <w:rsid w:val="001125FD"/>
    <w:rsid w:val="0011284E"/>
    <w:rsid w:val="001128BB"/>
    <w:rsid w:val="001128FC"/>
    <w:rsid w:val="001128FD"/>
    <w:rsid w:val="00112E1E"/>
    <w:rsid w:val="00112E3C"/>
    <w:rsid w:val="00113127"/>
    <w:rsid w:val="00113265"/>
    <w:rsid w:val="001133E2"/>
    <w:rsid w:val="001136F1"/>
    <w:rsid w:val="00113C80"/>
    <w:rsid w:val="00113F5D"/>
    <w:rsid w:val="0011409A"/>
    <w:rsid w:val="001141C5"/>
    <w:rsid w:val="001143ED"/>
    <w:rsid w:val="00114A4D"/>
    <w:rsid w:val="00114BF4"/>
    <w:rsid w:val="00114C4E"/>
    <w:rsid w:val="00114F59"/>
    <w:rsid w:val="00115797"/>
    <w:rsid w:val="0011590C"/>
    <w:rsid w:val="00115B4E"/>
    <w:rsid w:val="00115D65"/>
    <w:rsid w:val="00115FDC"/>
    <w:rsid w:val="001161C4"/>
    <w:rsid w:val="001162C4"/>
    <w:rsid w:val="00116396"/>
    <w:rsid w:val="00116C1D"/>
    <w:rsid w:val="001172C8"/>
    <w:rsid w:val="00117361"/>
    <w:rsid w:val="0011748F"/>
    <w:rsid w:val="00117690"/>
    <w:rsid w:val="001178DD"/>
    <w:rsid w:val="00117A61"/>
    <w:rsid w:val="00117B08"/>
    <w:rsid w:val="00117BAF"/>
    <w:rsid w:val="00117CCE"/>
    <w:rsid w:val="00120087"/>
    <w:rsid w:val="00120554"/>
    <w:rsid w:val="00120823"/>
    <w:rsid w:val="00120B9A"/>
    <w:rsid w:val="00120D06"/>
    <w:rsid w:val="001210B3"/>
    <w:rsid w:val="001210C6"/>
    <w:rsid w:val="0012113F"/>
    <w:rsid w:val="0012163E"/>
    <w:rsid w:val="00121797"/>
    <w:rsid w:val="001217A1"/>
    <w:rsid w:val="00121802"/>
    <w:rsid w:val="00121F8E"/>
    <w:rsid w:val="0012202D"/>
    <w:rsid w:val="0012207E"/>
    <w:rsid w:val="00122283"/>
    <w:rsid w:val="0012229F"/>
    <w:rsid w:val="001224D9"/>
    <w:rsid w:val="001228D1"/>
    <w:rsid w:val="001228DF"/>
    <w:rsid w:val="00122AE9"/>
    <w:rsid w:val="00122B06"/>
    <w:rsid w:val="00122E18"/>
    <w:rsid w:val="00122F5F"/>
    <w:rsid w:val="00122F93"/>
    <w:rsid w:val="00122FC1"/>
    <w:rsid w:val="0012353F"/>
    <w:rsid w:val="001235D0"/>
    <w:rsid w:val="0012363A"/>
    <w:rsid w:val="00123ABA"/>
    <w:rsid w:val="00123B02"/>
    <w:rsid w:val="00123E29"/>
    <w:rsid w:val="00123ED7"/>
    <w:rsid w:val="001241E5"/>
    <w:rsid w:val="00124302"/>
    <w:rsid w:val="00124476"/>
    <w:rsid w:val="00124531"/>
    <w:rsid w:val="00124779"/>
    <w:rsid w:val="00124981"/>
    <w:rsid w:val="00124B11"/>
    <w:rsid w:val="00124FF5"/>
    <w:rsid w:val="00125326"/>
    <w:rsid w:val="00125466"/>
    <w:rsid w:val="00125477"/>
    <w:rsid w:val="001255A0"/>
    <w:rsid w:val="001257B9"/>
    <w:rsid w:val="00125891"/>
    <w:rsid w:val="00125F7F"/>
    <w:rsid w:val="00126068"/>
    <w:rsid w:val="001260A5"/>
    <w:rsid w:val="001260C9"/>
    <w:rsid w:val="001260F3"/>
    <w:rsid w:val="0012625B"/>
    <w:rsid w:val="00126356"/>
    <w:rsid w:val="001263AF"/>
    <w:rsid w:val="00126550"/>
    <w:rsid w:val="00126717"/>
    <w:rsid w:val="00126EFC"/>
    <w:rsid w:val="00127357"/>
    <w:rsid w:val="0012785C"/>
    <w:rsid w:val="00127AF2"/>
    <w:rsid w:val="00127BFE"/>
    <w:rsid w:val="00127EA7"/>
    <w:rsid w:val="00130040"/>
    <w:rsid w:val="0013046C"/>
    <w:rsid w:val="001306AC"/>
    <w:rsid w:val="001306D3"/>
    <w:rsid w:val="00130965"/>
    <w:rsid w:val="00130C38"/>
    <w:rsid w:val="00130C51"/>
    <w:rsid w:val="00130D87"/>
    <w:rsid w:val="00131034"/>
    <w:rsid w:val="001310E7"/>
    <w:rsid w:val="001314A1"/>
    <w:rsid w:val="00131852"/>
    <w:rsid w:val="001319FC"/>
    <w:rsid w:val="00131A86"/>
    <w:rsid w:val="00131CE3"/>
    <w:rsid w:val="00131D10"/>
    <w:rsid w:val="00131E82"/>
    <w:rsid w:val="00131F01"/>
    <w:rsid w:val="001321C9"/>
    <w:rsid w:val="00132361"/>
    <w:rsid w:val="001323C5"/>
    <w:rsid w:val="001328C8"/>
    <w:rsid w:val="00132992"/>
    <w:rsid w:val="001329EB"/>
    <w:rsid w:val="00132AE1"/>
    <w:rsid w:val="00132B0A"/>
    <w:rsid w:val="00132B2C"/>
    <w:rsid w:val="00132B30"/>
    <w:rsid w:val="00132C91"/>
    <w:rsid w:val="00132CA8"/>
    <w:rsid w:val="00132D64"/>
    <w:rsid w:val="00132E5A"/>
    <w:rsid w:val="00132EDC"/>
    <w:rsid w:val="00132FC1"/>
    <w:rsid w:val="00133195"/>
    <w:rsid w:val="00133598"/>
    <w:rsid w:val="001336D0"/>
    <w:rsid w:val="001338FC"/>
    <w:rsid w:val="00133F13"/>
    <w:rsid w:val="001340A7"/>
    <w:rsid w:val="00134148"/>
    <w:rsid w:val="0013472A"/>
    <w:rsid w:val="0013477B"/>
    <w:rsid w:val="00134A37"/>
    <w:rsid w:val="00134C1D"/>
    <w:rsid w:val="0013566F"/>
    <w:rsid w:val="0013583F"/>
    <w:rsid w:val="001359FA"/>
    <w:rsid w:val="00135A85"/>
    <w:rsid w:val="00135F1B"/>
    <w:rsid w:val="001360BB"/>
    <w:rsid w:val="00136351"/>
    <w:rsid w:val="0013640C"/>
    <w:rsid w:val="001364C5"/>
    <w:rsid w:val="001365AC"/>
    <w:rsid w:val="001369EF"/>
    <w:rsid w:val="00136A25"/>
    <w:rsid w:val="00136B02"/>
    <w:rsid w:val="00136C07"/>
    <w:rsid w:val="00136D1D"/>
    <w:rsid w:val="00137078"/>
    <w:rsid w:val="00137489"/>
    <w:rsid w:val="00137530"/>
    <w:rsid w:val="001376D3"/>
    <w:rsid w:val="00137C01"/>
    <w:rsid w:val="00137C98"/>
    <w:rsid w:val="00137DCD"/>
    <w:rsid w:val="00140277"/>
    <w:rsid w:val="00140393"/>
    <w:rsid w:val="0014050E"/>
    <w:rsid w:val="00140663"/>
    <w:rsid w:val="001406AF"/>
    <w:rsid w:val="00140997"/>
    <w:rsid w:val="00140C4C"/>
    <w:rsid w:val="00140DF2"/>
    <w:rsid w:val="00140EB7"/>
    <w:rsid w:val="00140F04"/>
    <w:rsid w:val="00140FCB"/>
    <w:rsid w:val="001413B4"/>
    <w:rsid w:val="001414C2"/>
    <w:rsid w:val="001414DA"/>
    <w:rsid w:val="001414EA"/>
    <w:rsid w:val="0014154A"/>
    <w:rsid w:val="001416AF"/>
    <w:rsid w:val="00141D0D"/>
    <w:rsid w:val="00141F38"/>
    <w:rsid w:val="00142468"/>
    <w:rsid w:val="00142485"/>
    <w:rsid w:val="001425FB"/>
    <w:rsid w:val="00142815"/>
    <w:rsid w:val="00142CB7"/>
    <w:rsid w:val="00142FA4"/>
    <w:rsid w:val="001430AD"/>
    <w:rsid w:val="001431C2"/>
    <w:rsid w:val="00143201"/>
    <w:rsid w:val="00143925"/>
    <w:rsid w:val="00143B54"/>
    <w:rsid w:val="00143D2A"/>
    <w:rsid w:val="00143DF5"/>
    <w:rsid w:val="00143E23"/>
    <w:rsid w:val="00143FEC"/>
    <w:rsid w:val="0014400A"/>
    <w:rsid w:val="00144093"/>
    <w:rsid w:val="00144299"/>
    <w:rsid w:val="00144315"/>
    <w:rsid w:val="00144533"/>
    <w:rsid w:val="001448E8"/>
    <w:rsid w:val="00144C4D"/>
    <w:rsid w:val="00144CA4"/>
    <w:rsid w:val="00144D24"/>
    <w:rsid w:val="00144FFF"/>
    <w:rsid w:val="001455CF"/>
    <w:rsid w:val="0014574C"/>
    <w:rsid w:val="001463B2"/>
    <w:rsid w:val="00146404"/>
    <w:rsid w:val="0014643F"/>
    <w:rsid w:val="0014651B"/>
    <w:rsid w:val="001468C9"/>
    <w:rsid w:val="00146BE4"/>
    <w:rsid w:val="00146E0A"/>
    <w:rsid w:val="00147068"/>
    <w:rsid w:val="001471D4"/>
    <w:rsid w:val="001471E5"/>
    <w:rsid w:val="0014771C"/>
    <w:rsid w:val="00147C30"/>
    <w:rsid w:val="00147DC0"/>
    <w:rsid w:val="00150375"/>
    <w:rsid w:val="0015050F"/>
    <w:rsid w:val="0015062F"/>
    <w:rsid w:val="00150A56"/>
    <w:rsid w:val="00150C6D"/>
    <w:rsid w:val="00150E5C"/>
    <w:rsid w:val="001511B0"/>
    <w:rsid w:val="00151283"/>
    <w:rsid w:val="00151415"/>
    <w:rsid w:val="001514F5"/>
    <w:rsid w:val="0015182D"/>
    <w:rsid w:val="00151CE5"/>
    <w:rsid w:val="00151E86"/>
    <w:rsid w:val="001520C2"/>
    <w:rsid w:val="001520E3"/>
    <w:rsid w:val="001522F2"/>
    <w:rsid w:val="001522FD"/>
    <w:rsid w:val="00152550"/>
    <w:rsid w:val="001528D6"/>
    <w:rsid w:val="0015291A"/>
    <w:rsid w:val="00152A3B"/>
    <w:rsid w:val="00152A5A"/>
    <w:rsid w:val="00152A7A"/>
    <w:rsid w:val="00152B5B"/>
    <w:rsid w:val="00152B9D"/>
    <w:rsid w:val="00152E21"/>
    <w:rsid w:val="00152FF1"/>
    <w:rsid w:val="0015306B"/>
    <w:rsid w:val="001530DC"/>
    <w:rsid w:val="00153116"/>
    <w:rsid w:val="00153222"/>
    <w:rsid w:val="001535D0"/>
    <w:rsid w:val="001536F5"/>
    <w:rsid w:val="00153934"/>
    <w:rsid w:val="00153A2A"/>
    <w:rsid w:val="00153F06"/>
    <w:rsid w:val="001541C7"/>
    <w:rsid w:val="0015425C"/>
    <w:rsid w:val="0015428B"/>
    <w:rsid w:val="00154451"/>
    <w:rsid w:val="001544E7"/>
    <w:rsid w:val="00154820"/>
    <w:rsid w:val="0015490F"/>
    <w:rsid w:val="00154ABD"/>
    <w:rsid w:val="00154D1B"/>
    <w:rsid w:val="00154E49"/>
    <w:rsid w:val="00154F0E"/>
    <w:rsid w:val="0015502A"/>
    <w:rsid w:val="0015558B"/>
    <w:rsid w:val="001555CB"/>
    <w:rsid w:val="00155640"/>
    <w:rsid w:val="001557A6"/>
    <w:rsid w:val="00155A81"/>
    <w:rsid w:val="00155A82"/>
    <w:rsid w:val="00155A89"/>
    <w:rsid w:val="00155F97"/>
    <w:rsid w:val="00156244"/>
    <w:rsid w:val="001562AC"/>
    <w:rsid w:val="0015643A"/>
    <w:rsid w:val="00156540"/>
    <w:rsid w:val="0015691B"/>
    <w:rsid w:val="00156A12"/>
    <w:rsid w:val="00156DE8"/>
    <w:rsid w:val="00156DF2"/>
    <w:rsid w:val="00156ED4"/>
    <w:rsid w:val="00157750"/>
    <w:rsid w:val="00157CDF"/>
    <w:rsid w:val="00157D57"/>
    <w:rsid w:val="00160023"/>
    <w:rsid w:val="0016008D"/>
    <w:rsid w:val="0016013C"/>
    <w:rsid w:val="00160211"/>
    <w:rsid w:val="001602F9"/>
    <w:rsid w:val="001605AE"/>
    <w:rsid w:val="0016076D"/>
    <w:rsid w:val="0016084F"/>
    <w:rsid w:val="001609F3"/>
    <w:rsid w:val="00160B63"/>
    <w:rsid w:val="00160BA6"/>
    <w:rsid w:val="00160BBD"/>
    <w:rsid w:val="00160D55"/>
    <w:rsid w:val="00160ED4"/>
    <w:rsid w:val="00160F0E"/>
    <w:rsid w:val="00160FA4"/>
    <w:rsid w:val="00161284"/>
    <w:rsid w:val="001612B2"/>
    <w:rsid w:val="00161355"/>
    <w:rsid w:val="00161653"/>
    <w:rsid w:val="00161987"/>
    <w:rsid w:val="00161B53"/>
    <w:rsid w:val="00161C0D"/>
    <w:rsid w:val="00162232"/>
    <w:rsid w:val="00162413"/>
    <w:rsid w:val="00162528"/>
    <w:rsid w:val="00162822"/>
    <w:rsid w:val="00162BB6"/>
    <w:rsid w:val="001630F8"/>
    <w:rsid w:val="00163381"/>
    <w:rsid w:val="0016367B"/>
    <w:rsid w:val="0016392E"/>
    <w:rsid w:val="00163EDA"/>
    <w:rsid w:val="00163FB9"/>
    <w:rsid w:val="001640F6"/>
    <w:rsid w:val="00164125"/>
    <w:rsid w:val="00164277"/>
    <w:rsid w:val="0016440D"/>
    <w:rsid w:val="0016469B"/>
    <w:rsid w:val="00164A29"/>
    <w:rsid w:val="00164B6F"/>
    <w:rsid w:val="00164CAE"/>
    <w:rsid w:val="00164F86"/>
    <w:rsid w:val="00165157"/>
    <w:rsid w:val="001651D2"/>
    <w:rsid w:val="001653AE"/>
    <w:rsid w:val="0016556B"/>
    <w:rsid w:val="00165AC4"/>
    <w:rsid w:val="00166105"/>
    <w:rsid w:val="00166491"/>
    <w:rsid w:val="00166538"/>
    <w:rsid w:val="0016681A"/>
    <w:rsid w:val="0016681D"/>
    <w:rsid w:val="0016686C"/>
    <w:rsid w:val="0016696D"/>
    <w:rsid w:val="00166AF9"/>
    <w:rsid w:val="00166C4E"/>
    <w:rsid w:val="00166CC7"/>
    <w:rsid w:val="001672EB"/>
    <w:rsid w:val="00167690"/>
    <w:rsid w:val="001677E1"/>
    <w:rsid w:val="00167F2E"/>
    <w:rsid w:val="00167F5D"/>
    <w:rsid w:val="0017006B"/>
    <w:rsid w:val="00170366"/>
    <w:rsid w:val="001703D9"/>
    <w:rsid w:val="001706D5"/>
    <w:rsid w:val="001706D8"/>
    <w:rsid w:val="001708CC"/>
    <w:rsid w:val="00170A91"/>
    <w:rsid w:val="00170CAF"/>
    <w:rsid w:val="00170FC4"/>
    <w:rsid w:val="00171205"/>
    <w:rsid w:val="0017129E"/>
    <w:rsid w:val="001714BC"/>
    <w:rsid w:val="001716F2"/>
    <w:rsid w:val="00171923"/>
    <w:rsid w:val="00171AFB"/>
    <w:rsid w:val="00171CB4"/>
    <w:rsid w:val="00171D2D"/>
    <w:rsid w:val="001720C6"/>
    <w:rsid w:val="001720F3"/>
    <w:rsid w:val="00172349"/>
    <w:rsid w:val="001724C4"/>
    <w:rsid w:val="001726B2"/>
    <w:rsid w:val="00172740"/>
    <w:rsid w:val="0017275F"/>
    <w:rsid w:val="00172864"/>
    <w:rsid w:val="00172999"/>
    <w:rsid w:val="001729E8"/>
    <w:rsid w:val="00172A02"/>
    <w:rsid w:val="00172AFF"/>
    <w:rsid w:val="0017316C"/>
    <w:rsid w:val="001731BE"/>
    <w:rsid w:val="0017325C"/>
    <w:rsid w:val="001732B1"/>
    <w:rsid w:val="001733B0"/>
    <w:rsid w:val="001734E9"/>
    <w:rsid w:val="00173690"/>
    <w:rsid w:val="00173810"/>
    <w:rsid w:val="00173966"/>
    <w:rsid w:val="00173E96"/>
    <w:rsid w:val="001741A2"/>
    <w:rsid w:val="0017431C"/>
    <w:rsid w:val="001743C7"/>
    <w:rsid w:val="00174577"/>
    <w:rsid w:val="00174882"/>
    <w:rsid w:val="001748C6"/>
    <w:rsid w:val="00174927"/>
    <w:rsid w:val="00174BD6"/>
    <w:rsid w:val="00174D7D"/>
    <w:rsid w:val="00174DA6"/>
    <w:rsid w:val="00174F03"/>
    <w:rsid w:val="00174F5C"/>
    <w:rsid w:val="00175704"/>
    <w:rsid w:val="00175801"/>
    <w:rsid w:val="00175852"/>
    <w:rsid w:val="0017596B"/>
    <w:rsid w:val="001759B7"/>
    <w:rsid w:val="00175A80"/>
    <w:rsid w:val="00175B56"/>
    <w:rsid w:val="00175B95"/>
    <w:rsid w:val="00175EB9"/>
    <w:rsid w:val="00175F2B"/>
    <w:rsid w:val="0017606E"/>
    <w:rsid w:val="00176156"/>
    <w:rsid w:val="001761AD"/>
    <w:rsid w:val="001769E1"/>
    <w:rsid w:val="00176AB2"/>
    <w:rsid w:val="00176AE5"/>
    <w:rsid w:val="00177254"/>
    <w:rsid w:val="001773BA"/>
    <w:rsid w:val="0017747F"/>
    <w:rsid w:val="00177615"/>
    <w:rsid w:val="00177761"/>
    <w:rsid w:val="00177E38"/>
    <w:rsid w:val="00177EDB"/>
    <w:rsid w:val="00177F07"/>
    <w:rsid w:val="0018025C"/>
    <w:rsid w:val="0018081F"/>
    <w:rsid w:val="00180A81"/>
    <w:rsid w:val="00180DAD"/>
    <w:rsid w:val="00180E0B"/>
    <w:rsid w:val="00180E38"/>
    <w:rsid w:val="001813B1"/>
    <w:rsid w:val="00181492"/>
    <w:rsid w:val="00181526"/>
    <w:rsid w:val="00181863"/>
    <w:rsid w:val="00181AAE"/>
    <w:rsid w:val="00181B94"/>
    <w:rsid w:val="00181C72"/>
    <w:rsid w:val="00181C9D"/>
    <w:rsid w:val="00181CB1"/>
    <w:rsid w:val="00182032"/>
    <w:rsid w:val="001820F3"/>
    <w:rsid w:val="0018214E"/>
    <w:rsid w:val="001821F5"/>
    <w:rsid w:val="00182308"/>
    <w:rsid w:val="001826E7"/>
    <w:rsid w:val="0018293E"/>
    <w:rsid w:val="00182AB1"/>
    <w:rsid w:val="00182AB8"/>
    <w:rsid w:val="00182CF2"/>
    <w:rsid w:val="00182F27"/>
    <w:rsid w:val="00182F8C"/>
    <w:rsid w:val="0018319A"/>
    <w:rsid w:val="001832B9"/>
    <w:rsid w:val="001832F1"/>
    <w:rsid w:val="001835DE"/>
    <w:rsid w:val="00183644"/>
    <w:rsid w:val="00183CB6"/>
    <w:rsid w:val="00184438"/>
    <w:rsid w:val="00184470"/>
    <w:rsid w:val="001846C1"/>
    <w:rsid w:val="00184893"/>
    <w:rsid w:val="00184CD0"/>
    <w:rsid w:val="00184F25"/>
    <w:rsid w:val="00184FDA"/>
    <w:rsid w:val="00185017"/>
    <w:rsid w:val="00185188"/>
    <w:rsid w:val="00185196"/>
    <w:rsid w:val="0018555C"/>
    <w:rsid w:val="0018572E"/>
    <w:rsid w:val="001859CC"/>
    <w:rsid w:val="00185B37"/>
    <w:rsid w:val="00185DAC"/>
    <w:rsid w:val="001860E2"/>
    <w:rsid w:val="0018616C"/>
    <w:rsid w:val="00186592"/>
    <w:rsid w:val="00186798"/>
    <w:rsid w:val="0018698A"/>
    <w:rsid w:val="00186AA4"/>
    <w:rsid w:val="00186B56"/>
    <w:rsid w:val="00186CB2"/>
    <w:rsid w:val="00186E1B"/>
    <w:rsid w:val="00186F25"/>
    <w:rsid w:val="0018701E"/>
    <w:rsid w:val="0018707E"/>
    <w:rsid w:val="00187478"/>
    <w:rsid w:val="00187960"/>
    <w:rsid w:val="00187985"/>
    <w:rsid w:val="001879F6"/>
    <w:rsid w:val="00187A2D"/>
    <w:rsid w:val="00187FC3"/>
    <w:rsid w:val="001900AB"/>
    <w:rsid w:val="0019022C"/>
    <w:rsid w:val="001902E7"/>
    <w:rsid w:val="00190684"/>
    <w:rsid w:val="00190816"/>
    <w:rsid w:val="001908D9"/>
    <w:rsid w:val="001909CE"/>
    <w:rsid w:val="00190A7F"/>
    <w:rsid w:val="00190AA3"/>
    <w:rsid w:val="00190DED"/>
    <w:rsid w:val="00190F61"/>
    <w:rsid w:val="0019135B"/>
    <w:rsid w:val="00191505"/>
    <w:rsid w:val="00191ACA"/>
    <w:rsid w:val="001923BC"/>
    <w:rsid w:val="001923D3"/>
    <w:rsid w:val="00192423"/>
    <w:rsid w:val="00192465"/>
    <w:rsid w:val="0019262A"/>
    <w:rsid w:val="0019286A"/>
    <w:rsid w:val="00192A6B"/>
    <w:rsid w:val="00192D4B"/>
    <w:rsid w:val="00192E84"/>
    <w:rsid w:val="00192F38"/>
    <w:rsid w:val="0019300C"/>
    <w:rsid w:val="001936C3"/>
    <w:rsid w:val="001936FD"/>
    <w:rsid w:val="00193803"/>
    <w:rsid w:val="0019389F"/>
    <w:rsid w:val="00193DF1"/>
    <w:rsid w:val="00193EA1"/>
    <w:rsid w:val="00193EC8"/>
    <w:rsid w:val="001941E0"/>
    <w:rsid w:val="001942E3"/>
    <w:rsid w:val="001945CC"/>
    <w:rsid w:val="00194645"/>
    <w:rsid w:val="00194BE9"/>
    <w:rsid w:val="00194C08"/>
    <w:rsid w:val="00194DBD"/>
    <w:rsid w:val="00194E9A"/>
    <w:rsid w:val="00194F1E"/>
    <w:rsid w:val="00194FEB"/>
    <w:rsid w:val="001950D7"/>
    <w:rsid w:val="0019513D"/>
    <w:rsid w:val="0019572D"/>
    <w:rsid w:val="0019579D"/>
    <w:rsid w:val="00195999"/>
    <w:rsid w:val="00195C6D"/>
    <w:rsid w:val="00195CC1"/>
    <w:rsid w:val="00195E27"/>
    <w:rsid w:val="00196096"/>
    <w:rsid w:val="001961AA"/>
    <w:rsid w:val="001962B5"/>
    <w:rsid w:val="00196404"/>
    <w:rsid w:val="0019644C"/>
    <w:rsid w:val="001964A9"/>
    <w:rsid w:val="001964B0"/>
    <w:rsid w:val="001964C0"/>
    <w:rsid w:val="00196789"/>
    <w:rsid w:val="001967DC"/>
    <w:rsid w:val="00196C1A"/>
    <w:rsid w:val="00197021"/>
    <w:rsid w:val="00197371"/>
    <w:rsid w:val="00197515"/>
    <w:rsid w:val="001977F6"/>
    <w:rsid w:val="00197835"/>
    <w:rsid w:val="0019783A"/>
    <w:rsid w:val="001978A4"/>
    <w:rsid w:val="001979C5"/>
    <w:rsid w:val="00197BA7"/>
    <w:rsid w:val="00197BFF"/>
    <w:rsid w:val="00197C1E"/>
    <w:rsid w:val="00197CCF"/>
    <w:rsid w:val="00197CE4"/>
    <w:rsid w:val="00197EB9"/>
    <w:rsid w:val="001A01F7"/>
    <w:rsid w:val="001A0431"/>
    <w:rsid w:val="001A0514"/>
    <w:rsid w:val="001A05BE"/>
    <w:rsid w:val="001A06B1"/>
    <w:rsid w:val="001A07C8"/>
    <w:rsid w:val="001A1067"/>
    <w:rsid w:val="001A1076"/>
    <w:rsid w:val="001A16C6"/>
    <w:rsid w:val="001A188D"/>
    <w:rsid w:val="001A1BF7"/>
    <w:rsid w:val="001A1E60"/>
    <w:rsid w:val="001A205E"/>
    <w:rsid w:val="001A2298"/>
    <w:rsid w:val="001A239E"/>
    <w:rsid w:val="001A242D"/>
    <w:rsid w:val="001A244F"/>
    <w:rsid w:val="001A25EF"/>
    <w:rsid w:val="001A2AA4"/>
    <w:rsid w:val="001A2DB5"/>
    <w:rsid w:val="001A2ED8"/>
    <w:rsid w:val="001A32B5"/>
    <w:rsid w:val="001A33AA"/>
    <w:rsid w:val="001A3925"/>
    <w:rsid w:val="001A3958"/>
    <w:rsid w:val="001A3A87"/>
    <w:rsid w:val="001A3F56"/>
    <w:rsid w:val="001A4268"/>
    <w:rsid w:val="001A4297"/>
    <w:rsid w:val="001A4927"/>
    <w:rsid w:val="001A4A4A"/>
    <w:rsid w:val="001A4B5F"/>
    <w:rsid w:val="001A4D93"/>
    <w:rsid w:val="001A4DAA"/>
    <w:rsid w:val="001A5109"/>
    <w:rsid w:val="001A5158"/>
    <w:rsid w:val="001A51E3"/>
    <w:rsid w:val="001A5687"/>
    <w:rsid w:val="001A5894"/>
    <w:rsid w:val="001A5BFE"/>
    <w:rsid w:val="001A60E8"/>
    <w:rsid w:val="001A637C"/>
    <w:rsid w:val="001A6619"/>
    <w:rsid w:val="001A6651"/>
    <w:rsid w:val="001A6BB6"/>
    <w:rsid w:val="001A6C0D"/>
    <w:rsid w:val="001A7010"/>
    <w:rsid w:val="001A712E"/>
    <w:rsid w:val="001A733E"/>
    <w:rsid w:val="001A770B"/>
    <w:rsid w:val="001A7AAB"/>
    <w:rsid w:val="001A7D2C"/>
    <w:rsid w:val="001A7D95"/>
    <w:rsid w:val="001B018F"/>
    <w:rsid w:val="001B02AC"/>
    <w:rsid w:val="001B0522"/>
    <w:rsid w:val="001B0784"/>
    <w:rsid w:val="001B0A96"/>
    <w:rsid w:val="001B0B58"/>
    <w:rsid w:val="001B0B7E"/>
    <w:rsid w:val="001B0BB8"/>
    <w:rsid w:val="001B0C4B"/>
    <w:rsid w:val="001B0E27"/>
    <w:rsid w:val="001B0EE4"/>
    <w:rsid w:val="001B1028"/>
    <w:rsid w:val="001B111A"/>
    <w:rsid w:val="001B135E"/>
    <w:rsid w:val="001B140B"/>
    <w:rsid w:val="001B156B"/>
    <w:rsid w:val="001B1602"/>
    <w:rsid w:val="001B16F6"/>
    <w:rsid w:val="001B19CE"/>
    <w:rsid w:val="001B1B7A"/>
    <w:rsid w:val="001B1E8C"/>
    <w:rsid w:val="001B2352"/>
    <w:rsid w:val="001B2411"/>
    <w:rsid w:val="001B2613"/>
    <w:rsid w:val="001B2A21"/>
    <w:rsid w:val="001B2A97"/>
    <w:rsid w:val="001B2AD5"/>
    <w:rsid w:val="001B2B00"/>
    <w:rsid w:val="001B2D0F"/>
    <w:rsid w:val="001B2F23"/>
    <w:rsid w:val="001B30E0"/>
    <w:rsid w:val="001B30ED"/>
    <w:rsid w:val="001B316B"/>
    <w:rsid w:val="001B348C"/>
    <w:rsid w:val="001B35B5"/>
    <w:rsid w:val="001B39C6"/>
    <w:rsid w:val="001B3C0D"/>
    <w:rsid w:val="001B3D88"/>
    <w:rsid w:val="001B3E39"/>
    <w:rsid w:val="001B3F05"/>
    <w:rsid w:val="001B3F1B"/>
    <w:rsid w:val="001B3F54"/>
    <w:rsid w:val="001B425A"/>
    <w:rsid w:val="001B4717"/>
    <w:rsid w:val="001B4892"/>
    <w:rsid w:val="001B48B8"/>
    <w:rsid w:val="001B4938"/>
    <w:rsid w:val="001B4D65"/>
    <w:rsid w:val="001B4FA5"/>
    <w:rsid w:val="001B545A"/>
    <w:rsid w:val="001B55E1"/>
    <w:rsid w:val="001B5631"/>
    <w:rsid w:val="001B5719"/>
    <w:rsid w:val="001B5FEA"/>
    <w:rsid w:val="001B61BA"/>
    <w:rsid w:val="001B6223"/>
    <w:rsid w:val="001B6428"/>
    <w:rsid w:val="001B6462"/>
    <w:rsid w:val="001B65C0"/>
    <w:rsid w:val="001B68DF"/>
    <w:rsid w:val="001B6972"/>
    <w:rsid w:val="001B6B64"/>
    <w:rsid w:val="001B6E83"/>
    <w:rsid w:val="001B6F5C"/>
    <w:rsid w:val="001B7059"/>
    <w:rsid w:val="001B72D1"/>
    <w:rsid w:val="001B7464"/>
    <w:rsid w:val="001B74E8"/>
    <w:rsid w:val="001B7765"/>
    <w:rsid w:val="001B7879"/>
    <w:rsid w:val="001B7D8B"/>
    <w:rsid w:val="001B7D8D"/>
    <w:rsid w:val="001B7E3B"/>
    <w:rsid w:val="001B7F98"/>
    <w:rsid w:val="001B7FCB"/>
    <w:rsid w:val="001C000D"/>
    <w:rsid w:val="001C008A"/>
    <w:rsid w:val="001C0134"/>
    <w:rsid w:val="001C02E0"/>
    <w:rsid w:val="001C03DA"/>
    <w:rsid w:val="001C04E9"/>
    <w:rsid w:val="001C0650"/>
    <w:rsid w:val="001C0693"/>
    <w:rsid w:val="001C0BAB"/>
    <w:rsid w:val="001C0D6C"/>
    <w:rsid w:val="001C0ECF"/>
    <w:rsid w:val="001C1C63"/>
    <w:rsid w:val="001C1F1C"/>
    <w:rsid w:val="001C2129"/>
    <w:rsid w:val="001C2404"/>
    <w:rsid w:val="001C2406"/>
    <w:rsid w:val="001C2616"/>
    <w:rsid w:val="001C274F"/>
    <w:rsid w:val="001C2968"/>
    <w:rsid w:val="001C2B32"/>
    <w:rsid w:val="001C2B91"/>
    <w:rsid w:val="001C2FE2"/>
    <w:rsid w:val="001C2FFF"/>
    <w:rsid w:val="001C3035"/>
    <w:rsid w:val="001C3575"/>
    <w:rsid w:val="001C3751"/>
    <w:rsid w:val="001C381C"/>
    <w:rsid w:val="001C3AA7"/>
    <w:rsid w:val="001C3C7B"/>
    <w:rsid w:val="001C3D69"/>
    <w:rsid w:val="001C47A3"/>
    <w:rsid w:val="001C5035"/>
    <w:rsid w:val="001C5079"/>
    <w:rsid w:val="001C52D8"/>
    <w:rsid w:val="001C5494"/>
    <w:rsid w:val="001C5805"/>
    <w:rsid w:val="001C5A1A"/>
    <w:rsid w:val="001C5A76"/>
    <w:rsid w:val="001C5A78"/>
    <w:rsid w:val="001C5DAE"/>
    <w:rsid w:val="001C6609"/>
    <w:rsid w:val="001C6A6A"/>
    <w:rsid w:val="001C6C05"/>
    <w:rsid w:val="001C6F0C"/>
    <w:rsid w:val="001C7035"/>
    <w:rsid w:val="001C707B"/>
    <w:rsid w:val="001C709A"/>
    <w:rsid w:val="001C723E"/>
    <w:rsid w:val="001C742D"/>
    <w:rsid w:val="001C7695"/>
    <w:rsid w:val="001C781D"/>
    <w:rsid w:val="001C7888"/>
    <w:rsid w:val="001C7A4E"/>
    <w:rsid w:val="001C7BA5"/>
    <w:rsid w:val="001C7C34"/>
    <w:rsid w:val="001C7E1C"/>
    <w:rsid w:val="001C7FFA"/>
    <w:rsid w:val="001D00DC"/>
    <w:rsid w:val="001D01FA"/>
    <w:rsid w:val="001D0249"/>
    <w:rsid w:val="001D0552"/>
    <w:rsid w:val="001D0F13"/>
    <w:rsid w:val="001D12E0"/>
    <w:rsid w:val="001D1329"/>
    <w:rsid w:val="001D136A"/>
    <w:rsid w:val="001D1700"/>
    <w:rsid w:val="001D187E"/>
    <w:rsid w:val="001D18BD"/>
    <w:rsid w:val="001D19F1"/>
    <w:rsid w:val="001D1DC0"/>
    <w:rsid w:val="001D1E3A"/>
    <w:rsid w:val="001D1E42"/>
    <w:rsid w:val="001D1FA3"/>
    <w:rsid w:val="001D21A1"/>
    <w:rsid w:val="001D23E0"/>
    <w:rsid w:val="001D2474"/>
    <w:rsid w:val="001D27EC"/>
    <w:rsid w:val="001D28F6"/>
    <w:rsid w:val="001D2B7B"/>
    <w:rsid w:val="001D2C69"/>
    <w:rsid w:val="001D2D8E"/>
    <w:rsid w:val="001D2E19"/>
    <w:rsid w:val="001D3117"/>
    <w:rsid w:val="001D3582"/>
    <w:rsid w:val="001D3B4F"/>
    <w:rsid w:val="001D3E02"/>
    <w:rsid w:val="001D4482"/>
    <w:rsid w:val="001D47BD"/>
    <w:rsid w:val="001D49E4"/>
    <w:rsid w:val="001D4AE8"/>
    <w:rsid w:val="001D4BD6"/>
    <w:rsid w:val="001D4CB0"/>
    <w:rsid w:val="001D4CBF"/>
    <w:rsid w:val="001D4DDC"/>
    <w:rsid w:val="001D4EDF"/>
    <w:rsid w:val="001D5015"/>
    <w:rsid w:val="001D5393"/>
    <w:rsid w:val="001D5601"/>
    <w:rsid w:val="001D574A"/>
    <w:rsid w:val="001D58CC"/>
    <w:rsid w:val="001D5934"/>
    <w:rsid w:val="001D5C71"/>
    <w:rsid w:val="001D5E7C"/>
    <w:rsid w:val="001D5F74"/>
    <w:rsid w:val="001D6456"/>
    <w:rsid w:val="001D65CB"/>
    <w:rsid w:val="001D665C"/>
    <w:rsid w:val="001D6A98"/>
    <w:rsid w:val="001D6FC5"/>
    <w:rsid w:val="001D7092"/>
    <w:rsid w:val="001D7382"/>
    <w:rsid w:val="001D73E1"/>
    <w:rsid w:val="001D75A9"/>
    <w:rsid w:val="001D75D8"/>
    <w:rsid w:val="001D75E7"/>
    <w:rsid w:val="001D76E5"/>
    <w:rsid w:val="001D77A3"/>
    <w:rsid w:val="001D7855"/>
    <w:rsid w:val="001D7D1E"/>
    <w:rsid w:val="001D7F42"/>
    <w:rsid w:val="001D7F9E"/>
    <w:rsid w:val="001E012B"/>
    <w:rsid w:val="001E03D2"/>
    <w:rsid w:val="001E0674"/>
    <w:rsid w:val="001E06F2"/>
    <w:rsid w:val="001E076A"/>
    <w:rsid w:val="001E08FE"/>
    <w:rsid w:val="001E0BF7"/>
    <w:rsid w:val="001E0C42"/>
    <w:rsid w:val="001E0C68"/>
    <w:rsid w:val="001E0E17"/>
    <w:rsid w:val="001E0EAB"/>
    <w:rsid w:val="001E1130"/>
    <w:rsid w:val="001E16F0"/>
    <w:rsid w:val="001E1840"/>
    <w:rsid w:val="001E19F6"/>
    <w:rsid w:val="001E1A27"/>
    <w:rsid w:val="001E1A61"/>
    <w:rsid w:val="001E1CED"/>
    <w:rsid w:val="001E1E2F"/>
    <w:rsid w:val="001E1F3B"/>
    <w:rsid w:val="001E2079"/>
    <w:rsid w:val="001E2082"/>
    <w:rsid w:val="001E24DA"/>
    <w:rsid w:val="001E26D0"/>
    <w:rsid w:val="001E2E78"/>
    <w:rsid w:val="001E33FA"/>
    <w:rsid w:val="001E3516"/>
    <w:rsid w:val="001E3603"/>
    <w:rsid w:val="001E3619"/>
    <w:rsid w:val="001E3658"/>
    <w:rsid w:val="001E3702"/>
    <w:rsid w:val="001E3B24"/>
    <w:rsid w:val="001E3BA7"/>
    <w:rsid w:val="001E3D03"/>
    <w:rsid w:val="001E4001"/>
    <w:rsid w:val="001E43F5"/>
    <w:rsid w:val="001E45F4"/>
    <w:rsid w:val="001E464C"/>
    <w:rsid w:val="001E48D4"/>
    <w:rsid w:val="001E4957"/>
    <w:rsid w:val="001E4A0E"/>
    <w:rsid w:val="001E4B2F"/>
    <w:rsid w:val="001E4DA4"/>
    <w:rsid w:val="001E5046"/>
    <w:rsid w:val="001E56F5"/>
    <w:rsid w:val="001E5B84"/>
    <w:rsid w:val="001E5D5D"/>
    <w:rsid w:val="001E5DBD"/>
    <w:rsid w:val="001E5DE8"/>
    <w:rsid w:val="001E62B9"/>
    <w:rsid w:val="001E6360"/>
    <w:rsid w:val="001E68A5"/>
    <w:rsid w:val="001E6CF9"/>
    <w:rsid w:val="001E6D8C"/>
    <w:rsid w:val="001E6ED4"/>
    <w:rsid w:val="001E724A"/>
    <w:rsid w:val="001E74C2"/>
    <w:rsid w:val="001E75BF"/>
    <w:rsid w:val="001E7751"/>
    <w:rsid w:val="001E796B"/>
    <w:rsid w:val="001E79C2"/>
    <w:rsid w:val="001E7B2C"/>
    <w:rsid w:val="001E7BC5"/>
    <w:rsid w:val="001E7CCF"/>
    <w:rsid w:val="001E7E28"/>
    <w:rsid w:val="001F0357"/>
    <w:rsid w:val="001F0782"/>
    <w:rsid w:val="001F0DBA"/>
    <w:rsid w:val="001F0DC8"/>
    <w:rsid w:val="001F0F87"/>
    <w:rsid w:val="001F10EF"/>
    <w:rsid w:val="001F114C"/>
    <w:rsid w:val="001F14E8"/>
    <w:rsid w:val="001F18D9"/>
    <w:rsid w:val="001F19CD"/>
    <w:rsid w:val="001F19D4"/>
    <w:rsid w:val="001F1C45"/>
    <w:rsid w:val="001F1C62"/>
    <w:rsid w:val="001F1F8A"/>
    <w:rsid w:val="001F205A"/>
    <w:rsid w:val="001F27A2"/>
    <w:rsid w:val="001F2820"/>
    <w:rsid w:val="001F298A"/>
    <w:rsid w:val="001F299C"/>
    <w:rsid w:val="001F2A2E"/>
    <w:rsid w:val="001F30F3"/>
    <w:rsid w:val="001F3798"/>
    <w:rsid w:val="001F3C80"/>
    <w:rsid w:val="001F4358"/>
    <w:rsid w:val="001F44F7"/>
    <w:rsid w:val="001F451A"/>
    <w:rsid w:val="001F45BD"/>
    <w:rsid w:val="001F4692"/>
    <w:rsid w:val="001F4BEA"/>
    <w:rsid w:val="001F4D49"/>
    <w:rsid w:val="001F50CE"/>
    <w:rsid w:val="001F57FD"/>
    <w:rsid w:val="001F5B9F"/>
    <w:rsid w:val="001F5BCE"/>
    <w:rsid w:val="001F5CC3"/>
    <w:rsid w:val="001F5D07"/>
    <w:rsid w:val="001F607A"/>
    <w:rsid w:val="001F6253"/>
    <w:rsid w:val="001F6566"/>
    <w:rsid w:val="001F66E5"/>
    <w:rsid w:val="001F68C9"/>
    <w:rsid w:val="001F69F6"/>
    <w:rsid w:val="001F6A3E"/>
    <w:rsid w:val="001F6ED7"/>
    <w:rsid w:val="001F709F"/>
    <w:rsid w:val="001F7116"/>
    <w:rsid w:val="001F7E66"/>
    <w:rsid w:val="001F7E7C"/>
    <w:rsid w:val="00200432"/>
    <w:rsid w:val="002007D2"/>
    <w:rsid w:val="00200ADF"/>
    <w:rsid w:val="00200EAE"/>
    <w:rsid w:val="00200FA4"/>
    <w:rsid w:val="00200FB5"/>
    <w:rsid w:val="00201378"/>
    <w:rsid w:val="002014A0"/>
    <w:rsid w:val="002015BA"/>
    <w:rsid w:val="0020164E"/>
    <w:rsid w:val="0020167A"/>
    <w:rsid w:val="002017C0"/>
    <w:rsid w:val="0020194F"/>
    <w:rsid w:val="00201D72"/>
    <w:rsid w:val="00201DE7"/>
    <w:rsid w:val="00201F20"/>
    <w:rsid w:val="002023BA"/>
    <w:rsid w:val="0020273B"/>
    <w:rsid w:val="0020285E"/>
    <w:rsid w:val="0020287F"/>
    <w:rsid w:val="0020291E"/>
    <w:rsid w:val="00202957"/>
    <w:rsid w:val="0020295B"/>
    <w:rsid w:val="00202EA5"/>
    <w:rsid w:val="0020320F"/>
    <w:rsid w:val="0020323D"/>
    <w:rsid w:val="002032A6"/>
    <w:rsid w:val="002034ED"/>
    <w:rsid w:val="00203515"/>
    <w:rsid w:val="0020362F"/>
    <w:rsid w:val="00203ADD"/>
    <w:rsid w:val="00203B28"/>
    <w:rsid w:val="00203BDD"/>
    <w:rsid w:val="00203ECB"/>
    <w:rsid w:val="00204010"/>
    <w:rsid w:val="00204016"/>
    <w:rsid w:val="00204027"/>
    <w:rsid w:val="0020406B"/>
    <w:rsid w:val="0020411D"/>
    <w:rsid w:val="002041ED"/>
    <w:rsid w:val="0020437F"/>
    <w:rsid w:val="0020442B"/>
    <w:rsid w:val="00204491"/>
    <w:rsid w:val="002044A2"/>
    <w:rsid w:val="00204533"/>
    <w:rsid w:val="00204560"/>
    <w:rsid w:val="00204969"/>
    <w:rsid w:val="002049E4"/>
    <w:rsid w:val="00204B36"/>
    <w:rsid w:val="00204C25"/>
    <w:rsid w:val="00204C4B"/>
    <w:rsid w:val="00204C66"/>
    <w:rsid w:val="00204EDA"/>
    <w:rsid w:val="002051DE"/>
    <w:rsid w:val="0020524C"/>
    <w:rsid w:val="0020537E"/>
    <w:rsid w:val="0020574D"/>
    <w:rsid w:val="00205894"/>
    <w:rsid w:val="00205A6F"/>
    <w:rsid w:val="00205A79"/>
    <w:rsid w:val="00205BD3"/>
    <w:rsid w:val="00205DE0"/>
    <w:rsid w:val="00205EB3"/>
    <w:rsid w:val="00205FA4"/>
    <w:rsid w:val="002062D0"/>
    <w:rsid w:val="002066FE"/>
    <w:rsid w:val="00206848"/>
    <w:rsid w:val="00206928"/>
    <w:rsid w:val="00206A14"/>
    <w:rsid w:val="00206F98"/>
    <w:rsid w:val="002070D5"/>
    <w:rsid w:val="00207116"/>
    <w:rsid w:val="002073AB"/>
    <w:rsid w:val="002074DA"/>
    <w:rsid w:val="0020787F"/>
    <w:rsid w:val="00207886"/>
    <w:rsid w:val="002100AC"/>
    <w:rsid w:val="00210381"/>
    <w:rsid w:val="002105C2"/>
    <w:rsid w:val="00210AD6"/>
    <w:rsid w:val="00210B10"/>
    <w:rsid w:val="00210C2D"/>
    <w:rsid w:val="00210EB8"/>
    <w:rsid w:val="00210F85"/>
    <w:rsid w:val="002114C4"/>
    <w:rsid w:val="0021159D"/>
    <w:rsid w:val="0021160C"/>
    <w:rsid w:val="002121A8"/>
    <w:rsid w:val="0021245F"/>
    <w:rsid w:val="00212719"/>
    <w:rsid w:val="002129B6"/>
    <w:rsid w:val="00212C56"/>
    <w:rsid w:val="00212C71"/>
    <w:rsid w:val="0021306D"/>
    <w:rsid w:val="00213289"/>
    <w:rsid w:val="0021431B"/>
    <w:rsid w:val="0021447E"/>
    <w:rsid w:val="0021459D"/>
    <w:rsid w:val="002147CA"/>
    <w:rsid w:val="002147EE"/>
    <w:rsid w:val="0021481C"/>
    <w:rsid w:val="002149F2"/>
    <w:rsid w:val="00214A3C"/>
    <w:rsid w:val="00214A9E"/>
    <w:rsid w:val="00214AC5"/>
    <w:rsid w:val="00214AF5"/>
    <w:rsid w:val="00214B8E"/>
    <w:rsid w:val="00214C9D"/>
    <w:rsid w:val="002150A8"/>
    <w:rsid w:val="002150CE"/>
    <w:rsid w:val="002150DC"/>
    <w:rsid w:val="00215199"/>
    <w:rsid w:val="002153B8"/>
    <w:rsid w:val="00215488"/>
    <w:rsid w:val="002156D3"/>
    <w:rsid w:val="002158B3"/>
    <w:rsid w:val="0021596E"/>
    <w:rsid w:val="0021597C"/>
    <w:rsid w:val="00215EAB"/>
    <w:rsid w:val="002162A4"/>
    <w:rsid w:val="002162C4"/>
    <w:rsid w:val="00216A1E"/>
    <w:rsid w:val="00216B1E"/>
    <w:rsid w:val="00216B78"/>
    <w:rsid w:val="00216CEC"/>
    <w:rsid w:val="00216F05"/>
    <w:rsid w:val="002170D4"/>
    <w:rsid w:val="002170D9"/>
    <w:rsid w:val="0021710B"/>
    <w:rsid w:val="00217120"/>
    <w:rsid w:val="00217269"/>
    <w:rsid w:val="002174FA"/>
    <w:rsid w:val="002175D7"/>
    <w:rsid w:val="002179BF"/>
    <w:rsid w:val="00217A9B"/>
    <w:rsid w:val="00217CC9"/>
    <w:rsid w:val="002201D0"/>
    <w:rsid w:val="00220351"/>
    <w:rsid w:val="002204BE"/>
    <w:rsid w:val="002204C7"/>
    <w:rsid w:val="002207FA"/>
    <w:rsid w:val="00220B99"/>
    <w:rsid w:val="002211DD"/>
    <w:rsid w:val="002212BF"/>
    <w:rsid w:val="00221330"/>
    <w:rsid w:val="002214CE"/>
    <w:rsid w:val="002216B4"/>
    <w:rsid w:val="00221872"/>
    <w:rsid w:val="00221A18"/>
    <w:rsid w:val="00221A85"/>
    <w:rsid w:val="00221ACB"/>
    <w:rsid w:val="00221D36"/>
    <w:rsid w:val="00221DBB"/>
    <w:rsid w:val="00221FBF"/>
    <w:rsid w:val="00222040"/>
    <w:rsid w:val="002220FD"/>
    <w:rsid w:val="00222385"/>
    <w:rsid w:val="0022254A"/>
    <w:rsid w:val="0022284F"/>
    <w:rsid w:val="00222FD3"/>
    <w:rsid w:val="0022303E"/>
    <w:rsid w:val="00223040"/>
    <w:rsid w:val="00223077"/>
    <w:rsid w:val="002231D9"/>
    <w:rsid w:val="002231E6"/>
    <w:rsid w:val="0022353A"/>
    <w:rsid w:val="0022373D"/>
    <w:rsid w:val="00223856"/>
    <w:rsid w:val="00223972"/>
    <w:rsid w:val="00223AA6"/>
    <w:rsid w:val="00223B46"/>
    <w:rsid w:val="00223BFE"/>
    <w:rsid w:val="0022411F"/>
    <w:rsid w:val="002242CE"/>
    <w:rsid w:val="0022475F"/>
    <w:rsid w:val="0022482A"/>
    <w:rsid w:val="00224915"/>
    <w:rsid w:val="0022492E"/>
    <w:rsid w:val="00224E77"/>
    <w:rsid w:val="0022510F"/>
    <w:rsid w:val="00225262"/>
    <w:rsid w:val="002252B8"/>
    <w:rsid w:val="00225927"/>
    <w:rsid w:val="0022592A"/>
    <w:rsid w:val="00225AE6"/>
    <w:rsid w:val="00225BC3"/>
    <w:rsid w:val="00225D51"/>
    <w:rsid w:val="0022601E"/>
    <w:rsid w:val="00226135"/>
    <w:rsid w:val="00226199"/>
    <w:rsid w:val="00226248"/>
    <w:rsid w:val="00226696"/>
    <w:rsid w:val="00226C88"/>
    <w:rsid w:val="00226DA9"/>
    <w:rsid w:val="00226DC0"/>
    <w:rsid w:val="00226E3E"/>
    <w:rsid w:val="00227813"/>
    <w:rsid w:val="00227856"/>
    <w:rsid w:val="00227A5F"/>
    <w:rsid w:val="00227AE1"/>
    <w:rsid w:val="00227C41"/>
    <w:rsid w:val="0023020E"/>
    <w:rsid w:val="002308EF"/>
    <w:rsid w:val="002309C4"/>
    <w:rsid w:val="00230C42"/>
    <w:rsid w:val="00230C66"/>
    <w:rsid w:val="00230EA2"/>
    <w:rsid w:val="00230F88"/>
    <w:rsid w:val="002311BF"/>
    <w:rsid w:val="002311D0"/>
    <w:rsid w:val="00231265"/>
    <w:rsid w:val="002312A7"/>
    <w:rsid w:val="002316C3"/>
    <w:rsid w:val="00231700"/>
    <w:rsid w:val="00231B25"/>
    <w:rsid w:val="00231D4E"/>
    <w:rsid w:val="00231EEE"/>
    <w:rsid w:val="002320BF"/>
    <w:rsid w:val="0023252A"/>
    <w:rsid w:val="0023258B"/>
    <w:rsid w:val="00232882"/>
    <w:rsid w:val="00232B66"/>
    <w:rsid w:val="00232D3C"/>
    <w:rsid w:val="00232EBC"/>
    <w:rsid w:val="00232F92"/>
    <w:rsid w:val="00233256"/>
    <w:rsid w:val="00233706"/>
    <w:rsid w:val="00233953"/>
    <w:rsid w:val="00233C74"/>
    <w:rsid w:val="00233F8B"/>
    <w:rsid w:val="00234190"/>
    <w:rsid w:val="00234785"/>
    <w:rsid w:val="002347CE"/>
    <w:rsid w:val="0023482D"/>
    <w:rsid w:val="002349F4"/>
    <w:rsid w:val="00234A3E"/>
    <w:rsid w:val="00234D6F"/>
    <w:rsid w:val="00234E18"/>
    <w:rsid w:val="00234ED2"/>
    <w:rsid w:val="002350CC"/>
    <w:rsid w:val="00235128"/>
    <w:rsid w:val="002358FC"/>
    <w:rsid w:val="00235A41"/>
    <w:rsid w:val="00235B38"/>
    <w:rsid w:val="002360F9"/>
    <w:rsid w:val="00236372"/>
    <w:rsid w:val="002363E3"/>
    <w:rsid w:val="00236532"/>
    <w:rsid w:val="002369F5"/>
    <w:rsid w:val="002371C9"/>
    <w:rsid w:val="0023762F"/>
    <w:rsid w:val="002377D3"/>
    <w:rsid w:val="00237926"/>
    <w:rsid w:val="00237C18"/>
    <w:rsid w:val="00237D64"/>
    <w:rsid w:val="0024018D"/>
    <w:rsid w:val="002402D4"/>
    <w:rsid w:val="00240305"/>
    <w:rsid w:val="00240513"/>
    <w:rsid w:val="00240808"/>
    <w:rsid w:val="0024090F"/>
    <w:rsid w:val="00240C37"/>
    <w:rsid w:val="00240D28"/>
    <w:rsid w:val="00240DB5"/>
    <w:rsid w:val="002410D7"/>
    <w:rsid w:val="002411F6"/>
    <w:rsid w:val="0024133F"/>
    <w:rsid w:val="00241560"/>
    <w:rsid w:val="0024160C"/>
    <w:rsid w:val="00241A07"/>
    <w:rsid w:val="00241EB9"/>
    <w:rsid w:val="00241F0D"/>
    <w:rsid w:val="00241F29"/>
    <w:rsid w:val="00241F93"/>
    <w:rsid w:val="002420A7"/>
    <w:rsid w:val="002423D2"/>
    <w:rsid w:val="00242574"/>
    <w:rsid w:val="00242777"/>
    <w:rsid w:val="00242A6D"/>
    <w:rsid w:val="00242F89"/>
    <w:rsid w:val="00243084"/>
    <w:rsid w:val="002432AB"/>
    <w:rsid w:val="0024335A"/>
    <w:rsid w:val="0024378F"/>
    <w:rsid w:val="00243D25"/>
    <w:rsid w:val="00243DEB"/>
    <w:rsid w:val="00243E47"/>
    <w:rsid w:val="00243EC8"/>
    <w:rsid w:val="00244309"/>
    <w:rsid w:val="002445EC"/>
    <w:rsid w:val="00244A46"/>
    <w:rsid w:val="00244F29"/>
    <w:rsid w:val="002450DE"/>
    <w:rsid w:val="002452C6"/>
    <w:rsid w:val="0024530B"/>
    <w:rsid w:val="00245596"/>
    <w:rsid w:val="00245710"/>
    <w:rsid w:val="00245F91"/>
    <w:rsid w:val="00246036"/>
    <w:rsid w:val="00246627"/>
    <w:rsid w:val="002466C1"/>
    <w:rsid w:val="00246861"/>
    <w:rsid w:val="00246964"/>
    <w:rsid w:val="00246986"/>
    <w:rsid w:val="00246B3B"/>
    <w:rsid w:val="00246D13"/>
    <w:rsid w:val="00246F7F"/>
    <w:rsid w:val="00247344"/>
    <w:rsid w:val="002473F8"/>
    <w:rsid w:val="0024759E"/>
    <w:rsid w:val="002476F9"/>
    <w:rsid w:val="00247A90"/>
    <w:rsid w:val="00247AE7"/>
    <w:rsid w:val="00247ED6"/>
    <w:rsid w:val="00250E6B"/>
    <w:rsid w:val="002510A9"/>
    <w:rsid w:val="0025110B"/>
    <w:rsid w:val="00251123"/>
    <w:rsid w:val="00251812"/>
    <w:rsid w:val="00251991"/>
    <w:rsid w:val="00251997"/>
    <w:rsid w:val="00251B2F"/>
    <w:rsid w:val="00252168"/>
    <w:rsid w:val="002522B7"/>
    <w:rsid w:val="002524F8"/>
    <w:rsid w:val="00252552"/>
    <w:rsid w:val="00252DFB"/>
    <w:rsid w:val="00252F91"/>
    <w:rsid w:val="00253608"/>
    <w:rsid w:val="0025360C"/>
    <w:rsid w:val="00253B4B"/>
    <w:rsid w:val="00253B93"/>
    <w:rsid w:val="00253C83"/>
    <w:rsid w:val="00253C90"/>
    <w:rsid w:val="0025405A"/>
    <w:rsid w:val="002540A8"/>
    <w:rsid w:val="002541F2"/>
    <w:rsid w:val="0025487C"/>
    <w:rsid w:val="00254890"/>
    <w:rsid w:val="00254BD5"/>
    <w:rsid w:val="00254C60"/>
    <w:rsid w:val="00254D00"/>
    <w:rsid w:val="00254DA9"/>
    <w:rsid w:val="00254E2B"/>
    <w:rsid w:val="00254EFB"/>
    <w:rsid w:val="002550A0"/>
    <w:rsid w:val="002550F0"/>
    <w:rsid w:val="00255296"/>
    <w:rsid w:val="002552E6"/>
    <w:rsid w:val="002554B1"/>
    <w:rsid w:val="002556EB"/>
    <w:rsid w:val="0025571A"/>
    <w:rsid w:val="0025583F"/>
    <w:rsid w:val="00255A28"/>
    <w:rsid w:val="00255C21"/>
    <w:rsid w:val="00255D9C"/>
    <w:rsid w:val="0025600A"/>
    <w:rsid w:val="00256010"/>
    <w:rsid w:val="00256174"/>
    <w:rsid w:val="00256432"/>
    <w:rsid w:val="00256A55"/>
    <w:rsid w:val="00256A6E"/>
    <w:rsid w:val="00256A7B"/>
    <w:rsid w:val="00257009"/>
    <w:rsid w:val="002570B5"/>
    <w:rsid w:val="00257122"/>
    <w:rsid w:val="00257398"/>
    <w:rsid w:val="0025756E"/>
    <w:rsid w:val="00257966"/>
    <w:rsid w:val="00257B8B"/>
    <w:rsid w:val="00257BAE"/>
    <w:rsid w:val="00257BF0"/>
    <w:rsid w:val="00257FC7"/>
    <w:rsid w:val="0026012F"/>
    <w:rsid w:val="0026035C"/>
    <w:rsid w:val="00260781"/>
    <w:rsid w:val="00260B9F"/>
    <w:rsid w:val="00260BD7"/>
    <w:rsid w:val="00260E3F"/>
    <w:rsid w:val="0026105F"/>
    <w:rsid w:val="00261203"/>
    <w:rsid w:val="0026146F"/>
    <w:rsid w:val="002614A4"/>
    <w:rsid w:val="002617C4"/>
    <w:rsid w:val="002617EF"/>
    <w:rsid w:val="00261A67"/>
    <w:rsid w:val="00261B6C"/>
    <w:rsid w:val="00261B82"/>
    <w:rsid w:val="00261B9C"/>
    <w:rsid w:val="00261D7D"/>
    <w:rsid w:val="0026237B"/>
    <w:rsid w:val="002623DF"/>
    <w:rsid w:val="00262469"/>
    <w:rsid w:val="002625DF"/>
    <w:rsid w:val="00262651"/>
    <w:rsid w:val="00262B69"/>
    <w:rsid w:val="00262C31"/>
    <w:rsid w:val="00262D32"/>
    <w:rsid w:val="00262F06"/>
    <w:rsid w:val="00263053"/>
    <w:rsid w:val="0026309A"/>
    <w:rsid w:val="00263113"/>
    <w:rsid w:val="002635F1"/>
    <w:rsid w:val="00263709"/>
    <w:rsid w:val="0026389B"/>
    <w:rsid w:val="00263908"/>
    <w:rsid w:val="00263914"/>
    <w:rsid w:val="00263965"/>
    <w:rsid w:val="00263FE4"/>
    <w:rsid w:val="002641AB"/>
    <w:rsid w:val="0026464E"/>
    <w:rsid w:val="00264916"/>
    <w:rsid w:val="00265205"/>
    <w:rsid w:val="00265314"/>
    <w:rsid w:val="0026545E"/>
    <w:rsid w:val="00265801"/>
    <w:rsid w:val="00265CC7"/>
    <w:rsid w:val="002660C8"/>
    <w:rsid w:val="002660CA"/>
    <w:rsid w:val="00266148"/>
    <w:rsid w:val="002663DC"/>
    <w:rsid w:val="002665EF"/>
    <w:rsid w:val="00266626"/>
    <w:rsid w:val="0026673E"/>
    <w:rsid w:val="002667E2"/>
    <w:rsid w:val="00266BB7"/>
    <w:rsid w:val="00267160"/>
    <w:rsid w:val="0026723F"/>
    <w:rsid w:val="00267286"/>
    <w:rsid w:val="00267306"/>
    <w:rsid w:val="0026735C"/>
    <w:rsid w:val="00267492"/>
    <w:rsid w:val="002674C5"/>
    <w:rsid w:val="00267957"/>
    <w:rsid w:val="00267B7E"/>
    <w:rsid w:val="00267C2D"/>
    <w:rsid w:val="00267E63"/>
    <w:rsid w:val="00270489"/>
    <w:rsid w:val="00270626"/>
    <w:rsid w:val="0027074B"/>
    <w:rsid w:val="00270A37"/>
    <w:rsid w:val="00270FB5"/>
    <w:rsid w:val="00271599"/>
    <w:rsid w:val="002715A6"/>
    <w:rsid w:val="002717D6"/>
    <w:rsid w:val="00271D6F"/>
    <w:rsid w:val="0027216B"/>
    <w:rsid w:val="0027223B"/>
    <w:rsid w:val="0027295B"/>
    <w:rsid w:val="002729D2"/>
    <w:rsid w:val="00272A62"/>
    <w:rsid w:val="00272AEB"/>
    <w:rsid w:val="00272B09"/>
    <w:rsid w:val="00272D0F"/>
    <w:rsid w:val="00272DA3"/>
    <w:rsid w:val="00272F1F"/>
    <w:rsid w:val="00273214"/>
    <w:rsid w:val="002734DA"/>
    <w:rsid w:val="0027359E"/>
    <w:rsid w:val="002736A1"/>
    <w:rsid w:val="002737E5"/>
    <w:rsid w:val="00273886"/>
    <w:rsid w:val="002738AD"/>
    <w:rsid w:val="0027403D"/>
    <w:rsid w:val="0027412E"/>
    <w:rsid w:val="002741A6"/>
    <w:rsid w:val="0027461A"/>
    <w:rsid w:val="00274930"/>
    <w:rsid w:val="00274D19"/>
    <w:rsid w:val="00274E87"/>
    <w:rsid w:val="00274F38"/>
    <w:rsid w:val="00275005"/>
    <w:rsid w:val="002750ED"/>
    <w:rsid w:val="002752F4"/>
    <w:rsid w:val="00275329"/>
    <w:rsid w:val="00275438"/>
    <w:rsid w:val="00275487"/>
    <w:rsid w:val="00275795"/>
    <w:rsid w:val="00275A34"/>
    <w:rsid w:val="00275A53"/>
    <w:rsid w:val="00275C47"/>
    <w:rsid w:val="00275C49"/>
    <w:rsid w:val="00275DA4"/>
    <w:rsid w:val="0027614A"/>
    <w:rsid w:val="002761C3"/>
    <w:rsid w:val="002765B4"/>
    <w:rsid w:val="00276668"/>
    <w:rsid w:val="00276C57"/>
    <w:rsid w:val="00276C60"/>
    <w:rsid w:val="00276FC4"/>
    <w:rsid w:val="00277416"/>
    <w:rsid w:val="002778FD"/>
    <w:rsid w:val="0027796E"/>
    <w:rsid w:val="0027799F"/>
    <w:rsid w:val="00277EA3"/>
    <w:rsid w:val="002801A2"/>
    <w:rsid w:val="002803E6"/>
    <w:rsid w:val="0028062E"/>
    <w:rsid w:val="002807CB"/>
    <w:rsid w:val="0028083D"/>
    <w:rsid w:val="00280ABB"/>
    <w:rsid w:val="00280B7C"/>
    <w:rsid w:val="00280BB5"/>
    <w:rsid w:val="00280E7A"/>
    <w:rsid w:val="0028127F"/>
    <w:rsid w:val="00281404"/>
    <w:rsid w:val="00281556"/>
    <w:rsid w:val="0028172D"/>
    <w:rsid w:val="002817E8"/>
    <w:rsid w:val="00281AD8"/>
    <w:rsid w:val="00281AF5"/>
    <w:rsid w:val="00281B61"/>
    <w:rsid w:val="00281E7B"/>
    <w:rsid w:val="00282174"/>
    <w:rsid w:val="00282903"/>
    <w:rsid w:val="00282905"/>
    <w:rsid w:val="00282946"/>
    <w:rsid w:val="00282948"/>
    <w:rsid w:val="00282B50"/>
    <w:rsid w:val="00282DB2"/>
    <w:rsid w:val="00282EAF"/>
    <w:rsid w:val="002834AD"/>
    <w:rsid w:val="00283521"/>
    <w:rsid w:val="002835B9"/>
    <w:rsid w:val="002835D2"/>
    <w:rsid w:val="00283656"/>
    <w:rsid w:val="002836FA"/>
    <w:rsid w:val="00283B19"/>
    <w:rsid w:val="00283FAC"/>
    <w:rsid w:val="00284300"/>
    <w:rsid w:val="0028450E"/>
    <w:rsid w:val="0028455A"/>
    <w:rsid w:val="00284583"/>
    <w:rsid w:val="0028462E"/>
    <w:rsid w:val="0028490F"/>
    <w:rsid w:val="00284B8C"/>
    <w:rsid w:val="00284FB5"/>
    <w:rsid w:val="00285069"/>
    <w:rsid w:val="0028540D"/>
    <w:rsid w:val="00285610"/>
    <w:rsid w:val="002857F5"/>
    <w:rsid w:val="002858EF"/>
    <w:rsid w:val="00285B2D"/>
    <w:rsid w:val="00285BD4"/>
    <w:rsid w:val="00285D47"/>
    <w:rsid w:val="00285EBD"/>
    <w:rsid w:val="00286241"/>
    <w:rsid w:val="00286622"/>
    <w:rsid w:val="00286727"/>
    <w:rsid w:val="00286E50"/>
    <w:rsid w:val="00286E7A"/>
    <w:rsid w:val="0028705C"/>
    <w:rsid w:val="00287080"/>
    <w:rsid w:val="0028746A"/>
    <w:rsid w:val="002874A1"/>
    <w:rsid w:val="00287780"/>
    <w:rsid w:val="00287835"/>
    <w:rsid w:val="0028785E"/>
    <w:rsid w:val="00287AC0"/>
    <w:rsid w:val="00287C63"/>
    <w:rsid w:val="00287CA5"/>
    <w:rsid w:val="00287E69"/>
    <w:rsid w:val="00287F9B"/>
    <w:rsid w:val="00290113"/>
    <w:rsid w:val="00290255"/>
    <w:rsid w:val="00290BD5"/>
    <w:rsid w:val="00290CA3"/>
    <w:rsid w:val="00290DED"/>
    <w:rsid w:val="00290E21"/>
    <w:rsid w:val="00290FAB"/>
    <w:rsid w:val="0029113F"/>
    <w:rsid w:val="002912EF"/>
    <w:rsid w:val="002917BD"/>
    <w:rsid w:val="00291B5D"/>
    <w:rsid w:val="00291DBB"/>
    <w:rsid w:val="002920A1"/>
    <w:rsid w:val="00292220"/>
    <w:rsid w:val="0029228E"/>
    <w:rsid w:val="002927DC"/>
    <w:rsid w:val="002927EE"/>
    <w:rsid w:val="002928BB"/>
    <w:rsid w:val="00292AA0"/>
    <w:rsid w:val="0029303A"/>
    <w:rsid w:val="0029318F"/>
    <w:rsid w:val="0029349C"/>
    <w:rsid w:val="002934E0"/>
    <w:rsid w:val="002934FE"/>
    <w:rsid w:val="002938ED"/>
    <w:rsid w:val="00293A58"/>
    <w:rsid w:val="00293E1F"/>
    <w:rsid w:val="00294261"/>
    <w:rsid w:val="00294310"/>
    <w:rsid w:val="0029441E"/>
    <w:rsid w:val="002944A9"/>
    <w:rsid w:val="00294689"/>
    <w:rsid w:val="00294693"/>
    <w:rsid w:val="002947B1"/>
    <w:rsid w:val="00294B33"/>
    <w:rsid w:val="00294F38"/>
    <w:rsid w:val="002950E8"/>
    <w:rsid w:val="002950FA"/>
    <w:rsid w:val="0029516F"/>
    <w:rsid w:val="00295242"/>
    <w:rsid w:val="00295533"/>
    <w:rsid w:val="0029554A"/>
    <w:rsid w:val="002955AB"/>
    <w:rsid w:val="00295797"/>
    <w:rsid w:val="00295AF6"/>
    <w:rsid w:val="00295CF9"/>
    <w:rsid w:val="0029603C"/>
    <w:rsid w:val="00296611"/>
    <w:rsid w:val="00296991"/>
    <w:rsid w:val="00296BD9"/>
    <w:rsid w:val="00296C13"/>
    <w:rsid w:val="00296C80"/>
    <w:rsid w:val="00296D79"/>
    <w:rsid w:val="00296DED"/>
    <w:rsid w:val="00296F03"/>
    <w:rsid w:val="00296FA8"/>
    <w:rsid w:val="00297070"/>
    <w:rsid w:val="002970C2"/>
    <w:rsid w:val="002970DB"/>
    <w:rsid w:val="0029724B"/>
    <w:rsid w:val="0029736B"/>
    <w:rsid w:val="0029739D"/>
    <w:rsid w:val="00297444"/>
    <w:rsid w:val="002975F3"/>
    <w:rsid w:val="002977FF"/>
    <w:rsid w:val="00297804"/>
    <w:rsid w:val="00297881"/>
    <w:rsid w:val="002978E3"/>
    <w:rsid w:val="002979A6"/>
    <w:rsid w:val="00297A62"/>
    <w:rsid w:val="00297B29"/>
    <w:rsid w:val="00297BD2"/>
    <w:rsid w:val="00297D5A"/>
    <w:rsid w:val="00297E53"/>
    <w:rsid w:val="00297E8C"/>
    <w:rsid w:val="00297FAE"/>
    <w:rsid w:val="002A0256"/>
    <w:rsid w:val="002A02BF"/>
    <w:rsid w:val="002A0427"/>
    <w:rsid w:val="002A0482"/>
    <w:rsid w:val="002A05EC"/>
    <w:rsid w:val="002A086C"/>
    <w:rsid w:val="002A08F7"/>
    <w:rsid w:val="002A09B4"/>
    <w:rsid w:val="002A0B81"/>
    <w:rsid w:val="002A1665"/>
    <w:rsid w:val="002A1C4F"/>
    <w:rsid w:val="002A1C70"/>
    <w:rsid w:val="002A1E65"/>
    <w:rsid w:val="002A267B"/>
    <w:rsid w:val="002A26A4"/>
    <w:rsid w:val="002A26ED"/>
    <w:rsid w:val="002A2A26"/>
    <w:rsid w:val="002A2A4A"/>
    <w:rsid w:val="002A2EFF"/>
    <w:rsid w:val="002A35C1"/>
    <w:rsid w:val="002A362D"/>
    <w:rsid w:val="002A3798"/>
    <w:rsid w:val="002A3E1F"/>
    <w:rsid w:val="002A3E90"/>
    <w:rsid w:val="002A4044"/>
    <w:rsid w:val="002A40A8"/>
    <w:rsid w:val="002A41E3"/>
    <w:rsid w:val="002A4394"/>
    <w:rsid w:val="002A44E2"/>
    <w:rsid w:val="002A476C"/>
    <w:rsid w:val="002A4813"/>
    <w:rsid w:val="002A48C2"/>
    <w:rsid w:val="002A48F8"/>
    <w:rsid w:val="002A4A2F"/>
    <w:rsid w:val="002A4E38"/>
    <w:rsid w:val="002A4E52"/>
    <w:rsid w:val="002A4E5E"/>
    <w:rsid w:val="002A5011"/>
    <w:rsid w:val="002A5054"/>
    <w:rsid w:val="002A50D7"/>
    <w:rsid w:val="002A515F"/>
    <w:rsid w:val="002A54DE"/>
    <w:rsid w:val="002A54F0"/>
    <w:rsid w:val="002A567D"/>
    <w:rsid w:val="002A5780"/>
    <w:rsid w:val="002A5808"/>
    <w:rsid w:val="002A59BD"/>
    <w:rsid w:val="002A5DD7"/>
    <w:rsid w:val="002A6071"/>
    <w:rsid w:val="002A607B"/>
    <w:rsid w:val="002A613B"/>
    <w:rsid w:val="002A629F"/>
    <w:rsid w:val="002A6370"/>
    <w:rsid w:val="002A655F"/>
    <w:rsid w:val="002A6657"/>
    <w:rsid w:val="002A688E"/>
    <w:rsid w:val="002A699D"/>
    <w:rsid w:val="002A6A91"/>
    <w:rsid w:val="002A6B49"/>
    <w:rsid w:val="002A6D0C"/>
    <w:rsid w:val="002A6E3B"/>
    <w:rsid w:val="002A71AB"/>
    <w:rsid w:val="002A74C7"/>
    <w:rsid w:val="002A7635"/>
    <w:rsid w:val="002A794D"/>
    <w:rsid w:val="002A7B03"/>
    <w:rsid w:val="002A7B40"/>
    <w:rsid w:val="002B02FE"/>
    <w:rsid w:val="002B03D3"/>
    <w:rsid w:val="002B051A"/>
    <w:rsid w:val="002B0583"/>
    <w:rsid w:val="002B06E2"/>
    <w:rsid w:val="002B0788"/>
    <w:rsid w:val="002B07BC"/>
    <w:rsid w:val="002B07FB"/>
    <w:rsid w:val="002B0A95"/>
    <w:rsid w:val="002B0F65"/>
    <w:rsid w:val="002B133C"/>
    <w:rsid w:val="002B13D0"/>
    <w:rsid w:val="002B144B"/>
    <w:rsid w:val="002B145D"/>
    <w:rsid w:val="002B177D"/>
    <w:rsid w:val="002B2025"/>
    <w:rsid w:val="002B235B"/>
    <w:rsid w:val="002B23F0"/>
    <w:rsid w:val="002B2646"/>
    <w:rsid w:val="002B28B2"/>
    <w:rsid w:val="002B2D5C"/>
    <w:rsid w:val="002B2EB6"/>
    <w:rsid w:val="002B3236"/>
    <w:rsid w:val="002B3444"/>
    <w:rsid w:val="002B369A"/>
    <w:rsid w:val="002B3E48"/>
    <w:rsid w:val="002B3F33"/>
    <w:rsid w:val="002B4367"/>
    <w:rsid w:val="002B451E"/>
    <w:rsid w:val="002B4C2F"/>
    <w:rsid w:val="002B5802"/>
    <w:rsid w:val="002B5D06"/>
    <w:rsid w:val="002B6028"/>
    <w:rsid w:val="002B62FC"/>
    <w:rsid w:val="002B63A3"/>
    <w:rsid w:val="002B651F"/>
    <w:rsid w:val="002B6860"/>
    <w:rsid w:val="002B68E5"/>
    <w:rsid w:val="002B68EC"/>
    <w:rsid w:val="002B6A0F"/>
    <w:rsid w:val="002B6AF1"/>
    <w:rsid w:val="002B6BDC"/>
    <w:rsid w:val="002B6D02"/>
    <w:rsid w:val="002B6D72"/>
    <w:rsid w:val="002B7001"/>
    <w:rsid w:val="002B70DD"/>
    <w:rsid w:val="002B71CE"/>
    <w:rsid w:val="002B72E5"/>
    <w:rsid w:val="002B74F5"/>
    <w:rsid w:val="002B7A92"/>
    <w:rsid w:val="002B7E64"/>
    <w:rsid w:val="002C012B"/>
    <w:rsid w:val="002C0209"/>
    <w:rsid w:val="002C02D5"/>
    <w:rsid w:val="002C0351"/>
    <w:rsid w:val="002C06D1"/>
    <w:rsid w:val="002C078D"/>
    <w:rsid w:val="002C087A"/>
    <w:rsid w:val="002C0B49"/>
    <w:rsid w:val="002C0B6E"/>
    <w:rsid w:val="002C0D85"/>
    <w:rsid w:val="002C111F"/>
    <w:rsid w:val="002C1220"/>
    <w:rsid w:val="002C1257"/>
    <w:rsid w:val="002C13B1"/>
    <w:rsid w:val="002C13CE"/>
    <w:rsid w:val="002C144B"/>
    <w:rsid w:val="002C176D"/>
    <w:rsid w:val="002C1847"/>
    <w:rsid w:val="002C1A39"/>
    <w:rsid w:val="002C1CC3"/>
    <w:rsid w:val="002C1EA1"/>
    <w:rsid w:val="002C1EB7"/>
    <w:rsid w:val="002C1FA1"/>
    <w:rsid w:val="002C1FCB"/>
    <w:rsid w:val="002C2248"/>
    <w:rsid w:val="002C231B"/>
    <w:rsid w:val="002C262A"/>
    <w:rsid w:val="002C2934"/>
    <w:rsid w:val="002C29EC"/>
    <w:rsid w:val="002C2D36"/>
    <w:rsid w:val="002C2EB6"/>
    <w:rsid w:val="002C30F8"/>
    <w:rsid w:val="002C33AD"/>
    <w:rsid w:val="002C3448"/>
    <w:rsid w:val="002C3490"/>
    <w:rsid w:val="002C35BD"/>
    <w:rsid w:val="002C35D1"/>
    <w:rsid w:val="002C382F"/>
    <w:rsid w:val="002C3C8E"/>
    <w:rsid w:val="002C3D36"/>
    <w:rsid w:val="002C3EC6"/>
    <w:rsid w:val="002C413F"/>
    <w:rsid w:val="002C4147"/>
    <w:rsid w:val="002C4665"/>
    <w:rsid w:val="002C4826"/>
    <w:rsid w:val="002C484A"/>
    <w:rsid w:val="002C49F0"/>
    <w:rsid w:val="002C4C6E"/>
    <w:rsid w:val="002C4CA7"/>
    <w:rsid w:val="002C4DAB"/>
    <w:rsid w:val="002C50B1"/>
    <w:rsid w:val="002C56A7"/>
    <w:rsid w:val="002C5ADF"/>
    <w:rsid w:val="002C5CC7"/>
    <w:rsid w:val="002C5F5A"/>
    <w:rsid w:val="002C600A"/>
    <w:rsid w:val="002C601E"/>
    <w:rsid w:val="002C6066"/>
    <w:rsid w:val="002C61FB"/>
    <w:rsid w:val="002C64BB"/>
    <w:rsid w:val="002C6A1C"/>
    <w:rsid w:val="002C6AB8"/>
    <w:rsid w:val="002C6DE4"/>
    <w:rsid w:val="002C6F8B"/>
    <w:rsid w:val="002C706F"/>
    <w:rsid w:val="002C7369"/>
    <w:rsid w:val="002C7399"/>
    <w:rsid w:val="002C7A5C"/>
    <w:rsid w:val="002C7D8E"/>
    <w:rsid w:val="002C7E36"/>
    <w:rsid w:val="002D011A"/>
    <w:rsid w:val="002D0262"/>
    <w:rsid w:val="002D049A"/>
    <w:rsid w:val="002D0A3E"/>
    <w:rsid w:val="002D0BDB"/>
    <w:rsid w:val="002D1095"/>
    <w:rsid w:val="002D155C"/>
    <w:rsid w:val="002D16A5"/>
    <w:rsid w:val="002D1830"/>
    <w:rsid w:val="002D1895"/>
    <w:rsid w:val="002D1B53"/>
    <w:rsid w:val="002D1D17"/>
    <w:rsid w:val="002D2101"/>
    <w:rsid w:val="002D21A6"/>
    <w:rsid w:val="002D2408"/>
    <w:rsid w:val="002D25E6"/>
    <w:rsid w:val="002D25F6"/>
    <w:rsid w:val="002D2942"/>
    <w:rsid w:val="002D2A59"/>
    <w:rsid w:val="002D2AB2"/>
    <w:rsid w:val="002D2EFD"/>
    <w:rsid w:val="002D304C"/>
    <w:rsid w:val="002D33C2"/>
    <w:rsid w:val="002D3977"/>
    <w:rsid w:val="002D3ACB"/>
    <w:rsid w:val="002D3C2A"/>
    <w:rsid w:val="002D3DE7"/>
    <w:rsid w:val="002D3E7D"/>
    <w:rsid w:val="002D3E99"/>
    <w:rsid w:val="002D3E9F"/>
    <w:rsid w:val="002D4098"/>
    <w:rsid w:val="002D41A0"/>
    <w:rsid w:val="002D4398"/>
    <w:rsid w:val="002D4787"/>
    <w:rsid w:val="002D48E4"/>
    <w:rsid w:val="002D499E"/>
    <w:rsid w:val="002D4BD7"/>
    <w:rsid w:val="002D5347"/>
    <w:rsid w:val="002D5415"/>
    <w:rsid w:val="002D55E0"/>
    <w:rsid w:val="002D591F"/>
    <w:rsid w:val="002D601C"/>
    <w:rsid w:val="002D6159"/>
    <w:rsid w:val="002D6433"/>
    <w:rsid w:val="002D6D6C"/>
    <w:rsid w:val="002D6E21"/>
    <w:rsid w:val="002D6FF4"/>
    <w:rsid w:val="002D719B"/>
    <w:rsid w:val="002D726D"/>
    <w:rsid w:val="002D738C"/>
    <w:rsid w:val="002D7438"/>
    <w:rsid w:val="002D74FE"/>
    <w:rsid w:val="002D7638"/>
    <w:rsid w:val="002D77B4"/>
    <w:rsid w:val="002D78EB"/>
    <w:rsid w:val="002D7A6A"/>
    <w:rsid w:val="002D7D47"/>
    <w:rsid w:val="002D7D4A"/>
    <w:rsid w:val="002D7ED7"/>
    <w:rsid w:val="002E02F2"/>
    <w:rsid w:val="002E030D"/>
    <w:rsid w:val="002E0498"/>
    <w:rsid w:val="002E063E"/>
    <w:rsid w:val="002E06BD"/>
    <w:rsid w:val="002E0A5C"/>
    <w:rsid w:val="002E0B9F"/>
    <w:rsid w:val="002E0F4E"/>
    <w:rsid w:val="002E0FB0"/>
    <w:rsid w:val="002E1115"/>
    <w:rsid w:val="002E12DC"/>
    <w:rsid w:val="002E1501"/>
    <w:rsid w:val="002E1634"/>
    <w:rsid w:val="002E2163"/>
    <w:rsid w:val="002E2220"/>
    <w:rsid w:val="002E22FC"/>
    <w:rsid w:val="002E24D7"/>
    <w:rsid w:val="002E24EC"/>
    <w:rsid w:val="002E282C"/>
    <w:rsid w:val="002E2B72"/>
    <w:rsid w:val="002E2BD2"/>
    <w:rsid w:val="002E2EDF"/>
    <w:rsid w:val="002E2F9B"/>
    <w:rsid w:val="002E3254"/>
    <w:rsid w:val="002E34FE"/>
    <w:rsid w:val="002E3547"/>
    <w:rsid w:val="002E3771"/>
    <w:rsid w:val="002E37CE"/>
    <w:rsid w:val="002E38A5"/>
    <w:rsid w:val="002E3E55"/>
    <w:rsid w:val="002E40D7"/>
    <w:rsid w:val="002E42C0"/>
    <w:rsid w:val="002E4352"/>
    <w:rsid w:val="002E4446"/>
    <w:rsid w:val="002E47B0"/>
    <w:rsid w:val="002E4A5E"/>
    <w:rsid w:val="002E4B76"/>
    <w:rsid w:val="002E4C55"/>
    <w:rsid w:val="002E4CBD"/>
    <w:rsid w:val="002E4D07"/>
    <w:rsid w:val="002E4E0C"/>
    <w:rsid w:val="002E4E49"/>
    <w:rsid w:val="002E4F15"/>
    <w:rsid w:val="002E5039"/>
    <w:rsid w:val="002E5052"/>
    <w:rsid w:val="002E5441"/>
    <w:rsid w:val="002E5495"/>
    <w:rsid w:val="002E56C7"/>
    <w:rsid w:val="002E5B10"/>
    <w:rsid w:val="002E5D50"/>
    <w:rsid w:val="002E5F96"/>
    <w:rsid w:val="002E6039"/>
    <w:rsid w:val="002E605A"/>
    <w:rsid w:val="002E605E"/>
    <w:rsid w:val="002E6165"/>
    <w:rsid w:val="002E649A"/>
    <w:rsid w:val="002E6852"/>
    <w:rsid w:val="002E69C5"/>
    <w:rsid w:val="002E6AFF"/>
    <w:rsid w:val="002E6BF3"/>
    <w:rsid w:val="002E6DB4"/>
    <w:rsid w:val="002E710B"/>
    <w:rsid w:val="002E736E"/>
    <w:rsid w:val="002E743D"/>
    <w:rsid w:val="002E74F1"/>
    <w:rsid w:val="002E7575"/>
    <w:rsid w:val="002E7C61"/>
    <w:rsid w:val="002F0142"/>
    <w:rsid w:val="002F0659"/>
    <w:rsid w:val="002F0836"/>
    <w:rsid w:val="002F0A84"/>
    <w:rsid w:val="002F1018"/>
    <w:rsid w:val="002F111B"/>
    <w:rsid w:val="002F1198"/>
    <w:rsid w:val="002F11DC"/>
    <w:rsid w:val="002F1233"/>
    <w:rsid w:val="002F1355"/>
    <w:rsid w:val="002F15C4"/>
    <w:rsid w:val="002F1638"/>
    <w:rsid w:val="002F18E9"/>
    <w:rsid w:val="002F19E2"/>
    <w:rsid w:val="002F1A9C"/>
    <w:rsid w:val="002F1BB7"/>
    <w:rsid w:val="002F1D46"/>
    <w:rsid w:val="002F1DC4"/>
    <w:rsid w:val="002F1F0B"/>
    <w:rsid w:val="002F1F59"/>
    <w:rsid w:val="002F20A6"/>
    <w:rsid w:val="002F2420"/>
    <w:rsid w:val="002F255C"/>
    <w:rsid w:val="002F279E"/>
    <w:rsid w:val="002F2C26"/>
    <w:rsid w:val="002F2C90"/>
    <w:rsid w:val="002F3067"/>
    <w:rsid w:val="002F3227"/>
    <w:rsid w:val="002F38A2"/>
    <w:rsid w:val="002F39AC"/>
    <w:rsid w:val="002F3B32"/>
    <w:rsid w:val="002F3B70"/>
    <w:rsid w:val="002F3BA5"/>
    <w:rsid w:val="002F3D6B"/>
    <w:rsid w:val="002F3EF7"/>
    <w:rsid w:val="002F3F3A"/>
    <w:rsid w:val="002F40E7"/>
    <w:rsid w:val="002F463B"/>
    <w:rsid w:val="002F4787"/>
    <w:rsid w:val="002F4CC0"/>
    <w:rsid w:val="002F4CD3"/>
    <w:rsid w:val="002F4ED8"/>
    <w:rsid w:val="002F537C"/>
    <w:rsid w:val="002F54B8"/>
    <w:rsid w:val="002F55BA"/>
    <w:rsid w:val="002F5637"/>
    <w:rsid w:val="002F57E5"/>
    <w:rsid w:val="002F580A"/>
    <w:rsid w:val="002F5834"/>
    <w:rsid w:val="002F5B1E"/>
    <w:rsid w:val="002F5E8A"/>
    <w:rsid w:val="002F60ED"/>
    <w:rsid w:val="002F65D7"/>
    <w:rsid w:val="002F678F"/>
    <w:rsid w:val="002F67F0"/>
    <w:rsid w:val="002F69B4"/>
    <w:rsid w:val="002F6CD2"/>
    <w:rsid w:val="002F6DB5"/>
    <w:rsid w:val="002F6E42"/>
    <w:rsid w:val="002F6F4E"/>
    <w:rsid w:val="002F6FE0"/>
    <w:rsid w:val="002F6FF9"/>
    <w:rsid w:val="002F7141"/>
    <w:rsid w:val="002F71AD"/>
    <w:rsid w:val="002F7822"/>
    <w:rsid w:val="002F7A60"/>
    <w:rsid w:val="002F7A9C"/>
    <w:rsid w:val="002F7CB1"/>
    <w:rsid w:val="002F7DBD"/>
    <w:rsid w:val="002F7ECD"/>
    <w:rsid w:val="00300041"/>
    <w:rsid w:val="00300384"/>
    <w:rsid w:val="00300615"/>
    <w:rsid w:val="003006D1"/>
    <w:rsid w:val="00300779"/>
    <w:rsid w:val="00300C11"/>
    <w:rsid w:val="00300C3C"/>
    <w:rsid w:val="00300E37"/>
    <w:rsid w:val="00300E73"/>
    <w:rsid w:val="0030107C"/>
    <w:rsid w:val="003010C3"/>
    <w:rsid w:val="003013C1"/>
    <w:rsid w:val="003013EE"/>
    <w:rsid w:val="003017D8"/>
    <w:rsid w:val="003018FE"/>
    <w:rsid w:val="00301E98"/>
    <w:rsid w:val="003022E8"/>
    <w:rsid w:val="0030237A"/>
    <w:rsid w:val="003027DD"/>
    <w:rsid w:val="003028C9"/>
    <w:rsid w:val="00302950"/>
    <w:rsid w:val="00302AD8"/>
    <w:rsid w:val="00302C27"/>
    <w:rsid w:val="00302FC8"/>
    <w:rsid w:val="00303317"/>
    <w:rsid w:val="00303488"/>
    <w:rsid w:val="003036D5"/>
    <w:rsid w:val="003037C8"/>
    <w:rsid w:val="00303B75"/>
    <w:rsid w:val="00303CBD"/>
    <w:rsid w:val="00303D58"/>
    <w:rsid w:val="00303D59"/>
    <w:rsid w:val="00303FED"/>
    <w:rsid w:val="0030426D"/>
    <w:rsid w:val="00304340"/>
    <w:rsid w:val="00304803"/>
    <w:rsid w:val="00304D1F"/>
    <w:rsid w:val="00304DF7"/>
    <w:rsid w:val="00305612"/>
    <w:rsid w:val="0030577E"/>
    <w:rsid w:val="0030578B"/>
    <w:rsid w:val="0030582E"/>
    <w:rsid w:val="00305A0F"/>
    <w:rsid w:val="00305A4E"/>
    <w:rsid w:val="00305B5A"/>
    <w:rsid w:val="00305D8A"/>
    <w:rsid w:val="003063E8"/>
    <w:rsid w:val="00306600"/>
    <w:rsid w:val="00306A0A"/>
    <w:rsid w:val="00306B30"/>
    <w:rsid w:val="00306B5B"/>
    <w:rsid w:val="00306CF3"/>
    <w:rsid w:val="00306DD9"/>
    <w:rsid w:val="0030729E"/>
    <w:rsid w:val="003072FD"/>
    <w:rsid w:val="0030755F"/>
    <w:rsid w:val="003077B3"/>
    <w:rsid w:val="00307B2B"/>
    <w:rsid w:val="00307B66"/>
    <w:rsid w:val="00307D01"/>
    <w:rsid w:val="00307D3D"/>
    <w:rsid w:val="00307F1E"/>
    <w:rsid w:val="00310101"/>
    <w:rsid w:val="0031030A"/>
    <w:rsid w:val="00310476"/>
    <w:rsid w:val="003106E9"/>
    <w:rsid w:val="0031090F"/>
    <w:rsid w:val="00310A20"/>
    <w:rsid w:val="00311394"/>
    <w:rsid w:val="00311580"/>
    <w:rsid w:val="00311624"/>
    <w:rsid w:val="00311636"/>
    <w:rsid w:val="003116E3"/>
    <w:rsid w:val="0031183B"/>
    <w:rsid w:val="003118F4"/>
    <w:rsid w:val="00311B55"/>
    <w:rsid w:val="00311D7C"/>
    <w:rsid w:val="00311DBA"/>
    <w:rsid w:val="00312036"/>
    <w:rsid w:val="00312038"/>
    <w:rsid w:val="0031207E"/>
    <w:rsid w:val="003122E5"/>
    <w:rsid w:val="003127AC"/>
    <w:rsid w:val="003127E4"/>
    <w:rsid w:val="00312A32"/>
    <w:rsid w:val="00312F20"/>
    <w:rsid w:val="003134A3"/>
    <w:rsid w:val="00313745"/>
    <w:rsid w:val="00313844"/>
    <w:rsid w:val="00313D39"/>
    <w:rsid w:val="00313FC4"/>
    <w:rsid w:val="003140FD"/>
    <w:rsid w:val="0031427F"/>
    <w:rsid w:val="00314482"/>
    <w:rsid w:val="0031461B"/>
    <w:rsid w:val="003146A8"/>
    <w:rsid w:val="00314737"/>
    <w:rsid w:val="00314879"/>
    <w:rsid w:val="00314A05"/>
    <w:rsid w:val="00314A21"/>
    <w:rsid w:val="00314B84"/>
    <w:rsid w:val="00314B8E"/>
    <w:rsid w:val="00314FE2"/>
    <w:rsid w:val="00315115"/>
    <w:rsid w:val="00315525"/>
    <w:rsid w:val="0031568B"/>
    <w:rsid w:val="00315860"/>
    <w:rsid w:val="00315ABD"/>
    <w:rsid w:val="00315ACA"/>
    <w:rsid w:val="00315F1C"/>
    <w:rsid w:val="00315FC3"/>
    <w:rsid w:val="00315FCF"/>
    <w:rsid w:val="003161DD"/>
    <w:rsid w:val="003162E9"/>
    <w:rsid w:val="00316378"/>
    <w:rsid w:val="00316907"/>
    <w:rsid w:val="0031721F"/>
    <w:rsid w:val="003172AF"/>
    <w:rsid w:val="00317721"/>
    <w:rsid w:val="00317747"/>
    <w:rsid w:val="00317750"/>
    <w:rsid w:val="003178EC"/>
    <w:rsid w:val="00317B46"/>
    <w:rsid w:val="00317BA2"/>
    <w:rsid w:val="0032020D"/>
    <w:rsid w:val="00320512"/>
    <w:rsid w:val="003209EF"/>
    <w:rsid w:val="00320C8C"/>
    <w:rsid w:val="00320C8D"/>
    <w:rsid w:val="00320C94"/>
    <w:rsid w:val="00320DE0"/>
    <w:rsid w:val="00320F7E"/>
    <w:rsid w:val="00320FA6"/>
    <w:rsid w:val="0032117B"/>
    <w:rsid w:val="0032133C"/>
    <w:rsid w:val="003213EF"/>
    <w:rsid w:val="003214A4"/>
    <w:rsid w:val="00321565"/>
    <w:rsid w:val="003216D4"/>
    <w:rsid w:val="00321BC3"/>
    <w:rsid w:val="00321E63"/>
    <w:rsid w:val="003223B3"/>
    <w:rsid w:val="0032251B"/>
    <w:rsid w:val="0032255B"/>
    <w:rsid w:val="003225F7"/>
    <w:rsid w:val="0032284B"/>
    <w:rsid w:val="00322A08"/>
    <w:rsid w:val="00322CD9"/>
    <w:rsid w:val="00322EAE"/>
    <w:rsid w:val="00322EF8"/>
    <w:rsid w:val="00322F31"/>
    <w:rsid w:val="00322F78"/>
    <w:rsid w:val="00322F7C"/>
    <w:rsid w:val="00323118"/>
    <w:rsid w:val="003231B2"/>
    <w:rsid w:val="003235A8"/>
    <w:rsid w:val="00323AF9"/>
    <w:rsid w:val="00323B6F"/>
    <w:rsid w:val="00323CBD"/>
    <w:rsid w:val="00323CF4"/>
    <w:rsid w:val="00323D90"/>
    <w:rsid w:val="00323DD7"/>
    <w:rsid w:val="00324249"/>
    <w:rsid w:val="00324530"/>
    <w:rsid w:val="0032475B"/>
    <w:rsid w:val="003247A6"/>
    <w:rsid w:val="00324864"/>
    <w:rsid w:val="003249D4"/>
    <w:rsid w:val="00324A3F"/>
    <w:rsid w:val="00324A40"/>
    <w:rsid w:val="00324AD5"/>
    <w:rsid w:val="00324CC6"/>
    <w:rsid w:val="00324D0F"/>
    <w:rsid w:val="00324DF9"/>
    <w:rsid w:val="00324E28"/>
    <w:rsid w:val="00325135"/>
    <w:rsid w:val="003252EE"/>
    <w:rsid w:val="003253B4"/>
    <w:rsid w:val="00325518"/>
    <w:rsid w:val="0032591B"/>
    <w:rsid w:val="00325C76"/>
    <w:rsid w:val="00326036"/>
    <w:rsid w:val="003261C1"/>
    <w:rsid w:val="00326905"/>
    <w:rsid w:val="003269E4"/>
    <w:rsid w:val="00326B32"/>
    <w:rsid w:val="0032705E"/>
    <w:rsid w:val="0032707F"/>
    <w:rsid w:val="00327312"/>
    <w:rsid w:val="00327519"/>
    <w:rsid w:val="003275D2"/>
    <w:rsid w:val="00327C32"/>
    <w:rsid w:val="00327D5D"/>
    <w:rsid w:val="00327E3C"/>
    <w:rsid w:val="00327EF4"/>
    <w:rsid w:val="00330318"/>
    <w:rsid w:val="003303F0"/>
    <w:rsid w:val="00330459"/>
    <w:rsid w:val="003307F5"/>
    <w:rsid w:val="003308FF"/>
    <w:rsid w:val="003309A2"/>
    <w:rsid w:val="00330A13"/>
    <w:rsid w:val="00330F26"/>
    <w:rsid w:val="00330FDE"/>
    <w:rsid w:val="003313DC"/>
    <w:rsid w:val="00331437"/>
    <w:rsid w:val="00331538"/>
    <w:rsid w:val="003315C6"/>
    <w:rsid w:val="0033195C"/>
    <w:rsid w:val="00331E01"/>
    <w:rsid w:val="00331EFF"/>
    <w:rsid w:val="0033219E"/>
    <w:rsid w:val="0033229B"/>
    <w:rsid w:val="003322AC"/>
    <w:rsid w:val="003322CB"/>
    <w:rsid w:val="0033237D"/>
    <w:rsid w:val="00332401"/>
    <w:rsid w:val="003327B2"/>
    <w:rsid w:val="0033296F"/>
    <w:rsid w:val="003329C7"/>
    <w:rsid w:val="00332B58"/>
    <w:rsid w:val="00332B70"/>
    <w:rsid w:val="00332CC4"/>
    <w:rsid w:val="00332D81"/>
    <w:rsid w:val="0033310A"/>
    <w:rsid w:val="0033319F"/>
    <w:rsid w:val="003333EF"/>
    <w:rsid w:val="00333712"/>
    <w:rsid w:val="00333C35"/>
    <w:rsid w:val="00333D2E"/>
    <w:rsid w:val="0033405D"/>
    <w:rsid w:val="0033415B"/>
    <w:rsid w:val="003341C6"/>
    <w:rsid w:val="00334206"/>
    <w:rsid w:val="003343F9"/>
    <w:rsid w:val="00334632"/>
    <w:rsid w:val="0033468A"/>
    <w:rsid w:val="00334FDC"/>
    <w:rsid w:val="0033508E"/>
    <w:rsid w:val="003350D3"/>
    <w:rsid w:val="00335163"/>
    <w:rsid w:val="003354AB"/>
    <w:rsid w:val="00335629"/>
    <w:rsid w:val="0033592A"/>
    <w:rsid w:val="00335C24"/>
    <w:rsid w:val="003361DA"/>
    <w:rsid w:val="00336266"/>
    <w:rsid w:val="003364DD"/>
    <w:rsid w:val="003366BC"/>
    <w:rsid w:val="0033689B"/>
    <w:rsid w:val="003369C8"/>
    <w:rsid w:val="00336A9E"/>
    <w:rsid w:val="00336D0F"/>
    <w:rsid w:val="003370E9"/>
    <w:rsid w:val="0033710A"/>
    <w:rsid w:val="003371DA"/>
    <w:rsid w:val="003373DC"/>
    <w:rsid w:val="003374C7"/>
    <w:rsid w:val="00337606"/>
    <w:rsid w:val="00337794"/>
    <w:rsid w:val="00337873"/>
    <w:rsid w:val="00337DC4"/>
    <w:rsid w:val="003401B5"/>
    <w:rsid w:val="003401E1"/>
    <w:rsid w:val="003405C6"/>
    <w:rsid w:val="0034073E"/>
    <w:rsid w:val="0034079B"/>
    <w:rsid w:val="003407D6"/>
    <w:rsid w:val="003407DB"/>
    <w:rsid w:val="003407F9"/>
    <w:rsid w:val="0034083D"/>
    <w:rsid w:val="00340E70"/>
    <w:rsid w:val="00340F8D"/>
    <w:rsid w:val="00341452"/>
    <w:rsid w:val="003416BC"/>
    <w:rsid w:val="00341847"/>
    <w:rsid w:val="00341904"/>
    <w:rsid w:val="00341D5E"/>
    <w:rsid w:val="00341EE2"/>
    <w:rsid w:val="0034201D"/>
    <w:rsid w:val="0034212A"/>
    <w:rsid w:val="003421F0"/>
    <w:rsid w:val="003424B3"/>
    <w:rsid w:val="00342554"/>
    <w:rsid w:val="00342808"/>
    <w:rsid w:val="00342B37"/>
    <w:rsid w:val="00342D69"/>
    <w:rsid w:val="00342F83"/>
    <w:rsid w:val="00343040"/>
    <w:rsid w:val="003432B7"/>
    <w:rsid w:val="00343424"/>
    <w:rsid w:val="003435D4"/>
    <w:rsid w:val="00343B03"/>
    <w:rsid w:val="00343C4D"/>
    <w:rsid w:val="003441BF"/>
    <w:rsid w:val="003445A2"/>
    <w:rsid w:val="003447EB"/>
    <w:rsid w:val="003448D7"/>
    <w:rsid w:val="00344ADB"/>
    <w:rsid w:val="00344B74"/>
    <w:rsid w:val="00344C23"/>
    <w:rsid w:val="00344EFB"/>
    <w:rsid w:val="00345193"/>
    <w:rsid w:val="00345227"/>
    <w:rsid w:val="0034579B"/>
    <w:rsid w:val="003457C4"/>
    <w:rsid w:val="003462D3"/>
    <w:rsid w:val="003465E8"/>
    <w:rsid w:val="003465F9"/>
    <w:rsid w:val="00346631"/>
    <w:rsid w:val="003466CE"/>
    <w:rsid w:val="00346A55"/>
    <w:rsid w:val="00346ABB"/>
    <w:rsid w:val="00346F00"/>
    <w:rsid w:val="003470FE"/>
    <w:rsid w:val="0034711F"/>
    <w:rsid w:val="00347296"/>
    <w:rsid w:val="0034786D"/>
    <w:rsid w:val="003478DE"/>
    <w:rsid w:val="003479A2"/>
    <w:rsid w:val="00347A35"/>
    <w:rsid w:val="00347AA3"/>
    <w:rsid w:val="00347BB8"/>
    <w:rsid w:val="00347C5C"/>
    <w:rsid w:val="003502A1"/>
    <w:rsid w:val="0035070E"/>
    <w:rsid w:val="0035072D"/>
    <w:rsid w:val="003507B5"/>
    <w:rsid w:val="0035097F"/>
    <w:rsid w:val="00350ABA"/>
    <w:rsid w:val="00350C89"/>
    <w:rsid w:val="00350D51"/>
    <w:rsid w:val="00350E6B"/>
    <w:rsid w:val="003514D9"/>
    <w:rsid w:val="0035150E"/>
    <w:rsid w:val="00351569"/>
    <w:rsid w:val="00351581"/>
    <w:rsid w:val="003515F6"/>
    <w:rsid w:val="00351789"/>
    <w:rsid w:val="00351D2E"/>
    <w:rsid w:val="00351DF9"/>
    <w:rsid w:val="003520CF"/>
    <w:rsid w:val="00352105"/>
    <w:rsid w:val="0035245D"/>
    <w:rsid w:val="003524FD"/>
    <w:rsid w:val="0035256A"/>
    <w:rsid w:val="003528D9"/>
    <w:rsid w:val="003529D4"/>
    <w:rsid w:val="00352A54"/>
    <w:rsid w:val="00352AC6"/>
    <w:rsid w:val="00352B0F"/>
    <w:rsid w:val="00352B80"/>
    <w:rsid w:val="00352D21"/>
    <w:rsid w:val="00352E42"/>
    <w:rsid w:val="00352EFC"/>
    <w:rsid w:val="0035315C"/>
    <w:rsid w:val="00353164"/>
    <w:rsid w:val="00353226"/>
    <w:rsid w:val="00353278"/>
    <w:rsid w:val="00353341"/>
    <w:rsid w:val="00353410"/>
    <w:rsid w:val="00353A2F"/>
    <w:rsid w:val="00353B01"/>
    <w:rsid w:val="00353EA3"/>
    <w:rsid w:val="00353FC6"/>
    <w:rsid w:val="00354229"/>
    <w:rsid w:val="003543E2"/>
    <w:rsid w:val="00354410"/>
    <w:rsid w:val="0035446F"/>
    <w:rsid w:val="003545BA"/>
    <w:rsid w:val="00354752"/>
    <w:rsid w:val="00354DA6"/>
    <w:rsid w:val="00354E0A"/>
    <w:rsid w:val="00354F0D"/>
    <w:rsid w:val="00355199"/>
    <w:rsid w:val="003551BA"/>
    <w:rsid w:val="00355B2C"/>
    <w:rsid w:val="00355BF3"/>
    <w:rsid w:val="00355DFF"/>
    <w:rsid w:val="00355E43"/>
    <w:rsid w:val="00355FA7"/>
    <w:rsid w:val="00356240"/>
    <w:rsid w:val="00356472"/>
    <w:rsid w:val="003568E3"/>
    <w:rsid w:val="003569ED"/>
    <w:rsid w:val="00356C33"/>
    <w:rsid w:val="00356E77"/>
    <w:rsid w:val="00356EA9"/>
    <w:rsid w:val="00356F8A"/>
    <w:rsid w:val="00356FDD"/>
    <w:rsid w:val="003570FD"/>
    <w:rsid w:val="0035730A"/>
    <w:rsid w:val="0035760A"/>
    <w:rsid w:val="00357B3B"/>
    <w:rsid w:val="00357F26"/>
    <w:rsid w:val="00360296"/>
    <w:rsid w:val="003604B4"/>
    <w:rsid w:val="00360558"/>
    <w:rsid w:val="00360685"/>
    <w:rsid w:val="003606C4"/>
    <w:rsid w:val="003607A3"/>
    <w:rsid w:val="00360889"/>
    <w:rsid w:val="00360C38"/>
    <w:rsid w:val="00360D58"/>
    <w:rsid w:val="00360FBC"/>
    <w:rsid w:val="003612CE"/>
    <w:rsid w:val="003613AD"/>
    <w:rsid w:val="00361482"/>
    <w:rsid w:val="0036168E"/>
    <w:rsid w:val="003620C4"/>
    <w:rsid w:val="00362182"/>
    <w:rsid w:val="003623DB"/>
    <w:rsid w:val="00362514"/>
    <w:rsid w:val="00362589"/>
    <w:rsid w:val="00362945"/>
    <w:rsid w:val="00362BB9"/>
    <w:rsid w:val="00362C96"/>
    <w:rsid w:val="0036389C"/>
    <w:rsid w:val="00363C49"/>
    <w:rsid w:val="00363EF7"/>
    <w:rsid w:val="00364125"/>
    <w:rsid w:val="0036427C"/>
    <w:rsid w:val="00364347"/>
    <w:rsid w:val="003644EE"/>
    <w:rsid w:val="003646F4"/>
    <w:rsid w:val="003647FB"/>
    <w:rsid w:val="00364A99"/>
    <w:rsid w:val="00364AC9"/>
    <w:rsid w:val="00364B86"/>
    <w:rsid w:val="00364CCF"/>
    <w:rsid w:val="00364D4C"/>
    <w:rsid w:val="00364E1C"/>
    <w:rsid w:val="00364FBC"/>
    <w:rsid w:val="003652B0"/>
    <w:rsid w:val="003653F2"/>
    <w:rsid w:val="00365511"/>
    <w:rsid w:val="00365687"/>
    <w:rsid w:val="0036569A"/>
    <w:rsid w:val="003658CF"/>
    <w:rsid w:val="00365B8F"/>
    <w:rsid w:val="00365D25"/>
    <w:rsid w:val="003660ED"/>
    <w:rsid w:val="0036625A"/>
    <w:rsid w:val="00366349"/>
    <w:rsid w:val="00366425"/>
    <w:rsid w:val="0036645C"/>
    <w:rsid w:val="0036648F"/>
    <w:rsid w:val="003666E2"/>
    <w:rsid w:val="003667FC"/>
    <w:rsid w:val="003668F4"/>
    <w:rsid w:val="00366C68"/>
    <w:rsid w:val="003670DE"/>
    <w:rsid w:val="003670F6"/>
    <w:rsid w:val="003673C3"/>
    <w:rsid w:val="003676FA"/>
    <w:rsid w:val="00367BD4"/>
    <w:rsid w:val="00367D1B"/>
    <w:rsid w:val="00367DF4"/>
    <w:rsid w:val="003700C8"/>
    <w:rsid w:val="00370102"/>
    <w:rsid w:val="0037089E"/>
    <w:rsid w:val="00370C1B"/>
    <w:rsid w:val="00370C9C"/>
    <w:rsid w:val="00370D20"/>
    <w:rsid w:val="00370E1F"/>
    <w:rsid w:val="00370EC3"/>
    <w:rsid w:val="0037115C"/>
    <w:rsid w:val="00371265"/>
    <w:rsid w:val="00371857"/>
    <w:rsid w:val="00371A4E"/>
    <w:rsid w:val="00371A60"/>
    <w:rsid w:val="00371F0C"/>
    <w:rsid w:val="003720C1"/>
    <w:rsid w:val="00372127"/>
    <w:rsid w:val="003721D4"/>
    <w:rsid w:val="00372346"/>
    <w:rsid w:val="003723EC"/>
    <w:rsid w:val="00372488"/>
    <w:rsid w:val="003724C9"/>
    <w:rsid w:val="003730C1"/>
    <w:rsid w:val="00373167"/>
    <w:rsid w:val="003739F7"/>
    <w:rsid w:val="00373B21"/>
    <w:rsid w:val="00373E65"/>
    <w:rsid w:val="003740AA"/>
    <w:rsid w:val="0037444A"/>
    <w:rsid w:val="0037484E"/>
    <w:rsid w:val="0037506C"/>
    <w:rsid w:val="00375215"/>
    <w:rsid w:val="00375502"/>
    <w:rsid w:val="0037554E"/>
    <w:rsid w:val="003756AF"/>
    <w:rsid w:val="003758E1"/>
    <w:rsid w:val="0037596D"/>
    <w:rsid w:val="00375BD1"/>
    <w:rsid w:val="0037605B"/>
    <w:rsid w:val="0037633F"/>
    <w:rsid w:val="003763F4"/>
    <w:rsid w:val="00376855"/>
    <w:rsid w:val="003769BD"/>
    <w:rsid w:val="00376AF5"/>
    <w:rsid w:val="00376C60"/>
    <w:rsid w:val="00376DEB"/>
    <w:rsid w:val="00376FB3"/>
    <w:rsid w:val="00377019"/>
    <w:rsid w:val="00377762"/>
    <w:rsid w:val="003778DB"/>
    <w:rsid w:val="0037791C"/>
    <w:rsid w:val="0037795C"/>
    <w:rsid w:val="003779F6"/>
    <w:rsid w:val="00377B32"/>
    <w:rsid w:val="00377BDF"/>
    <w:rsid w:val="00377D88"/>
    <w:rsid w:val="00377FE7"/>
    <w:rsid w:val="003803F2"/>
    <w:rsid w:val="003803F8"/>
    <w:rsid w:val="003803FC"/>
    <w:rsid w:val="00380461"/>
    <w:rsid w:val="003806AF"/>
    <w:rsid w:val="00380706"/>
    <w:rsid w:val="00380C7B"/>
    <w:rsid w:val="00380CDE"/>
    <w:rsid w:val="00380FBE"/>
    <w:rsid w:val="00380FF9"/>
    <w:rsid w:val="00381150"/>
    <w:rsid w:val="00381499"/>
    <w:rsid w:val="003814ED"/>
    <w:rsid w:val="00381816"/>
    <w:rsid w:val="003818EE"/>
    <w:rsid w:val="003819C4"/>
    <w:rsid w:val="0038208D"/>
    <w:rsid w:val="00382987"/>
    <w:rsid w:val="00382CE3"/>
    <w:rsid w:val="00383092"/>
    <w:rsid w:val="003830B7"/>
    <w:rsid w:val="00383243"/>
    <w:rsid w:val="00383331"/>
    <w:rsid w:val="0038340F"/>
    <w:rsid w:val="00383462"/>
    <w:rsid w:val="00383A59"/>
    <w:rsid w:val="00383BAD"/>
    <w:rsid w:val="003843AA"/>
    <w:rsid w:val="00384428"/>
    <w:rsid w:val="00384674"/>
    <w:rsid w:val="003846DB"/>
    <w:rsid w:val="00384771"/>
    <w:rsid w:val="003847C4"/>
    <w:rsid w:val="00384BB7"/>
    <w:rsid w:val="00384CC6"/>
    <w:rsid w:val="00385056"/>
    <w:rsid w:val="003856B6"/>
    <w:rsid w:val="003856EF"/>
    <w:rsid w:val="0038596A"/>
    <w:rsid w:val="00385D28"/>
    <w:rsid w:val="00386033"/>
    <w:rsid w:val="0038618B"/>
    <w:rsid w:val="00386706"/>
    <w:rsid w:val="00386716"/>
    <w:rsid w:val="00386864"/>
    <w:rsid w:val="00386C0F"/>
    <w:rsid w:val="00386D5C"/>
    <w:rsid w:val="00386F17"/>
    <w:rsid w:val="00387003"/>
    <w:rsid w:val="003873C6"/>
    <w:rsid w:val="00387404"/>
    <w:rsid w:val="00387425"/>
    <w:rsid w:val="00387807"/>
    <w:rsid w:val="00387B31"/>
    <w:rsid w:val="00387C60"/>
    <w:rsid w:val="00387CC6"/>
    <w:rsid w:val="00387E96"/>
    <w:rsid w:val="00387F81"/>
    <w:rsid w:val="003901C2"/>
    <w:rsid w:val="00390392"/>
    <w:rsid w:val="00390394"/>
    <w:rsid w:val="003903A4"/>
    <w:rsid w:val="00390589"/>
    <w:rsid w:val="00390757"/>
    <w:rsid w:val="003907CE"/>
    <w:rsid w:val="00390852"/>
    <w:rsid w:val="0039095A"/>
    <w:rsid w:val="0039153E"/>
    <w:rsid w:val="00391817"/>
    <w:rsid w:val="00391C4C"/>
    <w:rsid w:val="00391C76"/>
    <w:rsid w:val="00391C88"/>
    <w:rsid w:val="00391EE5"/>
    <w:rsid w:val="0039251C"/>
    <w:rsid w:val="00392602"/>
    <w:rsid w:val="00392770"/>
    <w:rsid w:val="00392859"/>
    <w:rsid w:val="003928D7"/>
    <w:rsid w:val="00392977"/>
    <w:rsid w:val="00392A4B"/>
    <w:rsid w:val="00392C3B"/>
    <w:rsid w:val="00392C80"/>
    <w:rsid w:val="00392FCE"/>
    <w:rsid w:val="00393006"/>
    <w:rsid w:val="00393104"/>
    <w:rsid w:val="0039312E"/>
    <w:rsid w:val="003931B2"/>
    <w:rsid w:val="003931DE"/>
    <w:rsid w:val="0039336A"/>
    <w:rsid w:val="0039350B"/>
    <w:rsid w:val="00393855"/>
    <w:rsid w:val="0039399C"/>
    <w:rsid w:val="00393BDE"/>
    <w:rsid w:val="00393BEB"/>
    <w:rsid w:val="0039406C"/>
    <w:rsid w:val="00394073"/>
    <w:rsid w:val="003941C1"/>
    <w:rsid w:val="00394A1C"/>
    <w:rsid w:val="00394AF3"/>
    <w:rsid w:val="00394B5A"/>
    <w:rsid w:val="0039543E"/>
    <w:rsid w:val="003958F0"/>
    <w:rsid w:val="00395A2D"/>
    <w:rsid w:val="00395C40"/>
    <w:rsid w:val="00395FF9"/>
    <w:rsid w:val="00396400"/>
    <w:rsid w:val="0039680E"/>
    <w:rsid w:val="0039686A"/>
    <w:rsid w:val="00396982"/>
    <w:rsid w:val="00396B06"/>
    <w:rsid w:val="00396B6C"/>
    <w:rsid w:val="00397003"/>
    <w:rsid w:val="003973F1"/>
    <w:rsid w:val="003975DE"/>
    <w:rsid w:val="00397821"/>
    <w:rsid w:val="00397B90"/>
    <w:rsid w:val="00397E27"/>
    <w:rsid w:val="00397E29"/>
    <w:rsid w:val="00397EAF"/>
    <w:rsid w:val="003A0197"/>
    <w:rsid w:val="003A02D1"/>
    <w:rsid w:val="003A0443"/>
    <w:rsid w:val="003A0548"/>
    <w:rsid w:val="003A059D"/>
    <w:rsid w:val="003A05C1"/>
    <w:rsid w:val="003A0825"/>
    <w:rsid w:val="003A08C0"/>
    <w:rsid w:val="003A09FD"/>
    <w:rsid w:val="003A0B41"/>
    <w:rsid w:val="003A0C0B"/>
    <w:rsid w:val="003A1096"/>
    <w:rsid w:val="003A1107"/>
    <w:rsid w:val="003A123A"/>
    <w:rsid w:val="003A15D8"/>
    <w:rsid w:val="003A15E5"/>
    <w:rsid w:val="003A1724"/>
    <w:rsid w:val="003A172A"/>
    <w:rsid w:val="003A174D"/>
    <w:rsid w:val="003A1760"/>
    <w:rsid w:val="003A1A4D"/>
    <w:rsid w:val="003A1A6D"/>
    <w:rsid w:val="003A1C04"/>
    <w:rsid w:val="003A1C28"/>
    <w:rsid w:val="003A1E36"/>
    <w:rsid w:val="003A1E3F"/>
    <w:rsid w:val="003A1E4C"/>
    <w:rsid w:val="003A1FB7"/>
    <w:rsid w:val="003A1FD0"/>
    <w:rsid w:val="003A204C"/>
    <w:rsid w:val="003A2277"/>
    <w:rsid w:val="003A236B"/>
    <w:rsid w:val="003A23C3"/>
    <w:rsid w:val="003A25DA"/>
    <w:rsid w:val="003A270B"/>
    <w:rsid w:val="003A2A9B"/>
    <w:rsid w:val="003A2C94"/>
    <w:rsid w:val="003A2CE3"/>
    <w:rsid w:val="003A2D75"/>
    <w:rsid w:val="003A2EEA"/>
    <w:rsid w:val="003A307B"/>
    <w:rsid w:val="003A3174"/>
    <w:rsid w:val="003A320D"/>
    <w:rsid w:val="003A33CA"/>
    <w:rsid w:val="003A3465"/>
    <w:rsid w:val="003A34C6"/>
    <w:rsid w:val="003A383F"/>
    <w:rsid w:val="003A3ACD"/>
    <w:rsid w:val="003A3D06"/>
    <w:rsid w:val="003A3DE0"/>
    <w:rsid w:val="003A3E5F"/>
    <w:rsid w:val="003A402D"/>
    <w:rsid w:val="003A421A"/>
    <w:rsid w:val="003A4415"/>
    <w:rsid w:val="003A473F"/>
    <w:rsid w:val="003A485E"/>
    <w:rsid w:val="003A4B36"/>
    <w:rsid w:val="003A4B78"/>
    <w:rsid w:val="003A4E81"/>
    <w:rsid w:val="003A4EDE"/>
    <w:rsid w:val="003A528B"/>
    <w:rsid w:val="003A5659"/>
    <w:rsid w:val="003A5C84"/>
    <w:rsid w:val="003A5DCA"/>
    <w:rsid w:val="003A5E68"/>
    <w:rsid w:val="003A5FCD"/>
    <w:rsid w:val="003A608C"/>
    <w:rsid w:val="003A62C1"/>
    <w:rsid w:val="003A6465"/>
    <w:rsid w:val="003A6605"/>
    <w:rsid w:val="003A67C6"/>
    <w:rsid w:val="003A67DA"/>
    <w:rsid w:val="003A6BBE"/>
    <w:rsid w:val="003A6F1A"/>
    <w:rsid w:val="003A700B"/>
    <w:rsid w:val="003A7222"/>
    <w:rsid w:val="003A7228"/>
    <w:rsid w:val="003A7851"/>
    <w:rsid w:val="003B0516"/>
    <w:rsid w:val="003B073D"/>
    <w:rsid w:val="003B0848"/>
    <w:rsid w:val="003B0AB8"/>
    <w:rsid w:val="003B0C28"/>
    <w:rsid w:val="003B0C94"/>
    <w:rsid w:val="003B0ED4"/>
    <w:rsid w:val="003B0FDC"/>
    <w:rsid w:val="003B0FF1"/>
    <w:rsid w:val="003B11D5"/>
    <w:rsid w:val="003B12F1"/>
    <w:rsid w:val="003B1411"/>
    <w:rsid w:val="003B14CC"/>
    <w:rsid w:val="003B179B"/>
    <w:rsid w:val="003B17AB"/>
    <w:rsid w:val="003B17DB"/>
    <w:rsid w:val="003B17EB"/>
    <w:rsid w:val="003B1EEA"/>
    <w:rsid w:val="003B1FC2"/>
    <w:rsid w:val="003B21F6"/>
    <w:rsid w:val="003B285D"/>
    <w:rsid w:val="003B29D8"/>
    <w:rsid w:val="003B2C71"/>
    <w:rsid w:val="003B2C85"/>
    <w:rsid w:val="003B3049"/>
    <w:rsid w:val="003B3258"/>
    <w:rsid w:val="003B32D3"/>
    <w:rsid w:val="003B36B8"/>
    <w:rsid w:val="003B391A"/>
    <w:rsid w:val="003B396C"/>
    <w:rsid w:val="003B3BDF"/>
    <w:rsid w:val="003B3C57"/>
    <w:rsid w:val="003B3D1A"/>
    <w:rsid w:val="003B3F93"/>
    <w:rsid w:val="003B401D"/>
    <w:rsid w:val="003B40BA"/>
    <w:rsid w:val="003B41E6"/>
    <w:rsid w:val="003B440A"/>
    <w:rsid w:val="003B46E0"/>
    <w:rsid w:val="003B4750"/>
    <w:rsid w:val="003B4A7A"/>
    <w:rsid w:val="003B4A8E"/>
    <w:rsid w:val="003B4DEC"/>
    <w:rsid w:val="003B508D"/>
    <w:rsid w:val="003B52C5"/>
    <w:rsid w:val="003B530F"/>
    <w:rsid w:val="003B5637"/>
    <w:rsid w:val="003B5775"/>
    <w:rsid w:val="003B597E"/>
    <w:rsid w:val="003B5CBC"/>
    <w:rsid w:val="003B5DFA"/>
    <w:rsid w:val="003B5ED5"/>
    <w:rsid w:val="003B5F1D"/>
    <w:rsid w:val="003B605E"/>
    <w:rsid w:val="003B6201"/>
    <w:rsid w:val="003B628E"/>
    <w:rsid w:val="003B62E8"/>
    <w:rsid w:val="003B66B6"/>
    <w:rsid w:val="003B67DA"/>
    <w:rsid w:val="003B6989"/>
    <w:rsid w:val="003B6AB3"/>
    <w:rsid w:val="003B6AEA"/>
    <w:rsid w:val="003B6E00"/>
    <w:rsid w:val="003B6E19"/>
    <w:rsid w:val="003B6EDA"/>
    <w:rsid w:val="003B73A3"/>
    <w:rsid w:val="003B740D"/>
    <w:rsid w:val="003B7612"/>
    <w:rsid w:val="003B7854"/>
    <w:rsid w:val="003B7A91"/>
    <w:rsid w:val="003B7B06"/>
    <w:rsid w:val="003B7D6B"/>
    <w:rsid w:val="003B7DE7"/>
    <w:rsid w:val="003B7EBC"/>
    <w:rsid w:val="003B7EDA"/>
    <w:rsid w:val="003C017F"/>
    <w:rsid w:val="003C0371"/>
    <w:rsid w:val="003C05DF"/>
    <w:rsid w:val="003C0667"/>
    <w:rsid w:val="003C067F"/>
    <w:rsid w:val="003C0EF1"/>
    <w:rsid w:val="003C0FA2"/>
    <w:rsid w:val="003C1468"/>
    <w:rsid w:val="003C17BD"/>
    <w:rsid w:val="003C18E6"/>
    <w:rsid w:val="003C1F4B"/>
    <w:rsid w:val="003C1F61"/>
    <w:rsid w:val="003C20E0"/>
    <w:rsid w:val="003C2157"/>
    <w:rsid w:val="003C22F3"/>
    <w:rsid w:val="003C25F6"/>
    <w:rsid w:val="003C26BF"/>
    <w:rsid w:val="003C26C3"/>
    <w:rsid w:val="003C27AF"/>
    <w:rsid w:val="003C28A8"/>
    <w:rsid w:val="003C28C9"/>
    <w:rsid w:val="003C2B39"/>
    <w:rsid w:val="003C2C66"/>
    <w:rsid w:val="003C31B9"/>
    <w:rsid w:val="003C330A"/>
    <w:rsid w:val="003C376C"/>
    <w:rsid w:val="003C3784"/>
    <w:rsid w:val="003C39AE"/>
    <w:rsid w:val="003C39EB"/>
    <w:rsid w:val="003C3BDE"/>
    <w:rsid w:val="003C4016"/>
    <w:rsid w:val="003C411D"/>
    <w:rsid w:val="003C4294"/>
    <w:rsid w:val="003C4315"/>
    <w:rsid w:val="003C43BA"/>
    <w:rsid w:val="003C4506"/>
    <w:rsid w:val="003C46A1"/>
    <w:rsid w:val="003C479F"/>
    <w:rsid w:val="003C47C3"/>
    <w:rsid w:val="003C48DD"/>
    <w:rsid w:val="003C4BB6"/>
    <w:rsid w:val="003C4ECE"/>
    <w:rsid w:val="003C4F03"/>
    <w:rsid w:val="003C4F97"/>
    <w:rsid w:val="003C515D"/>
    <w:rsid w:val="003C5709"/>
    <w:rsid w:val="003C58BE"/>
    <w:rsid w:val="003C59F5"/>
    <w:rsid w:val="003C5A27"/>
    <w:rsid w:val="003C5A5A"/>
    <w:rsid w:val="003C5C71"/>
    <w:rsid w:val="003C6033"/>
    <w:rsid w:val="003C613C"/>
    <w:rsid w:val="003C6324"/>
    <w:rsid w:val="003C64D6"/>
    <w:rsid w:val="003C66B0"/>
    <w:rsid w:val="003C6734"/>
    <w:rsid w:val="003C6A1A"/>
    <w:rsid w:val="003C73EE"/>
    <w:rsid w:val="003C758A"/>
    <w:rsid w:val="003C76A9"/>
    <w:rsid w:val="003C77A8"/>
    <w:rsid w:val="003C77FF"/>
    <w:rsid w:val="003C7953"/>
    <w:rsid w:val="003C799D"/>
    <w:rsid w:val="003C7B94"/>
    <w:rsid w:val="003C7ECB"/>
    <w:rsid w:val="003D0480"/>
    <w:rsid w:val="003D070B"/>
    <w:rsid w:val="003D0A0C"/>
    <w:rsid w:val="003D0A40"/>
    <w:rsid w:val="003D0C43"/>
    <w:rsid w:val="003D0F03"/>
    <w:rsid w:val="003D0F5F"/>
    <w:rsid w:val="003D0F60"/>
    <w:rsid w:val="003D0F68"/>
    <w:rsid w:val="003D1283"/>
    <w:rsid w:val="003D1330"/>
    <w:rsid w:val="003D1403"/>
    <w:rsid w:val="003D14AB"/>
    <w:rsid w:val="003D19C8"/>
    <w:rsid w:val="003D1A9C"/>
    <w:rsid w:val="003D1EBD"/>
    <w:rsid w:val="003D1EE5"/>
    <w:rsid w:val="003D2074"/>
    <w:rsid w:val="003D22C7"/>
    <w:rsid w:val="003D23D0"/>
    <w:rsid w:val="003D2522"/>
    <w:rsid w:val="003D2646"/>
    <w:rsid w:val="003D26A0"/>
    <w:rsid w:val="003D26FC"/>
    <w:rsid w:val="003D273F"/>
    <w:rsid w:val="003D274D"/>
    <w:rsid w:val="003D29CB"/>
    <w:rsid w:val="003D2D45"/>
    <w:rsid w:val="003D2D56"/>
    <w:rsid w:val="003D2DBD"/>
    <w:rsid w:val="003D302D"/>
    <w:rsid w:val="003D34C0"/>
    <w:rsid w:val="003D360A"/>
    <w:rsid w:val="003D3892"/>
    <w:rsid w:val="003D3DA8"/>
    <w:rsid w:val="003D43CC"/>
    <w:rsid w:val="003D47A0"/>
    <w:rsid w:val="003D489F"/>
    <w:rsid w:val="003D4C18"/>
    <w:rsid w:val="003D4E96"/>
    <w:rsid w:val="003D4EF6"/>
    <w:rsid w:val="003D536C"/>
    <w:rsid w:val="003D54D1"/>
    <w:rsid w:val="003D5819"/>
    <w:rsid w:val="003D5A9D"/>
    <w:rsid w:val="003D5B40"/>
    <w:rsid w:val="003D5BA8"/>
    <w:rsid w:val="003D5C2D"/>
    <w:rsid w:val="003D5F5A"/>
    <w:rsid w:val="003D5F64"/>
    <w:rsid w:val="003D663D"/>
    <w:rsid w:val="003D67BC"/>
    <w:rsid w:val="003D6E92"/>
    <w:rsid w:val="003D744C"/>
    <w:rsid w:val="003D74BB"/>
    <w:rsid w:val="003D7680"/>
    <w:rsid w:val="003D78A4"/>
    <w:rsid w:val="003D7CE6"/>
    <w:rsid w:val="003D7D7C"/>
    <w:rsid w:val="003D7EA7"/>
    <w:rsid w:val="003D7F6B"/>
    <w:rsid w:val="003D7FFC"/>
    <w:rsid w:val="003E0098"/>
    <w:rsid w:val="003E00DF"/>
    <w:rsid w:val="003E011C"/>
    <w:rsid w:val="003E012B"/>
    <w:rsid w:val="003E0798"/>
    <w:rsid w:val="003E0F68"/>
    <w:rsid w:val="003E109C"/>
    <w:rsid w:val="003E1125"/>
    <w:rsid w:val="003E1192"/>
    <w:rsid w:val="003E13A8"/>
    <w:rsid w:val="003E1883"/>
    <w:rsid w:val="003E1935"/>
    <w:rsid w:val="003E19EC"/>
    <w:rsid w:val="003E1B17"/>
    <w:rsid w:val="003E1CD6"/>
    <w:rsid w:val="003E230D"/>
    <w:rsid w:val="003E23E3"/>
    <w:rsid w:val="003E245D"/>
    <w:rsid w:val="003E2612"/>
    <w:rsid w:val="003E2A79"/>
    <w:rsid w:val="003E2BAC"/>
    <w:rsid w:val="003E2C38"/>
    <w:rsid w:val="003E2C42"/>
    <w:rsid w:val="003E2CDA"/>
    <w:rsid w:val="003E2E76"/>
    <w:rsid w:val="003E329C"/>
    <w:rsid w:val="003E338E"/>
    <w:rsid w:val="003E34C4"/>
    <w:rsid w:val="003E34DE"/>
    <w:rsid w:val="003E374F"/>
    <w:rsid w:val="003E3766"/>
    <w:rsid w:val="003E3769"/>
    <w:rsid w:val="003E3881"/>
    <w:rsid w:val="003E39C9"/>
    <w:rsid w:val="003E3A58"/>
    <w:rsid w:val="003E3C91"/>
    <w:rsid w:val="003E3D02"/>
    <w:rsid w:val="003E3F26"/>
    <w:rsid w:val="003E43B6"/>
    <w:rsid w:val="003E43D2"/>
    <w:rsid w:val="003E45F7"/>
    <w:rsid w:val="003E46F8"/>
    <w:rsid w:val="003E4D2A"/>
    <w:rsid w:val="003E4DBD"/>
    <w:rsid w:val="003E50FE"/>
    <w:rsid w:val="003E51A2"/>
    <w:rsid w:val="003E535D"/>
    <w:rsid w:val="003E547F"/>
    <w:rsid w:val="003E55BB"/>
    <w:rsid w:val="003E5D21"/>
    <w:rsid w:val="003E6017"/>
    <w:rsid w:val="003E624E"/>
    <w:rsid w:val="003E62DA"/>
    <w:rsid w:val="003E65CB"/>
    <w:rsid w:val="003E6B72"/>
    <w:rsid w:val="003E6D96"/>
    <w:rsid w:val="003E6FFB"/>
    <w:rsid w:val="003E7006"/>
    <w:rsid w:val="003E72D7"/>
    <w:rsid w:val="003E7483"/>
    <w:rsid w:val="003E7528"/>
    <w:rsid w:val="003E754A"/>
    <w:rsid w:val="003E7690"/>
    <w:rsid w:val="003E774E"/>
    <w:rsid w:val="003E7760"/>
    <w:rsid w:val="003E7B92"/>
    <w:rsid w:val="003E7E87"/>
    <w:rsid w:val="003E7F3E"/>
    <w:rsid w:val="003F02F8"/>
    <w:rsid w:val="003F0726"/>
    <w:rsid w:val="003F074A"/>
    <w:rsid w:val="003F079E"/>
    <w:rsid w:val="003F0813"/>
    <w:rsid w:val="003F0A37"/>
    <w:rsid w:val="003F0C3F"/>
    <w:rsid w:val="003F11F2"/>
    <w:rsid w:val="003F126C"/>
    <w:rsid w:val="003F12BB"/>
    <w:rsid w:val="003F1567"/>
    <w:rsid w:val="003F169E"/>
    <w:rsid w:val="003F1744"/>
    <w:rsid w:val="003F18F4"/>
    <w:rsid w:val="003F1BC2"/>
    <w:rsid w:val="003F1DF3"/>
    <w:rsid w:val="003F1E4C"/>
    <w:rsid w:val="003F1FC2"/>
    <w:rsid w:val="003F2388"/>
    <w:rsid w:val="003F2446"/>
    <w:rsid w:val="003F28B2"/>
    <w:rsid w:val="003F2917"/>
    <w:rsid w:val="003F2D19"/>
    <w:rsid w:val="003F2D2A"/>
    <w:rsid w:val="003F316B"/>
    <w:rsid w:val="003F34D9"/>
    <w:rsid w:val="003F353F"/>
    <w:rsid w:val="003F42AF"/>
    <w:rsid w:val="003F42C8"/>
    <w:rsid w:val="003F4566"/>
    <w:rsid w:val="003F4732"/>
    <w:rsid w:val="003F47EA"/>
    <w:rsid w:val="003F482A"/>
    <w:rsid w:val="003F4B9B"/>
    <w:rsid w:val="003F4BCF"/>
    <w:rsid w:val="003F4D7F"/>
    <w:rsid w:val="003F4E33"/>
    <w:rsid w:val="003F4FD9"/>
    <w:rsid w:val="003F5190"/>
    <w:rsid w:val="003F52FA"/>
    <w:rsid w:val="003F5322"/>
    <w:rsid w:val="003F53C3"/>
    <w:rsid w:val="003F5513"/>
    <w:rsid w:val="003F5627"/>
    <w:rsid w:val="003F5E5C"/>
    <w:rsid w:val="003F5EF0"/>
    <w:rsid w:val="003F654B"/>
    <w:rsid w:val="003F6C11"/>
    <w:rsid w:val="003F6C57"/>
    <w:rsid w:val="003F6DCC"/>
    <w:rsid w:val="003F70F6"/>
    <w:rsid w:val="003F710B"/>
    <w:rsid w:val="003F7607"/>
    <w:rsid w:val="003F78E0"/>
    <w:rsid w:val="003F7BA2"/>
    <w:rsid w:val="003F7C79"/>
    <w:rsid w:val="003F7D7D"/>
    <w:rsid w:val="00400010"/>
    <w:rsid w:val="00400143"/>
    <w:rsid w:val="004003C9"/>
    <w:rsid w:val="00400432"/>
    <w:rsid w:val="004005C8"/>
    <w:rsid w:val="00400843"/>
    <w:rsid w:val="00400A50"/>
    <w:rsid w:val="00400BE1"/>
    <w:rsid w:val="00400D28"/>
    <w:rsid w:val="00400FF3"/>
    <w:rsid w:val="004010AA"/>
    <w:rsid w:val="0040113F"/>
    <w:rsid w:val="0040139F"/>
    <w:rsid w:val="00401414"/>
    <w:rsid w:val="0040177D"/>
    <w:rsid w:val="00401826"/>
    <w:rsid w:val="00401A5B"/>
    <w:rsid w:val="00401AD9"/>
    <w:rsid w:val="00401C67"/>
    <w:rsid w:val="00401EDC"/>
    <w:rsid w:val="00401F05"/>
    <w:rsid w:val="00402617"/>
    <w:rsid w:val="00402722"/>
    <w:rsid w:val="00402A5A"/>
    <w:rsid w:val="00402C83"/>
    <w:rsid w:val="004035CC"/>
    <w:rsid w:val="0040366C"/>
    <w:rsid w:val="004037D7"/>
    <w:rsid w:val="0040388B"/>
    <w:rsid w:val="004038A9"/>
    <w:rsid w:val="004038DE"/>
    <w:rsid w:val="00403917"/>
    <w:rsid w:val="0040391C"/>
    <w:rsid w:val="00403A1B"/>
    <w:rsid w:val="00403C20"/>
    <w:rsid w:val="00403D8F"/>
    <w:rsid w:val="00403DC6"/>
    <w:rsid w:val="00403FE9"/>
    <w:rsid w:val="00404141"/>
    <w:rsid w:val="00404380"/>
    <w:rsid w:val="004043B8"/>
    <w:rsid w:val="00404401"/>
    <w:rsid w:val="00404B6E"/>
    <w:rsid w:val="00404C7F"/>
    <w:rsid w:val="00404F56"/>
    <w:rsid w:val="00404F67"/>
    <w:rsid w:val="00405082"/>
    <w:rsid w:val="00405183"/>
    <w:rsid w:val="0040530F"/>
    <w:rsid w:val="004055DE"/>
    <w:rsid w:val="00405763"/>
    <w:rsid w:val="00405957"/>
    <w:rsid w:val="00405ADA"/>
    <w:rsid w:val="00405C6E"/>
    <w:rsid w:val="00405C98"/>
    <w:rsid w:val="00405F1C"/>
    <w:rsid w:val="0040612B"/>
    <w:rsid w:val="00406213"/>
    <w:rsid w:val="004063FD"/>
    <w:rsid w:val="00406416"/>
    <w:rsid w:val="0040670C"/>
    <w:rsid w:val="00406C79"/>
    <w:rsid w:val="00406FF8"/>
    <w:rsid w:val="00407345"/>
    <w:rsid w:val="00407962"/>
    <w:rsid w:val="00407D17"/>
    <w:rsid w:val="00410243"/>
    <w:rsid w:val="00410C81"/>
    <w:rsid w:val="0041125B"/>
    <w:rsid w:val="0041126C"/>
    <w:rsid w:val="0041131C"/>
    <w:rsid w:val="0041154F"/>
    <w:rsid w:val="00411554"/>
    <w:rsid w:val="00411581"/>
    <w:rsid w:val="0041185F"/>
    <w:rsid w:val="00411881"/>
    <w:rsid w:val="0041199D"/>
    <w:rsid w:val="00412010"/>
    <w:rsid w:val="00412244"/>
    <w:rsid w:val="004122CE"/>
    <w:rsid w:val="004123A4"/>
    <w:rsid w:val="0041257C"/>
    <w:rsid w:val="00412C56"/>
    <w:rsid w:val="00412D26"/>
    <w:rsid w:val="00412ED1"/>
    <w:rsid w:val="00412F76"/>
    <w:rsid w:val="0041300B"/>
    <w:rsid w:val="0041304B"/>
    <w:rsid w:val="0041313F"/>
    <w:rsid w:val="00413761"/>
    <w:rsid w:val="004137F2"/>
    <w:rsid w:val="0041392F"/>
    <w:rsid w:val="00413A53"/>
    <w:rsid w:val="00413B4C"/>
    <w:rsid w:val="00413C2A"/>
    <w:rsid w:val="00413EBE"/>
    <w:rsid w:val="00413ED5"/>
    <w:rsid w:val="004140D0"/>
    <w:rsid w:val="004145C1"/>
    <w:rsid w:val="0041482F"/>
    <w:rsid w:val="00414CDC"/>
    <w:rsid w:val="00414D3C"/>
    <w:rsid w:val="00414FE7"/>
    <w:rsid w:val="00415013"/>
    <w:rsid w:val="0041518E"/>
    <w:rsid w:val="00415398"/>
    <w:rsid w:val="004153AE"/>
    <w:rsid w:val="00415B45"/>
    <w:rsid w:val="00415B53"/>
    <w:rsid w:val="00415E58"/>
    <w:rsid w:val="00415E7D"/>
    <w:rsid w:val="004160A1"/>
    <w:rsid w:val="004160A8"/>
    <w:rsid w:val="00416116"/>
    <w:rsid w:val="00416329"/>
    <w:rsid w:val="00416352"/>
    <w:rsid w:val="004166B0"/>
    <w:rsid w:val="00416CEE"/>
    <w:rsid w:val="00417168"/>
    <w:rsid w:val="00417171"/>
    <w:rsid w:val="00417550"/>
    <w:rsid w:val="0041789D"/>
    <w:rsid w:val="00417B59"/>
    <w:rsid w:val="00417C68"/>
    <w:rsid w:val="00417D00"/>
    <w:rsid w:val="00417DB5"/>
    <w:rsid w:val="00417F8C"/>
    <w:rsid w:val="0042003C"/>
    <w:rsid w:val="004200DA"/>
    <w:rsid w:val="004204CA"/>
    <w:rsid w:val="00420630"/>
    <w:rsid w:val="004207A8"/>
    <w:rsid w:val="004209B6"/>
    <w:rsid w:val="00420AD4"/>
    <w:rsid w:val="00420B53"/>
    <w:rsid w:val="00420B74"/>
    <w:rsid w:val="00420C1C"/>
    <w:rsid w:val="00420C9C"/>
    <w:rsid w:val="00420D0C"/>
    <w:rsid w:val="00420E4C"/>
    <w:rsid w:val="00420E74"/>
    <w:rsid w:val="00421073"/>
    <w:rsid w:val="00421314"/>
    <w:rsid w:val="0042151E"/>
    <w:rsid w:val="00421643"/>
    <w:rsid w:val="00421823"/>
    <w:rsid w:val="00421C7E"/>
    <w:rsid w:val="00421DCD"/>
    <w:rsid w:val="00421F8D"/>
    <w:rsid w:val="00422357"/>
    <w:rsid w:val="0042249E"/>
    <w:rsid w:val="004226FF"/>
    <w:rsid w:val="004229E6"/>
    <w:rsid w:val="00422B23"/>
    <w:rsid w:val="00422D9A"/>
    <w:rsid w:val="00422FE8"/>
    <w:rsid w:val="004230BE"/>
    <w:rsid w:val="00423904"/>
    <w:rsid w:val="00424086"/>
    <w:rsid w:val="004240B2"/>
    <w:rsid w:val="004246DD"/>
    <w:rsid w:val="00424960"/>
    <w:rsid w:val="00424B7E"/>
    <w:rsid w:val="00424B9F"/>
    <w:rsid w:val="00425178"/>
    <w:rsid w:val="0042539B"/>
    <w:rsid w:val="00425733"/>
    <w:rsid w:val="00425841"/>
    <w:rsid w:val="00425A93"/>
    <w:rsid w:val="00425B33"/>
    <w:rsid w:val="00425B86"/>
    <w:rsid w:val="00425B8E"/>
    <w:rsid w:val="00425F8E"/>
    <w:rsid w:val="00425FC9"/>
    <w:rsid w:val="0042601E"/>
    <w:rsid w:val="0042611B"/>
    <w:rsid w:val="0042617F"/>
    <w:rsid w:val="0042631C"/>
    <w:rsid w:val="00426605"/>
    <w:rsid w:val="0042669B"/>
    <w:rsid w:val="00426880"/>
    <w:rsid w:val="0042698D"/>
    <w:rsid w:val="00426A34"/>
    <w:rsid w:val="00426A72"/>
    <w:rsid w:val="00426C06"/>
    <w:rsid w:val="00426C63"/>
    <w:rsid w:val="00426D52"/>
    <w:rsid w:val="00426E9F"/>
    <w:rsid w:val="00426F22"/>
    <w:rsid w:val="004271CF"/>
    <w:rsid w:val="00427548"/>
    <w:rsid w:val="00427921"/>
    <w:rsid w:val="00427BF0"/>
    <w:rsid w:val="00427EF5"/>
    <w:rsid w:val="0043020D"/>
    <w:rsid w:val="0043037A"/>
    <w:rsid w:val="0043070E"/>
    <w:rsid w:val="00430773"/>
    <w:rsid w:val="00430876"/>
    <w:rsid w:val="00430885"/>
    <w:rsid w:val="0043135D"/>
    <w:rsid w:val="004314F8"/>
    <w:rsid w:val="00431834"/>
    <w:rsid w:val="004319D9"/>
    <w:rsid w:val="00431B31"/>
    <w:rsid w:val="00431B7E"/>
    <w:rsid w:val="00431CC3"/>
    <w:rsid w:val="00431DC2"/>
    <w:rsid w:val="00431F29"/>
    <w:rsid w:val="00431FC3"/>
    <w:rsid w:val="00432012"/>
    <w:rsid w:val="004320B6"/>
    <w:rsid w:val="00432308"/>
    <w:rsid w:val="00432374"/>
    <w:rsid w:val="0043262C"/>
    <w:rsid w:val="00432A15"/>
    <w:rsid w:val="00432C39"/>
    <w:rsid w:val="00432D5F"/>
    <w:rsid w:val="00432EA8"/>
    <w:rsid w:val="00433135"/>
    <w:rsid w:val="00433308"/>
    <w:rsid w:val="00433593"/>
    <w:rsid w:val="004337A2"/>
    <w:rsid w:val="0043389A"/>
    <w:rsid w:val="00433F5B"/>
    <w:rsid w:val="004340DA"/>
    <w:rsid w:val="00434362"/>
    <w:rsid w:val="004343EB"/>
    <w:rsid w:val="00434460"/>
    <w:rsid w:val="004347F6"/>
    <w:rsid w:val="00434823"/>
    <w:rsid w:val="0043490D"/>
    <w:rsid w:val="004349A2"/>
    <w:rsid w:val="00434E8A"/>
    <w:rsid w:val="00434EFE"/>
    <w:rsid w:val="00434F21"/>
    <w:rsid w:val="00434F56"/>
    <w:rsid w:val="004351A3"/>
    <w:rsid w:val="00435208"/>
    <w:rsid w:val="0043547C"/>
    <w:rsid w:val="004357EF"/>
    <w:rsid w:val="00435808"/>
    <w:rsid w:val="00435895"/>
    <w:rsid w:val="00435C62"/>
    <w:rsid w:val="00435DFA"/>
    <w:rsid w:val="00435E73"/>
    <w:rsid w:val="00435E7F"/>
    <w:rsid w:val="004362BE"/>
    <w:rsid w:val="00436481"/>
    <w:rsid w:val="004364A9"/>
    <w:rsid w:val="00436A5A"/>
    <w:rsid w:val="00436C62"/>
    <w:rsid w:val="00436CC7"/>
    <w:rsid w:val="00436E82"/>
    <w:rsid w:val="00437117"/>
    <w:rsid w:val="0043723E"/>
    <w:rsid w:val="004372BE"/>
    <w:rsid w:val="00437334"/>
    <w:rsid w:val="00437495"/>
    <w:rsid w:val="004375C2"/>
    <w:rsid w:val="00437611"/>
    <w:rsid w:val="0043765B"/>
    <w:rsid w:val="00437776"/>
    <w:rsid w:val="0043780C"/>
    <w:rsid w:val="00437935"/>
    <w:rsid w:val="00437949"/>
    <w:rsid w:val="00437B83"/>
    <w:rsid w:val="00437C67"/>
    <w:rsid w:val="00437EC2"/>
    <w:rsid w:val="00440258"/>
    <w:rsid w:val="004403C3"/>
    <w:rsid w:val="00440874"/>
    <w:rsid w:val="00440916"/>
    <w:rsid w:val="00440C31"/>
    <w:rsid w:val="00440E16"/>
    <w:rsid w:val="0044107D"/>
    <w:rsid w:val="0044117A"/>
    <w:rsid w:val="004411AD"/>
    <w:rsid w:val="004417BE"/>
    <w:rsid w:val="0044184D"/>
    <w:rsid w:val="0044190F"/>
    <w:rsid w:val="00441A91"/>
    <w:rsid w:val="00441AFB"/>
    <w:rsid w:val="00441D5A"/>
    <w:rsid w:val="00441EAE"/>
    <w:rsid w:val="00441F9D"/>
    <w:rsid w:val="0044217B"/>
    <w:rsid w:val="00442221"/>
    <w:rsid w:val="0044230A"/>
    <w:rsid w:val="004425EA"/>
    <w:rsid w:val="00442771"/>
    <w:rsid w:val="00442963"/>
    <w:rsid w:val="00442DB4"/>
    <w:rsid w:val="00442DDA"/>
    <w:rsid w:val="00443274"/>
    <w:rsid w:val="00443294"/>
    <w:rsid w:val="0044329A"/>
    <w:rsid w:val="004432D3"/>
    <w:rsid w:val="00443536"/>
    <w:rsid w:val="00443680"/>
    <w:rsid w:val="00443819"/>
    <w:rsid w:val="0044383C"/>
    <w:rsid w:val="00443AFB"/>
    <w:rsid w:val="00443B91"/>
    <w:rsid w:val="00443DB1"/>
    <w:rsid w:val="00443E5C"/>
    <w:rsid w:val="00444020"/>
    <w:rsid w:val="004440D4"/>
    <w:rsid w:val="004441E1"/>
    <w:rsid w:val="00444432"/>
    <w:rsid w:val="0044452B"/>
    <w:rsid w:val="00444742"/>
    <w:rsid w:val="004447A6"/>
    <w:rsid w:val="00444A73"/>
    <w:rsid w:val="00444E70"/>
    <w:rsid w:val="004453FF"/>
    <w:rsid w:val="0044557E"/>
    <w:rsid w:val="00445DC7"/>
    <w:rsid w:val="00446022"/>
    <w:rsid w:val="00446059"/>
    <w:rsid w:val="00446433"/>
    <w:rsid w:val="00446570"/>
    <w:rsid w:val="004465D2"/>
    <w:rsid w:val="0044670F"/>
    <w:rsid w:val="004468E8"/>
    <w:rsid w:val="00446C8E"/>
    <w:rsid w:val="00446D50"/>
    <w:rsid w:val="00446DA7"/>
    <w:rsid w:val="00446E8D"/>
    <w:rsid w:val="00447691"/>
    <w:rsid w:val="004477B9"/>
    <w:rsid w:val="00447A4E"/>
    <w:rsid w:val="00447BAD"/>
    <w:rsid w:val="00447BF7"/>
    <w:rsid w:val="00450033"/>
    <w:rsid w:val="00450050"/>
    <w:rsid w:val="00450198"/>
    <w:rsid w:val="00450263"/>
    <w:rsid w:val="0045056B"/>
    <w:rsid w:val="00450787"/>
    <w:rsid w:val="00450B02"/>
    <w:rsid w:val="00450B94"/>
    <w:rsid w:val="00450D4B"/>
    <w:rsid w:val="00451063"/>
    <w:rsid w:val="00451323"/>
    <w:rsid w:val="004514C9"/>
    <w:rsid w:val="004514CB"/>
    <w:rsid w:val="0045165E"/>
    <w:rsid w:val="004517D7"/>
    <w:rsid w:val="004517D8"/>
    <w:rsid w:val="0045181D"/>
    <w:rsid w:val="00451872"/>
    <w:rsid w:val="00451F44"/>
    <w:rsid w:val="00452041"/>
    <w:rsid w:val="00452189"/>
    <w:rsid w:val="00452235"/>
    <w:rsid w:val="00452914"/>
    <w:rsid w:val="00452B21"/>
    <w:rsid w:val="00452B56"/>
    <w:rsid w:val="00452DF8"/>
    <w:rsid w:val="00452F59"/>
    <w:rsid w:val="0045311A"/>
    <w:rsid w:val="004532A9"/>
    <w:rsid w:val="004536EC"/>
    <w:rsid w:val="004538EC"/>
    <w:rsid w:val="00453A18"/>
    <w:rsid w:val="00453A27"/>
    <w:rsid w:val="00453BBA"/>
    <w:rsid w:val="00453BEC"/>
    <w:rsid w:val="00453C6C"/>
    <w:rsid w:val="00454194"/>
    <w:rsid w:val="00454457"/>
    <w:rsid w:val="004546DD"/>
    <w:rsid w:val="00454B5D"/>
    <w:rsid w:val="00454C54"/>
    <w:rsid w:val="00454E4D"/>
    <w:rsid w:val="00454EC2"/>
    <w:rsid w:val="00455006"/>
    <w:rsid w:val="004550DF"/>
    <w:rsid w:val="0045542E"/>
    <w:rsid w:val="0045543C"/>
    <w:rsid w:val="00455520"/>
    <w:rsid w:val="004555B8"/>
    <w:rsid w:val="0045577B"/>
    <w:rsid w:val="0045595F"/>
    <w:rsid w:val="0045596F"/>
    <w:rsid w:val="00455BC5"/>
    <w:rsid w:val="00455BFB"/>
    <w:rsid w:val="00455EB5"/>
    <w:rsid w:val="004560C7"/>
    <w:rsid w:val="0045639F"/>
    <w:rsid w:val="00456544"/>
    <w:rsid w:val="00456569"/>
    <w:rsid w:val="00456F70"/>
    <w:rsid w:val="0045701A"/>
    <w:rsid w:val="0045709E"/>
    <w:rsid w:val="004575B8"/>
    <w:rsid w:val="00457724"/>
    <w:rsid w:val="00457859"/>
    <w:rsid w:val="004579AF"/>
    <w:rsid w:val="00457A00"/>
    <w:rsid w:val="00457A49"/>
    <w:rsid w:val="00457D12"/>
    <w:rsid w:val="00457D77"/>
    <w:rsid w:val="00460018"/>
    <w:rsid w:val="004603C3"/>
    <w:rsid w:val="004603FC"/>
    <w:rsid w:val="004604B5"/>
    <w:rsid w:val="00460643"/>
    <w:rsid w:val="00460679"/>
    <w:rsid w:val="00460887"/>
    <w:rsid w:val="00460F18"/>
    <w:rsid w:val="004612D7"/>
    <w:rsid w:val="00461359"/>
    <w:rsid w:val="0046138A"/>
    <w:rsid w:val="00461490"/>
    <w:rsid w:val="004614B7"/>
    <w:rsid w:val="00461909"/>
    <w:rsid w:val="00461A39"/>
    <w:rsid w:val="00461BB3"/>
    <w:rsid w:val="00461F49"/>
    <w:rsid w:val="00461F8B"/>
    <w:rsid w:val="00461F99"/>
    <w:rsid w:val="00462047"/>
    <w:rsid w:val="00462121"/>
    <w:rsid w:val="0046216E"/>
    <w:rsid w:val="0046224C"/>
    <w:rsid w:val="00462350"/>
    <w:rsid w:val="00462376"/>
    <w:rsid w:val="004625FF"/>
    <w:rsid w:val="00462B7C"/>
    <w:rsid w:val="00462B8C"/>
    <w:rsid w:val="00462D05"/>
    <w:rsid w:val="00462D79"/>
    <w:rsid w:val="00463131"/>
    <w:rsid w:val="00463370"/>
    <w:rsid w:val="00463644"/>
    <w:rsid w:val="00463739"/>
    <w:rsid w:val="00463746"/>
    <w:rsid w:val="004637FB"/>
    <w:rsid w:val="00463978"/>
    <w:rsid w:val="004639B7"/>
    <w:rsid w:val="004639DE"/>
    <w:rsid w:val="004640C6"/>
    <w:rsid w:val="00464229"/>
    <w:rsid w:val="004642D4"/>
    <w:rsid w:val="0046435B"/>
    <w:rsid w:val="00464556"/>
    <w:rsid w:val="00464604"/>
    <w:rsid w:val="0046466C"/>
    <w:rsid w:val="004647C7"/>
    <w:rsid w:val="00464E38"/>
    <w:rsid w:val="00464FD1"/>
    <w:rsid w:val="004651AA"/>
    <w:rsid w:val="00465347"/>
    <w:rsid w:val="00465CC6"/>
    <w:rsid w:val="00465E92"/>
    <w:rsid w:val="0046638C"/>
    <w:rsid w:val="004663FA"/>
    <w:rsid w:val="0046647D"/>
    <w:rsid w:val="004667EE"/>
    <w:rsid w:val="00466894"/>
    <w:rsid w:val="00466B85"/>
    <w:rsid w:val="00466B8B"/>
    <w:rsid w:val="00466C22"/>
    <w:rsid w:val="00466D5D"/>
    <w:rsid w:val="00466EE0"/>
    <w:rsid w:val="00467416"/>
    <w:rsid w:val="00467662"/>
    <w:rsid w:val="004676EE"/>
    <w:rsid w:val="00467788"/>
    <w:rsid w:val="00467A1B"/>
    <w:rsid w:val="00467CE3"/>
    <w:rsid w:val="004700BC"/>
    <w:rsid w:val="004703A6"/>
    <w:rsid w:val="00470413"/>
    <w:rsid w:val="00470495"/>
    <w:rsid w:val="00470886"/>
    <w:rsid w:val="00470952"/>
    <w:rsid w:val="004709B2"/>
    <w:rsid w:val="004709DE"/>
    <w:rsid w:val="00470A4B"/>
    <w:rsid w:val="00470C8F"/>
    <w:rsid w:val="00470FBB"/>
    <w:rsid w:val="0047103B"/>
    <w:rsid w:val="00471143"/>
    <w:rsid w:val="0047125E"/>
    <w:rsid w:val="004713B7"/>
    <w:rsid w:val="0047173D"/>
    <w:rsid w:val="00471C92"/>
    <w:rsid w:val="00471D61"/>
    <w:rsid w:val="00471DBF"/>
    <w:rsid w:val="00471E59"/>
    <w:rsid w:val="00471EB9"/>
    <w:rsid w:val="00471FB4"/>
    <w:rsid w:val="004720FC"/>
    <w:rsid w:val="00472172"/>
    <w:rsid w:val="00472230"/>
    <w:rsid w:val="00472391"/>
    <w:rsid w:val="00472952"/>
    <w:rsid w:val="00472AA9"/>
    <w:rsid w:val="00472F95"/>
    <w:rsid w:val="0047311B"/>
    <w:rsid w:val="00473487"/>
    <w:rsid w:val="00473615"/>
    <w:rsid w:val="00473BD7"/>
    <w:rsid w:val="00473E94"/>
    <w:rsid w:val="00473FB5"/>
    <w:rsid w:val="0047431E"/>
    <w:rsid w:val="004743C0"/>
    <w:rsid w:val="00474594"/>
    <w:rsid w:val="00474721"/>
    <w:rsid w:val="0047474E"/>
    <w:rsid w:val="00474777"/>
    <w:rsid w:val="004747B9"/>
    <w:rsid w:val="00474958"/>
    <w:rsid w:val="00474BCE"/>
    <w:rsid w:val="00474F05"/>
    <w:rsid w:val="004754AC"/>
    <w:rsid w:val="004756AA"/>
    <w:rsid w:val="004758A9"/>
    <w:rsid w:val="004759ED"/>
    <w:rsid w:val="00475D1C"/>
    <w:rsid w:val="00475EAD"/>
    <w:rsid w:val="00475F21"/>
    <w:rsid w:val="00475F51"/>
    <w:rsid w:val="00476059"/>
    <w:rsid w:val="0047630A"/>
    <w:rsid w:val="00476409"/>
    <w:rsid w:val="00476475"/>
    <w:rsid w:val="00476536"/>
    <w:rsid w:val="0047653C"/>
    <w:rsid w:val="0047668F"/>
    <w:rsid w:val="0047683C"/>
    <w:rsid w:val="00476B1C"/>
    <w:rsid w:val="00476F8C"/>
    <w:rsid w:val="00477277"/>
    <w:rsid w:val="004772D7"/>
    <w:rsid w:val="00477820"/>
    <w:rsid w:val="00477AA4"/>
    <w:rsid w:val="00477AF2"/>
    <w:rsid w:val="00477F13"/>
    <w:rsid w:val="00480278"/>
    <w:rsid w:val="00480834"/>
    <w:rsid w:val="004808A2"/>
    <w:rsid w:val="00480A9A"/>
    <w:rsid w:val="00480C54"/>
    <w:rsid w:val="00480CE0"/>
    <w:rsid w:val="00480F05"/>
    <w:rsid w:val="0048123E"/>
    <w:rsid w:val="0048149E"/>
    <w:rsid w:val="00481613"/>
    <w:rsid w:val="00481887"/>
    <w:rsid w:val="004819F0"/>
    <w:rsid w:val="00481C73"/>
    <w:rsid w:val="00481DD9"/>
    <w:rsid w:val="00481FD8"/>
    <w:rsid w:val="0048208B"/>
    <w:rsid w:val="0048227D"/>
    <w:rsid w:val="0048227E"/>
    <w:rsid w:val="004823D8"/>
    <w:rsid w:val="004823FD"/>
    <w:rsid w:val="004825E0"/>
    <w:rsid w:val="00482669"/>
    <w:rsid w:val="00482732"/>
    <w:rsid w:val="004827F2"/>
    <w:rsid w:val="00482837"/>
    <w:rsid w:val="004828CB"/>
    <w:rsid w:val="00482BF4"/>
    <w:rsid w:val="00482D40"/>
    <w:rsid w:val="00482F21"/>
    <w:rsid w:val="00483023"/>
    <w:rsid w:val="00483062"/>
    <w:rsid w:val="0048330F"/>
    <w:rsid w:val="004835DC"/>
    <w:rsid w:val="00483613"/>
    <w:rsid w:val="0048396E"/>
    <w:rsid w:val="004841E8"/>
    <w:rsid w:val="00484356"/>
    <w:rsid w:val="0048436F"/>
    <w:rsid w:val="00484B5F"/>
    <w:rsid w:val="00484E80"/>
    <w:rsid w:val="0048502E"/>
    <w:rsid w:val="00485339"/>
    <w:rsid w:val="00485558"/>
    <w:rsid w:val="004856DB"/>
    <w:rsid w:val="0048576D"/>
    <w:rsid w:val="004857EE"/>
    <w:rsid w:val="00485BD4"/>
    <w:rsid w:val="00485C51"/>
    <w:rsid w:val="00485CEF"/>
    <w:rsid w:val="00486032"/>
    <w:rsid w:val="00486080"/>
    <w:rsid w:val="00486229"/>
    <w:rsid w:val="00486598"/>
    <w:rsid w:val="00486817"/>
    <w:rsid w:val="004868CC"/>
    <w:rsid w:val="0048690B"/>
    <w:rsid w:val="0048690E"/>
    <w:rsid w:val="00486AC7"/>
    <w:rsid w:val="00486F1C"/>
    <w:rsid w:val="00486F44"/>
    <w:rsid w:val="00486FAC"/>
    <w:rsid w:val="004874CB"/>
    <w:rsid w:val="00487960"/>
    <w:rsid w:val="00487988"/>
    <w:rsid w:val="00487A13"/>
    <w:rsid w:val="00487D70"/>
    <w:rsid w:val="00487F9C"/>
    <w:rsid w:val="0049005C"/>
    <w:rsid w:val="00490226"/>
    <w:rsid w:val="004904A3"/>
    <w:rsid w:val="00490741"/>
    <w:rsid w:val="004908DF"/>
    <w:rsid w:val="00490A5B"/>
    <w:rsid w:val="00490B4A"/>
    <w:rsid w:val="00490B93"/>
    <w:rsid w:val="00490FFD"/>
    <w:rsid w:val="00491086"/>
    <w:rsid w:val="00491206"/>
    <w:rsid w:val="004914DF"/>
    <w:rsid w:val="00491590"/>
    <w:rsid w:val="00491618"/>
    <w:rsid w:val="0049195E"/>
    <w:rsid w:val="00491988"/>
    <w:rsid w:val="00491BEE"/>
    <w:rsid w:val="00491C28"/>
    <w:rsid w:val="00491C63"/>
    <w:rsid w:val="00491D35"/>
    <w:rsid w:val="0049222B"/>
    <w:rsid w:val="00492687"/>
    <w:rsid w:val="00492771"/>
    <w:rsid w:val="0049279B"/>
    <w:rsid w:val="00492824"/>
    <w:rsid w:val="00493208"/>
    <w:rsid w:val="00493387"/>
    <w:rsid w:val="0049339F"/>
    <w:rsid w:val="0049354D"/>
    <w:rsid w:val="004935F1"/>
    <w:rsid w:val="004938C9"/>
    <w:rsid w:val="004939AD"/>
    <w:rsid w:val="00493B14"/>
    <w:rsid w:val="00493C53"/>
    <w:rsid w:val="00493C5D"/>
    <w:rsid w:val="00493DB5"/>
    <w:rsid w:val="00494420"/>
    <w:rsid w:val="00494841"/>
    <w:rsid w:val="00494AF0"/>
    <w:rsid w:val="00494BC0"/>
    <w:rsid w:val="00494C33"/>
    <w:rsid w:val="00494D28"/>
    <w:rsid w:val="00495216"/>
    <w:rsid w:val="00495514"/>
    <w:rsid w:val="004955F6"/>
    <w:rsid w:val="00495927"/>
    <w:rsid w:val="00495975"/>
    <w:rsid w:val="00495B5D"/>
    <w:rsid w:val="00495C2C"/>
    <w:rsid w:val="00496013"/>
    <w:rsid w:val="0049681C"/>
    <w:rsid w:val="00496955"/>
    <w:rsid w:val="00496AED"/>
    <w:rsid w:val="00496C4E"/>
    <w:rsid w:val="00497293"/>
    <w:rsid w:val="00497590"/>
    <w:rsid w:val="00497752"/>
    <w:rsid w:val="004977AA"/>
    <w:rsid w:val="0049798C"/>
    <w:rsid w:val="00497A61"/>
    <w:rsid w:val="00497B86"/>
    <w:rsid w:val="00497CE7"/>
    <w:rsid w:val="00497F49"/>
    <w:rsid w:val="004A01B5"/>
    <w:rsid w:val="004A027C"/>
    <w:rsid w:val="004A0343"/>
    <w:rsid w:val="004A0BA8"/>
    <w:rsid w:val="004A0CE3"/>
    <w:rsid w:val="004A101D"/>
    <w:rsid w:val="004A1156"/>
    <w:rsid w:val="004A11AE"/>
    <w:rsid w:val="004A11DC"/>
    <w:rsid w:val="004A11E4"/>
    <w:rsid w:val="004A1418"/>
    <w:rsid w:val="004A148B"/>
    <w:rsid w:val="004A182B"/>
    <w:rsid w:val="004A1B23"/>
    <w:rsid w:val="004A1BDF"/>
    <w:rsid w:val="004A1C15"/>
    <w:rsid w:val="004A1D99"/>
    <w:rsid w:val="004A1FF7"/>
    <w:rsid w:val="004A2110"/>
    <w:rsid w:val="004A21DC"/>
    <w:rsid w:val="004A22A6"/>
    <w:rsid w:val="004A23FD"/>
    <w:rsid w:val="004A264C"/>
    <w:rsid w:val="004A2674"/>
    <w:rsid w:val="004A26F7"/>
    <w:rsid w:val="004A26FA"/>
    <w:rsid w:val="004A286D"/>
    <w:rsid w:val="004A296E"/>
    <w:rsid w:val="004A2B8C"/>
    <w:rsid w:val="004A2E11"/>
    <w:rsid w:val="004A2FF9"/>
    <w:rsid w:val="004A32AB"/>
    <w:rsid w:val="004A35A3"/>
    <w:rsid w:val="004A35A8"/>
    <w:rsid w:val="004A362B"/>
    <w:rsid w:val="004A38E9"/>
    <w:rsid w:val="004A3E6C"/>
    <w:rsid w:val="004A46A4"/>
    <w:rsid w:val="004A4750"/>
    <w:rsid w:val="004A48AA"/>
    <w:rsid w:val="004A48B1"/>
    <w:rsid w:val="004A48DE"/>
    <w:rsid w:val="004A49FE"/>
    <w:rsid w:val="004A4BA7"/>
    <w:rsid w:val="004A4C5E"/>
    <w:rsid w:val="004A4E9A"/>
    <w:rsid w:val="004A4F71"/>
    <w:rsid w:val="004A5063"/>
    <w:rsid w:val="004A509B"/>
    <w:rsid w:val="004A510A"/>
    <w:rsid w:val="004A53C9"/>
    <w:rsid w:val="004A5C27"/>
    <w:rsid w:val="004A5C90"/>
    <w:rsid w:val="004A5E85"/>
    <w:rsid w:val="004A5F66"/>
    <w:rsid w:val="004A645A"/>
    <w:rsid w:val="004A6469"/>
    <w:rsid w:val="004A646C"/>
    <w:rsid w:val="004A69F9"/>
    <w:rsid w:val="004A6D57"/>
    <w:rsid w:val="004A6FBE"/>
    <w:rsid w:val="004A7006"/>
    <w:rsid w:val="004A7403"/>
    <w:rsid w:val="004A7582"/>
    <w:rsid w:val="004A77A3"/>
    <w:rsid w:val="004A77D3"/>
    <w:rsid w:val="004A78CB"/>
    <w:rsid w:val="004A7925"/>
    <w:rsid w:val="004A7979"/>
    <w:rsid w:val="004A7A31"/>
    <w:rsid w:val="004A7C65"/>
    <w:rsid w:val="004A7DAD"/>
    <w:rsid w:val="004B03E1"/>
    <w:rsid w:val="004B054E"/>
    <w:rsid w:val="004B07E5"/>
    <w:rsid w:val="004B0834"/>
    <w:rsid w:val="004B096D"/>
    <w:rsid w:val="004B09E7"/>
    <w:rsid w:val="004B0A09"/>
    <w:rsid w:val="004B0B9D"/>
    <w:rsid w:val="004B0C77"/>
    <w:rsid w:val="004B0D7A"/>
    <w:rsid w:val="004B1016"/>
    <w:rsid w:val="004B1070"/>
    <w:rsid w:val="004B11F0"/>
    <w:rsid w:val="004B1274"/>
    <w:rsid w:val="004B12B6"/>
    <w:rsid w:val="004B1352"/>
    <w:rsid w:val="004B1435"/>
    <w:rsid w:val="004B14C0"/>
    <w:rsid w:val="004B1521"/>
    <w:rsid w:val="004B15B0"/>
    <w:rsid w:val="004B1639"/>
    <w:rsid w:val="004B170F"/>
    <w:rsid w:val="004B1861"/>
    <w:rsid w:val="004B1C79"/>
    <w:rsid w:val="004B1CF0"/>
    <w:rsid w:val="004B2383"/>
    <w:rsid w:val="004B23BB"/>
    <w:rsid w:val="004B2F34"/>
    <w:rsid w:val="004B2FA8"/>
    <w:rsid w:val="004B3040"/>
    <w:rsid w:val="004B318E"/>
    <w:rsid w:val="004B35B4"/>
    <w:rsid w:val="004B37FD"/>
    <w:rsid w:val="004B38BD"/>
    <w:rsid w:val="004B3E55"/>
    <w:rsid w:val="004B3E58"/>
    <w:rsid w:val="004B3F7C"/>
    <w:rsid w:val="004B4263"/>
    <w:rsid w:val="004B4326"/>
    <w:rsid w:val="004B4437"/>
    <w:rsid w:val="004B4530"/>
    <w:rsid w:val="004B454F"/>
    <w:rsid w:val="004B47B7"/>
    <w:rsid w:val="004B4C1E"/>
    <w:rsid w:val="004B501B"/>
    <w:rsid w:val="004B5090"/>
    <w:rsid w:val="004B5187"/>
    <w:rsid w:val="004B51FF"/>
    <w:rsid w:val="004B522B"/>
    <w:rsid w:val="004B531C"/>
    <w:rsid w:val="004B56A8"/>
    <w:rsid w:val="004B58C3"/>
    <w:rsid w:val="004B5B6B"/>
    <w:rsid w:val="004B5C92"/>
    <w:rsid w:val="004B5D62"/>
    <w:rsid w:val="004B5EF8"/>
    <w:rsid w:val="004B6096"/>
    <w:rsid w:val="004B61D2"/>
    <w:rsid w:val="004B627D"/>
    <w:rsid w:val="004B650F"/>
    <w:rsid w:val="004B69CF"/>
    <w:rsid w:val="004B6BFA"/>
    <w:rsid w:val="004B6C82"/>
    <w:rsid w:val="004B6C93"/>
    <w:rsid w:val="004B6CF4"/>
    <w:rsid w:val="004B75DB"/>
    <w:rsid w:val="004B7861"/>
    <w:rsid w:val="004B793C"/>
    <w:rsid w:val="004B7B6B"/>
    <w:rsid w:val="004B7F7B"/>
    <w:rsid w:val="004C025A"/>
    <w:rsid w:val="004C04F4"/>
    <w:rsid w:val="004C05A5"/>
    <w:rsid w:val="004C0612"/>
    <w:rsid w:val="004C0637"/>
    <w:rsid w:val="004C086E"/>
    <w:rsid w:val="004C0B19"/>
    <w:rsid w:val="004C0D7A"/>
    <w:rsid w:val="004C0E6C"/>
    <w:rsid w:val="004C1037"/>
    <w:rsid w:val="004C1262"/>
    <w:rsid w:val="004C147E"/>
    <w:rsid w:val="004C1677"/>
    <w:rsid w:val="004C16DC"/>
    <w:rsid w:val="004C1B1F"/>
    <w:rsid w:val="004C1C9A"/>
    <w:rsid w:val="004C1CF3"/>
    <w:rsid w:val="004C1E07"/>
    <w:rsid w:val="004C1FA8"/>
    <w:rsid w:val="004C20EA"/>
    <w:rsid w:val="004C22C1"/>
    <w:rsid w:val="004C2396"/>
    <w:rsid w:val="004C25FF"/>
    <w:rsid w:val="004C271D"/>
    <w:rsid w:val="004C28D4"/>
    <w:rsid w:val="004C2985"/>
    <w:rsid w:val="004C2B67"/>
    <w:rsid w:val="004C2FB5"/>
    <w:rsid w:val="004C3141"/>
    <w:rsid w:val="004C31EF"/>
    <w:rsid w:val="004C33AE"/>
    <w:rsid w:val="004C388B"/>
    <w:rsid w:val="004C3B17"/>
    <w:rsid w:val="004C3D78"/>
    <w:rsid w:val="004C3FEF"/>
    <w:rsid w:val="004C4148"/>
    <w:rsid w:val="004C42A4"/>
    <w:rsid w:val="004C4B38"/>
    <w:rsid w:val="004C4BD3"/>
    <w:rsid w:val="004C4DB3"/>
    <w:rsid w:val="004C4E0E"/>
    <w:rsid w:val="004C5121"/>
    <w:rsid w:val="004C524C"/>
    <w:rsid w:val="004C524D"/>
    <w:rsid w:val="004C54D5"/>
    <w:rsid w:val="004C5514"/>
    <w:rsid w:val="004C57D3"/>
    <w:rsid w:val="004C5834"/>
    <w:rsid w:val="004C5AEF"/>
    <w:rsid w:val="004C6327"/>
    <w:rsid w:val="004C6496"/>
    <w:rsid w:val="004C6A55"/>
    <w:rsid w:val="004C6C72"/>
    <w:rsid w:val="004C6F38"/>
    <w:rsid w:val="004C7110"/>
    <w:rsid w:val="004C7627"/>
    <w:rsid w:val="004C7721"/>
    <w:rsid w:val="004C77B4"/>
    <w:rsid w:val="004C7B55"/>
    <w:rsid w:val="004C7D4D"/>
    <w:rsid w:val="004D004E"/>
    <w:rsid w:val="004D0647"/>
    <w:rsid w:val="004D0D64"/>
    <w:rsid w:val="004D0D8A"/>
    <w:rsid w:val="004D1120"/>
    <w:rsid w:val="004D117B"/>
    <w:rsid w:val="004D120F"/>
    <w:rsid w:val="004D1618"/>
    <w:rsid w:val="004D1639"/>
    <w:rsid w:val="004D177A"/>
    <w:rsid w:val="004D1A89"/>
    <w:rsid w:val="004D1DC3"/>
    <w:rsid w:val="004D1F36"/>
    <w:rsid w:val="004D23AA"/>
    <w:rsid w:val="004D26AA"/>
    <w:rsid w:val="004D26E2"/>
    <w:rsid w:val="004D26F2"/>
    <w:rsid w:val="004D274C"/>
    <w:rsid w:val="004D28B8"/>
    <w:rsid w:val="004D2A3D"/>
    <w:rsid w:val="004D2D54"/>
    <w:rsid w:val="004D2EEC"/>
    <w:rsid w:val="004D2F85"/>
    <w:rsid w:val="004D32CE"/>
    <w:rsid w:val="004D34B0"/>
    <w:rsid w:val="004D35C2"/>
    <w:rsid w:val="004D36FF"/>
    <w:rsid w:val="004D390C"/>
    <w:rsid w:val="004D3A3A"/>
    <w:rsid w:val="004D3C7E"/>
    <w:rsid w:val="004D3D90"/>
    <w:rsid w:val="004D40BC"/>
    <w:rsid w:val="004D425D"/>
    <w:rsid w:val="004D4356"/>
    <w:rsid w:val="004D44D0"/>
    <w:rsid w:val="004D48DE"/>
    <w:rsid w:val="004D4D35"/>
    <w:rsid w:val="004D515B"/>
    <w:rsid w:val="004D5393"/>
    <w:rsid w:val="004D58DF"/>
    <w:rsid w:val="004D5C31"/>
    <w:rsid w:val="004D5C62"/>
    <w:rsid w:val="004D5FDD"/>
    <w:rsid w:val="004D6121"/>
    <w:rsid w:val="004D6394"/>
    <w:rsid w:val="004D640B"/>
    <w:rsid w:val="004D65F9"/>
    <w:rsid w:val="004D685F"/>
    <w:rsid w:val="004D6CC4"/>
    <w:rsid w:val="004D6EBF"/>
    <w:rsid w:val="004D7321"/>
    <w:rsid w:val="004D777D"/>
    <w:rsid w:val="004D7905"/>
    <w:rsid w:val="004D7A95"/>
    <w:rsid w:val="004D7D13"/>
    <w:rsid w:val="004D7D62"/>
    <w:rsid w:val="004E00B5"/>
    <w:rsid w:val="004E027A"/>
    <w:rsid w:val="004E03C4"/>
    <w:rsid w:val="004E0564"/>
    <w:rsid w:val="004E07C5"/>
    <w:rsid w:val="004E08CF"/>
    <w:rsid w:val="004E0ADA"/>
    <w:rsid w:val="004E0BC2"/>
    <w:rsid w:val="004E0E84"/>
    <w:rsid w:val="004E1188"/>
    <w:rsid w:val="004E11FD"/>
    <w:rsid w:val="004E11FE"/>
    <w:rsid w:val="004E126A"/>
    <w:rsid w:val="004E1420"/>
    <w:rsid w:val="004E1597"/>
    <w:rsid w:val="004E17C7"/>
    <w:rsid w:val="004E1BE8"/>
    <w:rsid w:val="004E1C99"/>
    <w:rsid w:val="004E1DC9"/>
    <w:rsid w:val="004E1E6F"/>
    <w:rsid w:val="004E22F0"/>
    <w:rsid w:val="004E25AF"/>
    <w:rsid w:val="004E2683"/>
    <w:rsid w:val="004E26BC"/>
    <w:rsid w:val="004E2808"/>
    <w:rsid w:val="004E28CB"/>
    <w:rsid w:val="004E2AEF"/>
    <w:rsid w:val="004E2EF4"/>
    <w:rsid w:val="004E2F67"/>
    <w:rsid w:val="004E3006"/>
    <w:rsid w:val="004E303D"/>
    <w:rsid w:val="004E32BC"/>
    <w:rsid w:val="004E3362"/>
    <w:rsid w:val="004E3C3D"/>
    <w:rsid w:val="004E3C3E"/>
    <w:rsid w:val="004E4334"/>
    <w:rsid w:val="004E43B2"/>
    <w:rsid w:val="004E452A"/>
    <w:rsid w:val="004E4531"/>
    <w:rsid w:val="004E49CE"/>
    <w:rsid w:val="004E4ADD"/>
    <w:rsid w:val="004E4CD4"/>
    <w:rsid w:val="004E4E59"/>
    <w:rsid w:val="004E4E7A"/>
    <w:rsid w:val="004E4F42"/>
    <w:rsid w:val="004E4FD5"/>
    <w:rsid w:val="004E52D0"/>
    <w:rsid w:val="004E55B8"/>
    <w:rsid w:val="004E55BC"/>
    <w:rsid w:val="004E574B"/>
    <w:rsid w:val="004E596D"/>
    <w:rsid w:val="004E59F7"/>
    <w:rsid w:val="004E5A4D"/>
    <w:rsid w:val="004E5AA3"/>
    <w:rsid w:val="004E5FC6"/>
    <w:rsid w:val="004E61EC"/>
    <w:rsid w:val="004E61F2"/>
    <w:rsid w:val="004E637A"/>
    <w:rsid w:val="004E650C"/>
    <w:rsid w:val="004E6749"/>
    <w:rsid w:val="004E6A29"/>
    <w:rsid w:val="004E6BE8"/>
    <w:rsid w:val="004E6E9D"/>
    <w:rsid w:val="004E6F3C"/>
    <w:rsid w:val="004E749F"/>
    <w:rsid w:val="004E751C"/>
    <w:rsid w:val="004E7830"/>
    <w:rsid w:val="004E78EB"/>
    <w:rsid w:val="004E7BCD"/>
    <w:rsid w:val="004E7D40"/>
    <w:rsid w:val="004E7DD2"/>
    <w:rsid w:val="004F0010"/>
    <w:rsid w:val="004F007F"/>
    <w:rsid w:val="004F0090"/>
    <w:rsid w:val="004F0185"/>
    <w:rsid w:val="004F03E0"/>
    <w:rsid w:val="004F0455"/>
    <w:rsid w:val="004F082C"/>
    <w:rsid w:val="004F087E"/>
    <w:rsid w:val="004F0B79"/>
    <w:rsid w:val="004F0EA4"/>
    <w:rsid w:val="004F0FB1"/>
    <w:rsid w:val="004F13C1"/>
    <w:rsid w:val="004F1580"/>
    <w:rsid w:val="004F15AB"/>
    <w:rsid w:val="004F172E"/>
    <w:rsid w:val="004F179E"/>
    <w:rsid w:val="004F179F"/>
    <w:rsid w:val="004F194E"/>
    <w:rsid w:val="004F1A37"/>
    <w:rsid w:val="004F1B47"/>
    <w:rsid w:val="004F1BB8"/>
    <w:rsid w:val="004F1E80"/>
    <w:rsid w:val="004F2009"/>
    <w:rsid w:val="004F2097"/>
    <w:rsid w:val="004F212C"/>
    <w:rsid w:val="004F2341"/>
    <w:rsid w:val="004F2C83"/>
    <w:rsid w:val="004F2D3E"/>
    <w:rsid w:val="004F2FAD"/>
    <w:rsid w:val="004F3008"/>
    <w:rsid w:val="004F3099"/>
    <w:rsid w:val="004F318A"/>
    <w:rsid w:val="004F31A5"/>
    <w:rsid w:val="004F31B8"/>
    <w:rsid w:val="004F3339"/>
    <w:rsid w:val="004F3945"/>
    <w:rsid w:val="004F396A"/>
    <w:rsid w:val="004F3ACA"/>
    <w:rsid w:val="004F3ECA"/>
    <w:rsid w:val="004F41C9"/>
    <w:rsid w:val="004F4607"/>
    <w:rsid w:val="004F4790"/>
    <w:rsid w:val="004F47C3"/>
    <w:rsid w:val="004F4887"/>
    <w:rsid w:val="004F4D24"/>
    <w:rsid w:val="004F4E6F"/>
    <w:rsid w:val="004F4FAA"/>
    <w:rsid w:val="004F4FD9"/>
    <w:rsid w:val="004F4FF0"/>
    <w:rsid w:val="004F510C"/>
    <w:rsid w:val="004F563A"/>
    <w:rsid w:val="004F5672"/>
    <w:rsid w:val="004F5849"/>
    <w:rsid w:val="004F584D"/>
    <w:rsid w:val="004F59B3"/>
    <w:rsid w:val="004F5F5B"/>
    <w:rsid w:val="004F5FB7"/>
    <w:rsid w:val="004F6127"/>
    <w:rsid w:val="004F643E"/>
    <w:rsid w:val="004F655F"/>
    <w:rsid w:val="004F6713"/>
    <w:rsid w:val="004F6B0F"/>
    <w:rsid w:val="004F6BFC"/>
    <w:rsid w:val="004F6C78"/>
    <w:rsid w:val="004F6D0B"/>
    <w:rsid w:val="004F6DA4"/>
    <w:rsid w:val="004F6F8F"/>
    <w:rsid w:val="004F70C3"/>
    <w:rsid w:val="004F713E"/>
    <w:rsid w:val="004F760F"/>
    <w:rsid w:val="004F7682"/>
    <w:rsid w:val="004F7D1C"/>
    <w:rsid w:val="004F7DE4"/>
    <w:rsid w:val="004F7E24"/>
    <w:rsid w:val="005001A5"/>
    <w:rsid w:val="005001B9"/>
    <w:rsid w:val="00500359"/>
    <w:rsid w:val="00500364"/>
    <w:rsid w:val="005003AD"/>
    <w:rsid w:val="005003CD"/>
    <w:rsid w:val="00500458"/>
    <w:rsid w:val="00500504"/>
    <w:rsid w:val="005006B3"/>
    <w:rsid w:val="0050079B"/>
    <w:rsid w:val="00500DB0"/>
    <w:rsid w:val="00500DC2"/>
    <w:rsid w:val="0050121A"/>
    <w:rsid w:val="005012D0"/>
    <w:rsid w:val="00501439"/>
    <w:rsid w:val="005014C3"/>
    <w:rsid w:val="0050169F"/>
    <w:rsid w:val="00501A0D"/>
    <w:rsid w:val="00501B0C"/>
    <w:rsid w:val="00502430"/>
    <w:rsid w:val="00502441"/>
    <w:rsid w:val="005024D7"/>
    <w:rsid w:val="0050258C"/>
    <w:rsid w:val="005025AC"/>
    <w:rsid w:val="00502C85"/>
    <w:rsid w:val="0050308D"/>
    <w:rsid w:val="005030C0"/>
    <w:rsid w:val="00503364"/>
    <w:rsid w:val="0050342E"/>
    <w:rsid w:val="00503458"/>
    <w:rsid w:val="0050382A"/>
    <w:rsid w:val="00503839"/>
    <w:rsid w:val="005038A3"/>
    <w:rsid w:val="00503D1F"/>
    <w:rsid w:val="00504005"/>
    <w:rsid w:val="005042B6"/>
    <w:rsid w:val="005045C0"/>
    <w:rsid w:val="00504686"/>
    <w:rsid w:val="0050477C"/>
    <w:rsid w:val="00504A7F"/>
    <w:rsid w:val="00504AC2"/>
    <w:rsid w:val="00504C73"/>
    <w:rsid w:val="00505093"/>
    <w:rsid w:val="0050541B"/>
    <w:rsid w:val="00505447"/>
    <w:rsid w:val="00505EB9"/>
    <w:rsid w:val="005061C5"/>
    <w:rsid w:val="00506361"/>
    <w:rsid w:val="00506650"/>
    <w:rsid w:val="005066AB"/>
    <w:rsid w:val="00506725"/>
    <w:rsid w:val="00506745"/>
    <w:rsid w:val="00506856"/>
    <w:rsid w:val="00506AED"/>
    <w:rsid w:val="00506F38"/>
    <w:rsid w:val="005072A9"/>
    <w:rsid w:val="005077F3"/>
    <w:rsid w:val="00507837"/>
    <w:rsid w:val="00507A33"/>
    <w:rsid w:val="00507DDF"/>
    <w:rsid w:val="00507E6A"/>
    <w:rsid w:val="00507FD0"/>
    <w:rsid w:val="00510506"/>
    <w:rsid w:val="005106E0"/>
    <w:rsid w:val="00510723"/>
    <w:rsid w:val="00510964"/>
    <w:rsid w:val="00510A5B"/>
    <w:rsid w:val="00510A8C"/>
    <w:rsid w:val="00510B5A"/>
    <w:rsid w:val="00510BC3"/>
    <w:rsid w:val="00510C60"/>
    <w:rsid w:val="00510D2E"/>
    <w:rsid w:val="00511383"/>
    <w:rsid w:val="00511438"/>
    <w:rsid w:val="005115E9"/>
    <w:rsid w:val="005117AB"/>
    <w:rsid w:val="00511AE4"/>
    <w:rsid w:val="00511E68"/>
    <w:rsid w:val="00512581"/>
    <w:rsid w:val="005125C5"/>
    <w:rsid w:val="0051296F"/>
    <w:rsid w:val="005129A0"/>
    <w:rsid w:val="00512A02"/>
    <w:rsid w:val="00512CD9"/>
    <w:rsid w:val="00512D0C"/>
    <w:rsid w:val="0051304E"/>
    <w:rsid w:val="0051308D"/>
    <w:rsid w:val="00513235"/>
    <w:rsid w:val="00513435"/>
    <w:rsid w:val="005135AF"/>
    <w:rsid w:val="005135BB"/>
    <w:rsid w:val="0051361C"/>
    <w:rsid w:val="00513F45"/>
    <w:rsid w:val="00514150"/>
    <w:rsid w:val="00514393"/>
    <w:rsid w:val="005145DA"/>
    <w:rsid w:val="005148DA"/>
    <w:rsid w:val="0051494F"/>
    <w:rsid w:val="00514B79"/>
    <w:rsid w:val="00514D39"/>
    <w:rsid w:val="0051505A"/>
    <w:rsid w:val="00515146"/>
    <w:rsid w:val="0051526A"/>
    <w:rsid w:val="005153C9"/>
    <w:rsid w:val="005153DD"/>
    <w:rsid w:val="00515447"/>
    <w:rsid w:val="005156A6"/>
    <w:rsid w:val="00515CAC"/>
    <w:rsid w:val="00515F30"/>
    <w:rsid w:val="00516089"/>
    <w:rsid w:val="00516249"/>
    <w:rsid w:val="0051655B"/>
    <w:rsid w:val="00516987"/>
    <w:rsid w:val="00516BC2"/>
    <w:rsid w:val="00516BDE"/>
    <w:rsid w:val="00516F31"/>
    <w:rsid w:val="00516FDC"/>
    <w:rsid w:val="0051705E"/>
    <w:rsid w:val="005171F6"/>
    <w:rsid w:val="005172F7"/>
    <w:rsid w:val="00517568"/>
    <w:rsid w:val="005177E1"/>
    <w:rsid w:val="00517CB3"/>
    <w:rsid w:val="00517F21"/>
    <w:rsid w:val="0052011F"/>
    <w:rsid w:val="005202B2"/>
    <w:rsid w:val="005202CD"/>
    <w:rsid w:val="00520310"/>
    <w:rsid w:val="0052063D"/>
    <w:rsid w:val="00520652"/>
    <w:rsid w:val="00520667"/>
    <w:rsid w:val="00520672"/>
    <w:rsid w:val="00520A26"/>
    <w:rsid w:val="00520BEF"/>
    <w:rsid w:val="00520CCB"/>
    <w:rsid w:val="00520D8C"/>
    <w:rsid w:val="00520DB3"/>
    <w:rsid w:val="00521028"/>
    <w:rsid w:val="005213EA"/>
    <w:rsid w:val="005214C3"/>
    <w:rsid w:val="005216F9"/>
    <w:rsid w:val="0052179C"/>
    <w:rsid w:val="00521963"/>
    <w:rsid w:val="00521B22"/>
    <w:rsid w:val="00521B3F"/>
    <w:rsid w:val="00521C63"/>
    <w:rsid w:val="00521EBC"/>
    <w:rsid w:val="00521F0F"/>
    <w:rsid w:val="005221BD"/>
    <w:rsid w:val="0052236D"/>
    <w:rsid w:val="00522566"/>
    <w:rsid w:val="005225CF"/>
    <w:rsid w:val="0052297F"/>
    <w:rsid w:val="00522984"/>
    <w:rsid w:val="00522D82"/>
    <w:rsid w:val="005230F0"/>
    <w:rsid w:val="005230FD"/>
    <w:rsid w:val="0052351D"/>
    <w:rsid w:val="00523533"/>
    <w:rsid w:val="00523AC7"/>
    <w:rsid w:val="00523C25"/>
    <w:rsid w:val="00523C37"/>
    <w:rsid w:val="00523CE9"/>
    <w:rsid w:val="005243D3"/>
    <w:rsid w:val="00524597"/>
    <w:rsid w:val="00524743"/>
    <w:rsid w:val="00524CA5"/>
    <w:rsid w:val="0052512A"/>
    <w:rsid w:val="00525258"/>
    <w:rsid w:val="005254FD"/>
    <w:rsid w:val="00525560"/>
    <w:rsid w:val="005256A3"/>
    <w:rsid w:val="005257C3"/>
    <w:rsid w:val="00525BB4"/>
    <w:rsid w:val="00525C08"/>
    <w:rsid w:val="00525CEE"/>
    <w:rsid w:val="00525E11"/>
    <w:rsid w:val="0052600F"/>
    <w:rsid w:val="00526067"/>
    <w:rsid w:val="00526212"/>
    <w:rsid w:val="005262A4"/>
    <w:rsid w:val="0052647A"/>
    <w:rsid w:val="005265C9"/>
    <w:rsid w:val="0052678C"/>
    <w:rsid w:val="005267FC"/>
    <w:rsid w:val="00526A1F"/>
    <w:rsid w:val="00526EF9"/>
    <w:rsid w:val="00526F1A"/>
    <w:rsid w:val="00526FDB"/>
    <w:rsid w:val="005271C6"/>
    <w:rsid w:val="00527C9E"/>
    <w:rsid w:val="00527FB7"/>
    <w:rsid w:val="00527FD9"/>
    <w:rsid w:val="00530392"/>
    <w:rsid w:val="005303D1"/>
    <w:rsid w:val="0053045E"/>
    <w:rsid w:val="005304DE"/>
    <w:rsid w:val="00530610"/>
    <w:rsid w:val="0053089A"/>
    <w:rsid w:val="005309F3"/>
    <w:rsid w:val="00530A3D"/>
    <w:rsid w:val="00530B3F"/>
    <w:rsid w:val="00530C73"/>
    <w:rsid w:val="00531028"/>
    <w:rsid w:val="0053112A"/>
    <w:rsid w:val="0053116A"/>
    <w:rsid w:val="0053151C"/>
    <w:rsid w:val="00531549"/>
    <w:rsid w:val="0053195C"/>
    <w:rsid w:val="00531AF1"/>
    <w:rsid w:val="00531B37"/>
    <w:rsid w:val="00531BA0"/>
    <w:rsid w:val="00531F0F"/>
    <w:rsid w:val="00532075"/>
    <w:rsid w:val="0053223B"/>
    <w:rsid w:val="005322DB"/>
    <w:rsid w:val="005325D1"/>
    <w:rsid w:val="005328C3"/>
    <w:rsid w:val="00532A71"/>
    <w:rsid w:val="00532AEE"/>
    <w:rsid w:val="00532D50"/>
    <w:rsid w:val="00532E36"/>
    <w:rsid w:val="00532E9A"/>
    <w:rsid w:val="00533730"/>
    <w:rsid w:val="005338D6"/>
    <w:rsid w:val="00533C79"/>
    <w:rsid w:val="00533D8F"/>
    <w:rsid w:val="00533E51"/>
    <w:rsid w:val="0053450C"/>
    <w:rsid w:val="005346FB"/>
    <w:rsid w:val="005347B1"/>
    <w:rsid w:val="005348DB"/>
    <w:rsid w:val="00534CBF"/>
    <w:rsid w:val="00534F0C"/>
    <w:rsid w:val="00535208"/>
    <w:rsid w:val="00535628"/>
    <w:rsid w:val="005358A6"/>
    <w:rsid w:val="00535A44"/>
    <w:rsid w:val="00535C5D"/>
    <w:rsid w:val="00535D5A"/>
    <w:rsid w:val="00535F02"/>
    <w:rsid w:val="00536162"/>
    <w:rsid w:val="005363FC"/>
    <w:rsid w:val="00536D46"/>
    <w:rsid w:val="00536EE1"/>
    <w:rsid w:val="00536F9C"/>
    <w:rsid w:val="00536FDC"/>
    <w:rsid w:val="005370BB"/>
    <w:rsid w:val="00537133"/>
    <w:rsid w:val="005371DD"/>
    <w:rsid w:val="00537565"/>
    <w:rsid w:val="00537A20"/>
    <w:rsid w:val="00537BB8"/>
    <w:rsid w:val="00537CE8"/>
    <w:rsid w:val="00537FD3"/>
    <w:rsid w:val="00540375"/>
    <w:rsid w:val="005403D7"/>
    <w:rsid w:val="005406EC"/>
    <w:rsid w:val="0054091B"/>
    <w:rsid w:val="00540BD0"/>
    <w:rsid w:val="00540C13"/>
    <w:rsid w:val="00540C2C"/>
    <w:rsid w:val="00540F85"/>
    <w:rsid w:val="00541245"/>
    <w:rsid w:val="0054134E"/>
    <w:rsid w:val="0054175D"/>
    <w:rsid w:val="0054188F"/>
    <w:rsid w:val="00541D67"/>
    <w:rsid w:val="00542272"/>
    <w:rsid w:val="0054255B"/>
    <w:rsid w:val="005425CB"/>
    <w:rsid w:val="0054277A"/>
    <w:rsid w:val="005428EE"/>
    <w:rsid w:val="00542A64"/>
    <w:rsid w:val="00542A9A"/>
    <w:rsid w:val="00542C99"/>
    <w:rsid w:val="00542D76"/>
    <w:rsid w:val="0054334B"/>
    <w:rsid w:val="005436BB"/>
    <w:rsid w:val="0054395D"/>
    <w:rsid w:val="005439E5"/>
    <w:rsid w:val="00543A03"/>
    <w:rsid w:val="00543A0B"/>
    <w:rsid w:val="00543BE7"/>
    <w:rsid w:val="005440FC"/>
    <w:rsid w:val="005441AF"/>
    <w:rsid w:val="005441F4"/>
    <w:rsid w:val="0054466F"/>
    <w:rsid w:val="00544A36"/>
    <w:rsid w:val="00544B44"/>
    <w:rsid w:val="00544EDC"/>
    <w:rsid w:val="005450DA"/>
    <w:rsid w:val="00545263"/>
    <w:rsid w:val="005452C5"/>
    <w:rsid w:val="005453F1"/>
    <w:rsid w:val="00545A16"/>
    <w:rsid w:val="00545C88"/>
    <w:rsid w:val="00545D84"/>
    <w:rsid w:val="00545F19"/>
    <w:rsid w:val="0054606A"/>
    <w:rsid w:val="0054616B"/>
    <w:rsid w:val="005465E0"/>
    <w:rsid w:val="005469B8"/>
    <w:rsid w:val="005469C0"/>
    <w:rsid w:val="005469C7"/>
    <w:rsid w:val="00546A62"/>
    <w:rsid w:val="00546BC3"/>
    <w:rsid w:val="0054706B"/>
    <w:rsid w:val="00547338"/>
    <w:rsid w:val="00547487"/>
    <w:rsid w:val="00547615"/>
    <w:rsid w:val="0054782A"/>
    <w:rsid w:val="0054798E"/>
    <w:rsid w:val="005479F8"/>
    <w:rsid w:val="00547A8D"/>
    <w:rsid w:val="00547D0B"/>
    <w:rsid w:val="00550031"/>
    <w:rsid w:val="00550485"/>
    <w:rsid w:val="00550530"/>
    <w:rsid w:val="00550B11"/>
    <w:rsid w:val="00550B50"/>
    <w:rsid w:val="00550E47"/>
    <w:rsid w:val="00550F34"/>
    <w:rsid w:val="005510C9"/>
    <w:rsid w:val="00551263"/>
    <w:rsid w:val="00551397"/>
    <w:rsid w:val="0055140C"/>
    <w:rsid w:val="00551BE7"/>
    <w:rsid w:val="00551CB0"/>
    <w:rsid w:val="005521AB"/>
    <w:rsid w:val="005522FA"/>
    <w:rsid w:val="00552306"/>
    <w:rsid w:val="005524D4"/>
    <w:rsid w:val="00552726"/>
    <w:rsid w:val="005528C8"/>
    <w:rsid w:val="005529A4"/>
    <w:rsid w:val="00552AEC"/>
    <w:rsid w:val="00552E6A"/>
    <w:rsid w:val="00552E82"/>
    <w:rsid w:val="0055302E"/>
    <w:rsid w:val="005531F9"/>
    <w:rsid w:val="0055328D"/>
    <w:rsid w:val="005532FC"/>
    <w:rsid w:val="005537E4"/>
    <w:rsid w:val="005538F3"/>
    <w:rsid w:val="0055395A"/>
    <w:rsid w:val="00553D68"/>
    <w:rsid w:val="00553D75"/>
    <w:rsid w:val="00553D83"/>
    <w:rsid w:val="00553F2C"/>
    <w:rsid w:val="0055459A"/>
    <w:rsid w:val="005549AF"/>
    <w:rsid w:val="00554C15"/>
    <w:rsid w:val="00554C3C"/>
    <w:rsid w:val="00554EB2"/>
    <w:rsid w:val="005556F9"/>
    <w:rsid w:val="005557C1"/>
    <w:rsid w:val="00555AF8"/>
    <w:rsid w:val="00555E40"/>
    <w:rsid w:val="0055619A"/>
    <w:rsid w:val="00556506"/>
    <w:rsid w:val="005565A1"/>
    <w:rsid w:val="00556655"/>
    <w:rsid w:val="00556687"/>
    <w:rsid w:val="0055693F"/>
    <w:rsid w:val="00556ACA"/>
    <w:rsid w:val="00556CFE"/>
    <w:rsid w:val="00556FC6"/>
    <w:rsid w:val="005573D6"/>
    <w:rsid w:val="0055747D"/>
    <w:rsid w:val="005578B2"/>
    <w:rsid w:val="00557BE1"/>
    <w:rsid w:val="00557F11"/>
    <w:rsid w:val="005601A5"/>
    <w:rsid w:val="0056065B"/>
    <w:rsid w:val="00560697"/>
    <w:rsid w:val="005609D7"/>
    <w:rsid w:val="00560C7A"/>
    <w:rsid w:val="00560E07"/>
    <w:rsid w:val="00560F55"/>
    <w:rsid w:val="005610BC"/>
    <w:rsid w:val="005611EB"/>
    <w:rsid w:val="00561203"/>
    <w:rsid w:val="00561657"/>
    <w:rsid w:val="0056183C"/>
    <w:rsid w:val="005618A0"/>
    <w:rsid w:val="005618B5"/>
    <w:rsid w:val="00561990"/>
    <w:rsid w:val="00561BFC"/>
    <w:rsid w:val="00561C61"/>
    <w:rsid w:val="005621C4"/>
    <w:rsid w:val="00562248"/>
    <w:rsid w:val="00562618"/>
    <w:rsid w:val="0056264A"/>
    <w:rsid w:val="00562668"/>
    <w:rsid w:val="005627C9"/>
    <w:rsid w:val="0056295E"/>
    <w:rsid w:val="00562ADB"/>
    <w:rsid w:val="00562C5A"/>
    <w:rsid w:val="00562E15"/>
    <w:rsid w:val="005631CE"/>
    <w:rsid w:val="0056334B"/>
    <w:rsid w:val="0056358C"/>
    <w:rsid w:val="005637BA"/>
    <w:rsid w:val="005639A7"/>
    <w:rsid w:val="00563E31"/>
    <w:rsid w:val="00564027"/>
    <w:rsid w:val="0056406E"/>
    <w:rsid w:val="0056415C"/>
    <w:rsid w:val="00564434"/>
    <w:rsid w:val="005644F5"/>
    <w:rsid w:val="00564769"/>
    <w:rsid w:val="0056494A"/>
    <w:rsid w:val="00564A6C"/>
    <w:rsid w:val="00564C74"/>
    <w:rsid w:val="00564DA5"/>
    <w:rsid w:val="00564E62"/>
    <w:rsid w:val="00564E90"/>
    <w:rsid w:val="00565152"/>
    <w:rsid w:val="005653AE"/>
    <w:rsid w:val="00565505"/>
    <w:rsid w:val="0056570A"/>
    <w:rsid w:val="00565AAA"/>
    <w:rsid w:val="00565CCC"/>
    <w:rsid w:val="00565D3E"/>
    <w:rsid w:val="00565E52"/>
    <w:rsid w:val="0056625D"/>
    <w:rsid w:val="00566298"/>
    <w:rsid w:val="00566A32"/>
    <w:rsid w:val="00566A84"/>
    <w:rsid w:val="00566D4C"/>
    <w:rsid w:val="0056721A"/>
    <w:rsid w:val="00567298"/>
    <w:rsid w:val="00567729"/>
    <w:rsid w:val="0056774D"/>
    <w:rsid w:val="00567C4A"/>
    <w:rsid w:val="00567D20"/>
    <w:rsid w:val="00567FA6"/>
    <w:rsid w:val="0057057A"/>
    <w:rsid w:val="0057085F"/>
    <w:rsid w:val="005708BC"/>
    <w:rsid w:val="00570C22"/>
    <w:rsid w:val="00570CA0"/>
    <w:rsid w:val="00570D0C"/>
    <w:rsid w:val="00570EA5"/>
    <w:rsid w:val="00571421"/>
    <w:rsid w:val="005716AF"/>
    <w:rsid w:val="00571909"/>
    <w:rsid w:val="0057197D"/>
    <w:rsid w:val="00571A68"/>
    <w:rsid w:val="00571AAA"/>
    <w:rsid w:val="00571D00"/>
    <w:rsid w:val="00571E87"/>
    <w:rsid w:val="00571FFD"/>
    <w:rsid w:val="005720D2"/>
    <w:rsid w:val="005721AC"/>
    <w:rsid w:val="005722FF"/>
    <w:rsid w:val="00572312"/>
    <w:rsid w:val="00572363"/>
    <w:rsid w:val="00572550"/>
    <w:rsid w:val="005725B6"/>
    <w:rsid w:val="0057267B"/>
    <w:rsid w:val="0057271F"/>
    <w:rsid w:val="00572A06"/>
    <w:rsid w:val="00572B40"/>
    <w:rsid w:val="00572CBF"/>
    <w:rsid w:val="00572E85"/>
    <w:rsid w:val="00572F45"/>
    <w:rsid w:val="0057323A"/>
    <w:rsid w:val="00573265"/>
    <w:rsid w:val="00573450"/>
    <w:rsid w:val="005734B7"/>
    <w:rsid w:val="0057350D"/>
    <w:rsid w:val="00573537"/>
    <w:rsid w:val="00573B3D"/>
    <w:rsid w:val="00573C8F"/>
    <w:rsid w:val="00573D1E"/>
    <w:rsid w:val="0057403B"/>
    <w:rsid w:val="005742E0"/>
    <w:rsid w:val="005743E6"/>
    <w:rsid w:val="00574563"/>
    <w:rsid w:val="005745DC"/>
    <w:rsid w:val="0057475E"/>
    <w:rsid w:val="005749C7"/>
    <w:rsid w:val="00574D4D"/>
    <w:rsid w:val="0057507A"/>
    <w:rsid w:val="005750A2"/>
    <w:rsid w:val="005751B4"/>
    <w:rsid w:val="00575286"/>
    <w:rsid w:val="00575493"/>
    <w:rsid w:val="005754AB"/>
    <w:rsid w:val="005755E2"/>
    <w:rsid w:val="00575897"/>
    <w:rsid w:val="0057599B"/>
    <w:rsid w:val="00575B6B"/>
    <w:rsid w:val="00575BF0"/>
    <w:rsid w:val="00575DEF"/>
    <w:rsid w:val="00575F32"/>
    <w:rsid w:val="005762B9"/>
    <w:rsid w:val="00576364"/>
    <w:rsid w:val="005763E2"/>
    <w:rsid w:val="005764AC"/>
    <w:rsid w:val="00576629"/>
    <w:rsid w:val="00576646"/>
    <w:rsid w:val="005766E1"/>
    <w:rsid w:val="005767D2"/>
    <w:rsid w:val="00576938"/>
    <w:rsid w:val="00576BB8"/>
    <w:rsid w:val="00576FAE"/>
    <w:rsid w:val="0057701A"/>
    <w:rsid w:val="00577046"/>
    <w:rsid w:val="00577527"/>
    <w:rsid w:val="00577706"/>
    <w:rsid w:val="00577C69"/>
    <w:rsid w:val="00577E64"/>
    <w:rsid w:val="00577EF1"/>
    <w:rsid w:val="005801DB"/>
    <w:rsid w:val="00580299"/>
    <w:rsid w:val="00580301"/>
    <w:rsid w:val="005803FD"/>
    <w:rsid w:val="00580499"/>
    <w:rsid w:val="005806F3"/>
    <w:rsid w:val="0058078F"/>
    <w:rsid w:val="00580823"/>
    <w:rsid w:val="005809D8"/>
    <w:rsid w:val="00581220"/>
    <w:rsid w:val="005812C6"/>
    <w:rsid w:val="005813E8"/>
    <w:rsid w:val="00581416"/>
    <w:rsid w:val="00581855"/>
    <w:rsid w:val="00581C51"/>
    <w:rsid w:val="00581DD3"/>
    <w:rsid w:val="00581E16"/>
    <w:rsid w:val="0058234A"/>
    <w:rsid w:val="005824B7"/>
    <w:rsid w:val="00582523"/>
    <w:rsid w:val="005825FB"/>
    <w:rsid w:val="005828B2"/>
    <w:rsid w:val="00582BDE"/>
    <w:rsid w:val="00582C24"/>
    <w:rsid w:val="00582DB2"/>
    <w:rsid w:val="0058350C"/>
    <w:rsid w:val="0058366C"/>
    <w:rsid w:val="005836D0"/>
    <w:rsid w:val="005836E5"/>
    <w:rsid w:val="0058371E"/>
    <w:rsid w:val="00583929"/>
    <w:rsid w:val="00583997"/>
    <w:rsid w:val="00583B2E"/>
    <w:rsid w:val="00583D75"/>
    <w:rsid w:val="00584070"/>
    <w:rsid w:val="005843E4"/>
    <w:rsid w:val="00584761"/>
    <w:rsid w:val="0058479F"/>
    <w:rsid w:val="00584B74"/>
    <w:rsid w:val="00584CC2"/>
    <w:rsid w:val="00585002"/>
    <w:rsid w:val="00585135"/>
    <w:rsid w:val="00585437"/>
    <w:rsid w:val="00585448"/>
    <w:rsid w:val="005854D6"/>
    <w:rsid w:val="00585807"/>
    <w:rsid w:val="0058661A"/>
    <w:rsid w:val="005866E0"/>
    <w:rsid w:val="00586766"/>
    <w:rsid w:val="005869AC"/>
    <w:rsid w:val="00586FDD"/>
    <w:rsid w:val="005871E9"/>
    <w:rsid w:val="00587372"/>
    <w:rsid w:val="005875B8"/>
    <w:rsid w:val="00587655"/>
    <w:rsid w:val="00587925"/>
    <w:rsid w:val="00587A17"/>
    <w:rsid w:val="00587A63"/>
    <w:rsid w:val="00587BE2"/>
    <w:rsid w:val="00587E23"/>
    <w:rsid w:val="00587E82"/>
    <w:rsid w:val="00590471"/>
    <w:rsid w:val="0059048A"/>
    <w:rsid w:val="005908E6"/>
    <w:rsid w:val="00590BE4"/>
    <w:rsid w:val="00590DA4"/>
    <w:rsid w:val="00590DA9"/>
    <w:rsid w:val="00590DAF"/>
    <w:rsid w:val="00590EB3"/>
    <w:rsid w:val="00591325"/>
    <w:rsid w:val="0059152F"/>
    <w:rsid w:val="00591557"/>
    <w:rsid w:val="00591C8C"/>
    <w:rsid w:val="00591D47"/>
    <w:rsid w:val="00592272"/>
    <w:rsid w:val="005922C8"/>
    <w:rsid w:val="00592460"/>
    <w:rsid w:val="00592589"/>
    <w:rsid w:val="0059271E"/>
    <w:rsid w:val="0059294E"/>
    <w:rsid w:val="00592D3E"/>
    <w:rsid w:val="00593AEB"/>
    <w:rsid w:val="00593F18"/>
    <w:rsid w:val="00594070"/>
    <w:rsid w:val="005943CD"/>
    <w:rsid w:val="005943EF"/>
    <w:rsid w:val="0059459B"/>
    <w:rsid w:val="005945E8"/>
    <w:rsid w:val="005948EF"/>
    <w:rsid w:val="005949E9"/>
    <w:rsid w:val="00594BE3"/>
    <w:rsid w:val="00594BF3"/>
    <w:rsid w:val="00594F16"/>
    <w:rsid w:val="005952C9"/>
    <w:rsid w:val="0059559A"/>
    <w:rsid w:val="0059562B"/>
    <w:rsid w:val="0059579C"/>
    <w:rsid w:val="00595B1D"/>
    <w:rsid w:val="00595B5D"/>
    <w:rsid w:val="005964C7"/>
    <w:rsid w:val="00596C8A"/>
    <w:rsid w:val="00597206"/>
    <w:rsid w:val="0059733D"/>
    <w:rsid w:val="00597381"/>
    <w:rsid w:val="005974A0"/>
    <w:rsid w:val="005975A3"/>
    <w:rsid w:val="005977A5"/>
    <w:rsid w:val="005979C9"/>
    <w:rsid w:val="00597AAE"/>
    <w:rsid w:val="00597B43"/>
    <w:rsid w:val="00597F9A"/>
    <w:rsid w:val="00597FA2"/>
    <w:rsid w:val="005A02F4"/>
    <w:rsid w:val="005A0303"/>
    <w:rsid w:val="005A0374"/>
    <w:rsid w:val="005A05D3"/>
    <w:rsid w:val="005A0748"/>
    <w:rsid w:val="005A0C27"/>
    <w:rsid w:val="005A0F79"/>
    <w:rsid w:val="005A114C"/>
    <w:rsid w:val="005A11A4"/>
    <w:rsid w:val="005A1250"/>
    <w:rsid w:val="005A14A6"/>
    <w:rsid w:val="005A161C"/>
    <w:rsid w:val="005A1A16"/>
    <w:rsid w:val="005A1AC5"/>
    <w:rsid w:val="005A1C54"/>
    <w:rsid w:val="005A2209"/>
    <w:rsid w:val="005A22EC"/>
    <w:rsid w:val="005A24CF"/>
    <w:rsid w:val="005A24FD"/>
    <w:rsid w:val="005A29E4"/>
    <w:rsid w:val="005A2A48"/>
    <w:rsid w:val="005A2CE3"/>
    <w:rsid w:val="005A2E84"/>
    <w:rsid w:val="005A303D"/>
    <w:rsid w:val="005A3112"/>
    <w:rsid w:val="005A33EB"/>
    <w:rsid w:val="005A378A"/>
    <w:rsid w:val="005A37E3"/>
    <w:rsid w:val="005A3936"/>
    <w:rsid w:val="005A395E"/>
    <w:rsid w:val="005A3DC9"/>
    <w:rsid w:val="005A3E55"/>
    <w:rsid w:val="005A3EB4"/>
    <w:rsid w:val="005A3FDB"/>
    <w:rsid w:val="005A41EE"/>
    <w:rsid w:val="005A46EF"/>
    <w:rsid w:val="005A48CC"/>
    <w:rsid w:val="005A48FE"/>
    <w:rsid w:val="005A4D46"/>
    <w:rsid w:val="005A4DFA"/>
    <w:rsid w:val="005A5107"/>
    <w:rsid w:val="005A5419"/>
    <w:rsid w:val="005A5460"/>
    <w:rsid w:val="005A5657"/>
    <w:rsid w:val="005A57C0"/>
    <w:rsid w:val="005A57FA"/>
    <w:rsid w:val="005A5A0F"/>
    <w:rsid w:val="005A5B8A"/>
    <w:rsid w:val="005A5CD4"/>
    <w:rsid w:val="005A5F01"/>
    <w:rsid w:val="005A60B9"/>
    <w:rsid w:val="005A65FC"/>
    <w:rsid w:val="005A67FC"/>
    <w:rsid w:val="005A6E56"/>
    <w:rsid w:val="005A6F44"/>
    <w:rsid w:val="005A7138"/>
    <w:rsid w:val="005A7836"/>
    <w:rsid w:val="005A79A9"/>
    <w:rsid w:val="005A7E7F"/>
    <w:rsid w:val="005A7FD3"/>
    <w:rsid w:val="005B01B1"/>
    <w:rsid w:val="005B028E"/>
    <w:rsid w:val="005B02A8"/>
    <w:rsid w:val="005B02B7"/>
    <w:rsid w:val="005B068B"/>
    <w:rsid w:val="005B06C8"/>
    <w:rsid w:val="005B0753"/>
    <w:rsid w:val="005B0B45"/>
    <w:rsid w:val="005B0B68"/>
    <w:rsid w:val="005B0DC5"/>
    <w:rsid w:val="005B12CC"/>
    <w:rsid w:val="005B149D"/>
    <w:rsid w:val="005B1551"/>
    <w:rsid w:val="005B15C9"/>
    <w:rsid w:val="005B17E5"/>
    <w:rsid w:val="005B1928"/>
    <w:rsid w:val="005B1B67"/>
    <w:rsid w:val="005B224C"/>
    <w:rsid w:val="005B2520"/>
    <w:rsid w:val="005B27DD"/>
    <w:rsid w:val="005B2CB7"/>
    <w:rsid w:val="005B2DDB"/>
    <w:rsid w:val="005B31AF"/>
    <w:rsid w:val="005B3254"/>
    <w:rsid w:val="005B34F2"/>
    <w:rsid w:val="005B379C"/>
    <w:rsid w:val="005B398E"/>
    <w:rsid w:val="005B39B7"/>
    <w:rsid w:val="005B3B5F"/>
    <w:rsid w:val="005B3BD4"/>
    <w:rsid w:val="005B412C"/>
    <w:rsid w:val="005B4269"/>
    <w:rsid w:val="005B42C9"/>
    <w:rsid w:val="005B43C6"/>
    <w:rsid w:val="005B442C"/>
    <w:rsid w:val="005B444E"/>
    <w:rsid w:val="005B4473"/>
    <w:rsid w:val="005B46B4"/>
    <w:rsid w:val="005B4A6F"/>
    <w:rsid w:val="005B4B40"/>
    <w:rsid w:val="005B4BAC"/>
    <w:rsid w:val="005B4C81"/>
    <w:rsid w:val="005B50CB"/>
    <w:rsid w:val="005B5289"/>
    <w:rsid w:val="005B5439"/>
    <w:rsid w:val="005B55A4"/>
    <w:rsid w:val="005B5651"/>
    <w:rsid w:val="005B56CE"/>
    <w:rsid w:val="005B5DBF"/>
    <w:rsid w:val="005B5E8E"/>
    <w:rsid w:val="005B5F6A"/>
    <w:rsid w:val="005B6059"/>
    <w:rsid w:val="005B6121"/>
    <w:rsid w:val="005B6206"/>
    <w:rsid w:val="005B638F"/>
    <w:rsid w:val="005B6518"/>
    <w:rsid w:val="005B65EE"/>
    <w:rsid w:val="005B668B"/>
    <w:rsid w:val="005B6B46"/>
    <w:rsid w:val="005B6D79"/>
    <w:rsid w:val="005B7346"/>
    <w:rsid w:val="005B7470"/>
    <w:rsid w:val="005B761A"/>
    <w:rsid w:val="005B7818"/>
    <w:rsid w:val="005B7A84"/>
    <w:rsid w:val="005B7B9F"/>
    <w:rsid w:val="005B7EA6"/>
    <w:rsid w:val="005C0020"/>
    <w:rsid w:val="005C0040"/>
    <w:rsid w:val="005C0059"/>
    <w:rsid w:val="005C0202"/>
    <w:rsid w:val="005C0293"/>
    <w:rsid w:val="005C04A9"/>
    <w:rsid w:val="005C057F"/>
    <w:rsid w:val="005C0594"/>
    <w:rsid w:val="005C062D"/>
    <w:rsid w:val="005C0874"/>
    <w:rsid w:val="005C143E"/>
    <w:rsid w:val="005C1510"/>
    <w:rsid w:val="005C168A"/>
    <w:rsid w:val="005C16B0"/>
    <w:rsid w:val="005C17BC"/>
    <w:rsid w:val="005C1898"/>
    <w:rsid w:val="005C197E"/>
    <w:rsid w:val="005C1A14"/>
    <w:rsid w:val="005C1C82"/>
    <w:rsid w:val="005C1CDD"/>
    <w:rsid w:val="005C1D3E"/>
    <w:rsid w:val="005C238A"/>
    <w:rsid w:val="005C25E0"/>
    <w:rsid w:val="005C2632"/>
    <w:rsid w:val="005C278D"/>
    <w:rsid w:val="005C2AF7"/>
    <w:rsid w:val="005C2CC6"/>
    <w:rsid w:val="005C2DE5"/>
    <w:rsid w:val="005C2FDB"/>
    <w:rsid w:val="005C32F8"/>
    <w:rsid w:val="005C385D"/>
    <w:rsid w:val="005C3CE7"/>
    <w:rsid w:val="005C428C"/>
    <w:rsid w:val="005C447E"/>
    <w:rsid w:val="005C46E1"/>
    <w:rsid w:val="005C4797"/>
    <w:rsid w:val="005C48CF"/>
    <w:rsid w:val="005C49CA"/>
    <w:rsid w:val="005C4C4C"/>
    <w:rsid w:val="005C4D1C"/>
    <w:rsid w:val="005C4F6B"/>
    <w:rsid w:val="005C4F7C"/>
    <w:rsid w:val="005C51C0"/>
    <w:rsid w:val="005C580F"/>
    <w:rsid w:val="005C5A1B"/>
    <w:rsid w:val="005C5D32"/>
    <w:rsid w:val="005C600B"/>
    <w:rsid w:val="005C60C3"/>
    <w:rsid w:val="005C6155"/>
    <w:rsid w:val="005C6211"/>
    <w:rsid w:val="005C6234"/>
    <w:rsid w:val="005C64E1"/>
    <w:rsid w:val="005C6AD2"/>
    <w:rsid w:val="005C6E72"/>
    <w:rsid w:val="005C6E7B"/>
    <w:rsid w:val="005C6E8F"/>
    <w:rsid w:val="005C6F7D"/>
    <w:rsid w:val="005C7061"/>
    <w:rsid w:val="005C709C"/>
    <w:rsid w:val="005C7118"/>
    <w:rsid w:val="005C72DC"/>
    <w:rsid w:val="005C7561"/>
    <w:rsid w:val="005C776D"/>
    <w:rsid w:val="005C7AEC"/>
    <w:rsid w:val="005C7BC5"/>
    <w:rsid w:val="005C7FC9"/>
    <w:rsid w:val="005D00F2"/>
    <w:rsid w:val="005D029D"/>
    <w:rsid w:val="005D02B4"/>
    <w:rsid w:val="005D02CE"/>
    <w:rsid w:val="005D0345"/>
    <w:rsid w:val="005D047D"/>
    <w:rsid w:val="005D068D"/>
    <w:rsid w:val="005D06B6"/>
    <w:rsid w:val="005D0870"/>
    <w:rsid w:val="005D08EC"/>
    <w:rsid w:val="005D0D43"/>
    <w:rsid w:val="005D0DB6"/>
    <w:rsid w:val="005D1028"/>
    <w:rsid w:val="005D12DE"/>
    <w:rsid w:val="005D1422"/>
    <w:rsid w:val="005D16BA"/>
    <w:rsid w:val="005D182E"/>
    <w:rsid w:val="005D198E"/>
    <w:rsid w:val="005D19BA"/>
    <w:rsid w:val="005D19FA"/>
    <w:rsid w:val="005D1BFA"/>
    <w:rsid w:val="005D1ED7"/>
    <w:rsid w:val="005D21A4"/>
    <w:rsid w:val="005D2380"/>
    <w:rsid w:val="005D23A5"/>
    <w:rsid w:val="005D26A8"/>
    <w:rsid w:val="005D2A6D"/>
    <w:rsid w:val="005D2D00"/>
    <w:rsid w:val="005D2DE4"/>
    <w:rsid w:val="005D31C5"/>
    <w:rsid w:val="005D345D"/>
    <w:rsid w:val="005D351B"/>
    <w:rsid w:val="005D3529"/>
    <w:rsid w:val="005D38B2"/>
    <w:rsid w:val="005D3CC9"/>
    <w:rsid w:val="005D3CE1"/>
    <w:rsid w:val="005D3D1A"/>
    <w:rsid w:val="005D3D87"/>
    <w:rsid w:val="005D4653"/>
    <w:rsid w:val="005D475D"/>
    <w:rsid w:val="005D49E5"/>
    <w:rsid w:val="005D4C76"/>
    <w:rsid w:val="005D4D2B"/>
    <w:rsid w:val="005D4EBE"/>
    <w:rsid w:val="005D52D7"/>
    <w:rsid w:val="005D599D"/>
    <w:rsid w:val="005D5C6C"/>
    <w:rsid w:val="005D5C7A"/>
    <w:rsid w:val="005D5D1D"/>
    <w:rsid w:val="005D5D43"/>
    <w:rsid w:val="005D5DF9"/>
    <w:rsid w:val="005D5E28"/>
    <w:rsid w:val="005D5E47"/>
    <w:rsid w:val="005D63FD"/>
    <w:rsid w:val="005D66C4"/>
    <w:rsid w:val="005D696A"/>
    <w:rsid w:val="005D6A29"/>
    <w:rsid w:val="005D6B85"/>
    <w:rsid w:val="005D6D95"/>
    <w:rsid w:val="005D6E39"/>
    <w:rsid w:val="005D72FB"/>
    <w:rsid w:val="005D733C"/>
    <w:rsid w:val="005D74C4"/>
    <w:rsid w:val="005D76D2"/>
    <w:rsid w:val="005D7A85"/>
    <w:rsid w:val="005D7AF0"/>
    <w:rsid w:val="005D7CBB"/>
    <w:rsid w:val="005D7CF0"/>
    <w:rsid w:val="005D7E33"/>
    <w:rsid w:val="005D7E76"/>
    <w:rsid w:val="005E0168"/>
    <w:rsid w:val="005E06D6"/>
    <w:rsid w:val="005E0731"/>
    <w:rsid w:val="005E08DF"/>
    <w:rsid w:val="005E0955"/>
    <w:rsid w:val="005E0982"/>
    <w:rsid w:val="005E09B3"/>
    <w:rsid w:val="005E0EF8"/>
    <w:rsid w:val="005E1070"/>
    <w:rsid w:val="005E12CE"/>
    <w:rsid w:val="005E1695"/>
    <w:rsid w:val="005E16D2"/>
    <w:rsid w:val="005E18A8"/>
    <w:rsid w:val="005E1B34"/>
    <w:rsid w:val="005E1D1B"/>
    <w:rsid w:val="005E2156"/>
    <w:rsid w:val="005E22DA"/>
    <w:rsid w:val="005E2310"/>
    <w:rsid w:val="005E23F7"/>
    <w:rsid w:val="005E2597"/>
    <w:rsid w:val="005E26D2"/>
    <w:rsid w:val="005E2A70"/>
    <w:rsid w:val="005E2BE3"/>
    <w:rsid w:val="005E2D43"/>
    <w:rsid w:val="005E2E5B"/>
    <w:rsid w:val="005E2EC7"/>
    <w:rsid w:val="005E339B"/>
    <w:rsid w:val="005E3422"/>
    <w:rsid w:val="005E3F59"/>
    <w:rsid w:val="005E41BD"/>
    <w:rsid w:val="005E41C1"/>
    <w:rsid w:val="005E4435"/>
    <w:rsid w:val="005E4610"/>
    <w:rsid w:val="005E494D"/>
    <w:rsid w:val="005E4A4A"/>
    <w:rsid w:val="005E4BD2"/>
    <w:rsid w:val="005E4EC5"/>
    <w:rsid w:val="005E4F72"/>
    <w:rsid w:val="005E4FBD"/>
    <w:rsid w:val="005E53B3"/>
    <w:rsid w:val="005E59A1"/>
    <w:rsid w:val="005E5C53"/>
    <w:rsid w:val="005E5CB4"/>
    <w:rsid w:val="005E5D58"/>
    <w:rsid w:val="005E5D68"/>
    <w:rsid w:val="005E5E09"/>
    <w:rsid w:val="005E6297"/>
    <w:rsid w:val="005E62CE"/>
    <w:rsid w:val="005E63CF"/>
    <w:rsid w:val="005E6908"/>
    <w:rsid w:val="005E6CC2"/>
    <w:rsid w:val="005E7018"/>
    <w:rsid w:val="005E70A0"/>
    <w:rsid w:val="005E73D5"/>
    <w:rsid w:val="005E750B"/>
    <w:rsid w:val="005E75AB"/>
    <w:rsid w:val="005E7695"/>
    <w:rsid w:val="005E788A"/>
    <w:rsid w:val="005E7AEC"/>
    <w:rsid w:val="005E7B8F"/>
    <w:rsid w:val="005E7C46"/>
    <w:rsid w:val="005F0107"/>
    <w:rsid w:val="005F02F2"/>
    <w:rsid w:val="005F0474"/>
    <w:rsid w:val="005F0B0C"/>
    <w:rsid w:val="005F0F73"/>
    <w:rsid w:val="005F1270"/>
    <w:rsid w:val="005F1285"/>
    <w:rsid w:val="005F12FB"/>
    <w:rsid w:val="005F1381"/>
    <w:rsid w:val="005F1F81"/>
    <w:rsid w:val="005F1FBA"/>
    <w:rsid w:val="005F1FD4"/>
    <w:rsid w:val="005F2015"/>
    <w:rsid w:val="005F21BC"/>
    <w:rsid w:val="005F2252"/>
    <w:rsid w:val="005F2268"/>
    <w:rsid w:val="005F294E"/>
    <w:rsid w:val="005F29D0"/>
    <w:rsid w:val="005F2A45"/>
    <w:rsid w:val="005F2BAB"/>
    <w:rsid w:val="005F2C2A"/>
    <w:rsid w:val="005F2C81"/>
    <w:rsid w:val="005F2D01"/>
    <w:rsid w:val="005F2D8C"/>
    <w:rsid w:val="005F2F57"/>
    <w:rsid w:val="005F3008"/>
    <w:rsid w:val="005F3300"/>
    <w:rsid w:val="005F33A5"/>
    <w:rsid w:val="005F3401"/>
    <w:rsid w:val="005F3504"/>
    <w:rsid w:val="005F356A"/>
    <w:rsid w:val="005F35CC"/>
    <w:rsid w:val="005F3692"/>
    <w:rsid w:val="005F395E"/>
    <w:rsid w:val="005F3AEF"/>
    <w:rsid w:val="005F3FE8"/>
    <w:rsid w:val="005F4074"/>
    <w:rsid w:val="005F42D1"/>
    <w:rsid w:val="005F44B8"/>
    <w:rsid w:val="005F4563"/>
    <w:rsid w:val="005F483A"/>
    <w:rsid w:val="005F49F7"/>
    <w:rsid w:val="005F4A53"/>
    <w:rsid w:val="005F4D43"/>
    <w:rsid w:val="005F4DD0"/>
    <w:rsid w:val="005F50B1"/>
    <w:rsid w:val="005F50B7"/>
    <w:rsid w:val="005F5477"/>
    <w:rsid w:val="005F58C3"/>
    <w:rsid w:val="005F5A06"/>
    <w:rsid w:val="005F5AFC"/>
    <w:rsid w:val="005F5C39"/>
    <w:rsid w:val="005F5F3F"/>
    <w:rsid w:val="005F6038"/>
    <w:rsid w:val="005F62FC"/>
    <w:rsid w:val="005F647E"/>
    <w:rsid w:val="005F661D"/>
    <w:rsid w:val="005F6AF0"/>
    <w:rsid w:val="005F6B21"/>
    <w:rsid w:val="005F6B99"/>
    <w:rsid w:val="005F6E0F"/>
    <w:rsid w:val="005F70C8"/>
    <w:rsid w:val="005F7203"/>
    <w:rsid w:val="005F72F6"/>
    <w:rsid w:val="005F73B2"/>
    <w:rsid w:val="005F75A1"/>
    <w:rsid w:val="005F7770"/>
    <w:rsid w:val="005F78B5"/>
    <w:rsid w:val="005F79CA"/>
    <w:rsid w:val="005F7A8A"/>
    <w:rsid w:val="00600942"/>
    <w:rsid w:val="00600ADD"/>
    <w:rsid w:val="00600B3B"/>
    <w:rsid w:val="00600C83"/>
    <w:rsid w:val="00600D3D"/>
    <w:rsid w:val="00600DBF"/>
    <w:rsid w:val="00600EE8"/>
    <w:rsid w:val="0060107B"/>
    <w:rsid w:val="006010D8"/>
    <w:rsid w:val="00601185"/>
    <w:rsid w:val="006012A4"/>
    <w:rsid w:val="0060133F"/>
    <w:rsid w:val="00601369"/>
    <w:rsid w:val="0060140F"/>
    <w:rsid w:val="0060173E"/>
    <w:rsid w:val="0060179E"/>
    <w:rsid w:val="00601AAD"/>
    <w:rsid w:val="00601D52"/>
    <w:rsid w:val="00601F08"/>
    <w:rsid w:val="00601FB7"/>
    <w:rsid w:val="006024BC"/>
    <w:rsid w:val="00602731"/>
    <w:rsid w:val="0060290A"/>
    <w:rsid w:val="006029E4"/>
    <w:rsid w:val="00603139"/>
    <w:rsid w:val="0060317A"/>
    <w:rsid w:val="00603231"/>
    <w:rsid w:val="006032DE"/>
    <w:rsid w:val="00603367"/>
    <w:rsid w:val="00603481"/>
    <w:rsid w:val="00603712"/>
    <w:rsid w:val="00603BAD"/>
    <w:rsid w:val="00603C3F"/>
    <w:rsid w:val="00603F13"/>
    <w:rsid w:val="006042EA"/>
    <w:rsid w:val="00604318"/>
    <w:rsid w:val="006045FE"/>
    <w:rsid w:val="00604903"/>
    <w:rsid w:val="00604A19"/>
    <w:rsid w:val="00604A7E"/>
    <w:rsid w:val="00604DC7"/>
    <w:rsid w:val="00604E69"/>
    <w:rsid w:val="00604F57"/>
    <w:rsid w:val="006052D6"/>
    <w:rsid w:val="0060530A"/>
    <w:rsid w:val="00605400"/>
    <w:rsid w:val="006056CA"/>
    <w:rsid w:val="006056E4"/>
    <w:rsid w:val="00605895"/>
    <w:rsid w:val="00605BB2"/>
    <w:rsid w:val="00605E08"/>
    <w:rsid w:val="0060618D"/>
    <w:rsid w:val="006061DA"/>
    <w:rsid w:val="006064E8"/>
    <w:rsid w:val="006065CB"/>
    <w:rsid w:val="006069FE"/>
    <w:rsid w:val="00606CBF"/>
    <w:rsid w:val="0060707A"/>
    <w:rsid w:val="00607097"/>
    <w:rsid w:val="0060753A"/>
    <w:rsid w:val="006076CB"/>
    <w:rsid w:val="006077E9"/>
    <w:rsid w:val="006078D9"/>
    <w:rsid w:val="00607FBC"/>
    <w:rsid w:val="006100C2"/>
    <w:rsid w:val="0061015E"/>
    <w:rsid w:val="00610268"/>
    <w:rsid w:val="00610C96"/>
    <w:rsid w:val="00610D2F"/>
    <w:rsid w:val="00610E9D"/>
    <w:rsid w:val="00610EC2"/>
    <w:rsid w:val="00610F66"/>
    <w:rsid w:val="00611346"/>
    <w:rsid w:val="006114FE"/>
    <w:rsid w:val="006117DE"/>
    <w:rsid w:val="006119BE"/>
    <w:rsid w:val="00611A94"/>
    <w:rsid w:val="00611B30"/>
    <w:rsid w:val="00611E80"/>
    <w:rsid w:val="0061203E"/>
    <w:rsid w:val="006126ED"/>
    <w:rsid w:val="00612A38"/>
    <w:rsid w:val="00612ACE"/>
    <w:rsid w:val="00612B77"/>
    <w:rsid w:val="00612C67"/>
    <w:rsid w:val="00612D62"/>
    <w:rsid w:val="00612F48"/>
    <w:rsid w:val="00613076"/>
    <w:rsid w:val="006138B5"/>
    <w:rsid w:val="00613C1F"/>
    <w:rsid w:val="006140C4"/>
    <w:rsid w:val="006141F2"/>
    <w:rsid w:val="0061420E"/>
    <w:rsid w:val="0061430D"/>
    <w:rsid w:val="00614446"/>
    <w:rsid w:val="006144F2"/>
    <w:rsid w:val="006145D1"/>
    <w:rsid w:val="006145D4"/>
    <w:rsid w:val="00614758"/>
    <w:rsid w:val="00614762"/>
    <w:rsid w:val="0061486A"/>
    <w:rsid w:val="00614C01"/>
    <w:rsid w:val="00614D42"/>
    <w:rsid w:val="00614DCC"/>
    <w:rsid w:val="00614FB4"/>
    <w:rsid w:val="00615455"/>
    <w:rsid w:val="00615683"/>
    <w:rsid w:val="00615739"/>
    <w:rsid w:val="00615DDE"/>
    <w:rsid w:val="00615E4F"/>
    <w:rsid w:val="00615E6D"/>
    <w:rsid w:val="00615E9A"/>
    <w:rsid w:val="00615F97"/>
    <w:rsid w:val="0061614F"/>
    <w:rsid w:val="00616303"/>
    <w:rsid w:val="0061649B"/>
    <w:rsid w:val="006164BB"/>
    <w:rsid w:val="0061657D"/>
    <w:rsid w:val="006165BF"/>
    <w:rsid w:val="00616856"/>
    <w:rsid w:val="00616B2B"/>
    <w:rsid w:val="00616C84"/>
    <w:rsid w:val="00616DC1"/>
    <w:rsid w:val="00616E0D"/>
    <w:rsid w:val="0061704D"/>
    <w:rsid w:val="00617410"/>
    <w:rsid w:val="00617567"/>
    <w:rsid w:val="00617669"/>
    <w:rsid w:val="0061770E"/>
    <w:rsid w:val="00617C48"/>
    <w:rsid w:val="006206FD"/>
    <w:rsid w:val="0062080E"/>
    <w:rsid w:val="00620A93"/>
    <w:rsid w:val="00620AF1"/>
    <w:rsid w:val="00620DBA"/>
    <w:rsid w:val="00620DD7"/>
    <w:rsid w:val="00620DD8"/>
    <w:rsid w:val="00620F0B"/>
    <w:rsid w:val="00620F6C"/>
    <w:rsid w:val="006211A6"/>
    <w:rsid w:val="006211AF"/>
    <w:rsid w:val="00621326"/>
    <w:rsid w:val="006213A9"/>
    <w:rsid w:val="0062172B"/>
    <w:rsid w:val="0062192F"/>
    <w:rsid w:val="0062212A"/>
    <w:rsid w:val="0062220B"/>
    <w:rsid w:val="00622563"/>
    <w:rsid w:val="006225BC"/>
    <w:rsid w:val="00622706"/>
    <w:rsid w:val="006227BF"/>
    <w:rsid w:val="00622CE6"/>
    <w:rsid w:val="00622D46"/>
    <w:rsid w:val="00622E13"/>
    <w:rsid w:val="00622EE9"/>
    <w:rsid w:val="006230D7"/>
    <w:rsid w:val="006233FA"/>
    <w:rsid w:val="00623581"/>
    <w:rsid w:val="0062374A"/>
    <w:rsid w:val="00623A02"/>
    <w:rsid w:val="00623AF4"/>
    <w:rsid w:val="00623FF1"/>
    <w:rsid w:val="00623FF5"/>
    <w:rsid w:val="00624002"/>
    <w:rsid w:val="0062430F"/>
    <w:rsid w:val="00624479"/>
    <w:rsid w:val="006245EC"/>
    <w:rsid w:val="00624633"/>
    <w:rsid w:val="006249F2"/>
    <w:rsid w:val="00624A4F"/>
    <w:rsid w:val="00624B82"/>
    <w:rsid w:val="00624E36"/>
    <w:rsid w:val="006253AE"/>
    <w:rsid w:val="00625599"/>
    <w:rsid w:val="006256BE"/>
    <w:rsid w:val="00625A51"/>
    <w:rsid w:val="00625B92"/>
    <w:rsid w:val="00625C93"/>
    <w:rsid w:val="00625CB1"/>
    <w:rsid w:val="00625CEC"/>
    <w:rsid w:val="00625EEB"/>
    <w:rsid w:val="00625F70"/>
    <w:rsid w:val="00625FDA"/>
    <w:rsid w:val="00626283"/>
    <w:rsid w:val="0062633B"/>
    <w:rsid w:val="0062645D"/>
    <w:rsid w:val="0062661A"/>
    <w:rsid w:val="00626BD3"/>
    <w:rsid w:val="00626C43"/>
    <w:rsid w:val="00626F1C"/>
    <w:rsid w:val="00627149"/>
    <w:rsid w:val="006271AD"/>
    <w:rsid w:val="006272AC"/>
    <w:rsid w:val="006272BE"/>
    <w:rsid w:val="0062732C"/>
    <w:rsid w:val="006273A7"/>
    <w:rsid w:val="00627458"/>
    <w:rsid w:val="0062789A"/>
    <w:rsid w:val="00627A94"/>
    <w:rsid w:val="00627B19"/>
    <w:rsid w:val="00627B28"/>
    <w:rsid w:val="00627C29"/>
    <w:rsid w:val="00627EA2"/>
    <w:rsid w:val="00630137"/>
    <w:rsid w:val="006301C0"/>
    <w:rsid w:val="0063030F"/>
    <w:rsid w:val="0063062E"/>
    <w:rsid w:val="006307F6"/>
    <w:rsid w:val="006308A1"/>
    <w:rsid w:val="00630C6A"/>
    <w:rsid w:val="0063107C"/>
    <w:rsid w:val="0063115D"/>
    <w:rsid w:val="006312BA"/>
    <w:rsid w:val="0063130E"/>
    <w:rsid w:val="00631763"/>
    <w:rsid w:val="0063176F"/>
    <w:rsid w:val="006317E0"/>
    <w:rsid w:val="00631950"/>
    <w:rsid w:val="00632182"/>
    <w:rsid w:val="006322D8"/>
    <w:rsid w:val="006326E8"/>
    <w:rsid w:val="00632913"/>
    <w:rsid w:val="00632928"/>
    <w:rsid w:val="006329A8"/>
    <w:rsid w:val="00632A97"/>
    <w:rsid w:val="00632B26"/>
    <w:rsid w:val="00632C2D"/>
    <w:rsid w:val="00632DE4"/>
    <w:rsid w:val="00632F3A"/>
    <w:rsid w:val="00632F6E"/>
    <w:rsid w:val="006334DA"/>
    <w:rsid w:val="0063382B"/>
    <w:rsid w:val="00633AB5"/>
    <w:rsid w:val="00633AD1"/>
    <w:rsid w:val="00633B31"/>
    <w:rsid w:val="00633C92"/>
    <w:rsid w:val="00633DAC"/>
    <w:rsid w:val="00633EAC"/>
    <w:rsid w:val="00633F56"/>
    <w:rsid w:val="00634424"/>
    <w:rsid w:val="00634809"/>
    <w:rsid w:val="0063487F"/>
    <w:rsid w:val="00634888"/>
    <w:rsid w:val="00634E0A"/>
    <w:rsid w:val="00634E44"/>
    <w:rsid w:val="00634EE4"/>
    <w:rsid w:val="00634F64"/>
    <w:rsid w:val="006350EC"/>
    <w:rsid w:val="006351F0"/>
    <w:rsid w:val="00635462"/>
    <w:rsid w:val="00635470"/>
    <w:rsid w:val="0063563E"/>
    <w:rsid w:val="006356B9"/>
    <w:rsid w:val="006356E0"/>
    <w:rsid w:val="00635857"/>
    <w:rsid w:val="00635964"/>
    <w:rsid w:val="00635CA0"/>
    <w:rsid w:val="00635EEC"/>
    <w:rsid w:val="00635FC3"/>
    <w:rsid w:val="006360E7"/>
    <w:rsid w:val="006362CC"/>
    <w:rsid w:val="0063661C"/>
    <w:rsid w:val="00636A99"/>
    <w:rsid w:val="00636DDE"/>
    <w:rsid w:val="00636E8E"/>
    <w:rsid w:val="00637000"/>
    <w:rsid w:val="0063705A"/>
    <w:rsid w:val="00637867"/>
    <w:rsid w:val="00637B46"/>
    <w:rsid w:val="00637B8C"/>
    <w:rsid w:val="00637EFE"/>
    <w:rsid w:val="00637F8C"/>
    <w:rsid w:val="00640028"/>
    <w:rsid w:val="0064042C"/>
    <w:rsid w:val="0064071C"/>
    <w:rsid w:val="00640990"/>
    <w:rsid w:val="00641045"/>
    <w:rsid w:val="00641109"/>
    <w:rsid w:val="006414DF"/>
    <w:rsid w:val="006414FC"/>
    <w:rsid w:val="00641700"/>
    <w:rsid w:val="00641772"/>
    <w:rsid w:val="006418FE"/>
    <w:rsid w:val="00641BF3"/>
    <w:rsid w:val="00641CB2"/>
    <w:rsid w:val="00641D79"/>
    <w:rsid w:val="00641F7F"/>
    <w:rsid w:val="00642120"/>
    <w:rsid w:val="006421DC"/>
    <w:rsid w:val="00642352"/>
    <w:rsid w:val="006425BD"/>
    <w:rsid w:val="00642855"/>
    <w:rsid w:val="006429C2"/>
    <w:rsid w:val="00642C42"/>
    <w:rsid w:val="00643172"/>
    <w:rsid w:val="00643339"/>
    <w:rsid w:val="006433D0"/>
    <w:rsid w:val="00643B2A"/>
    <w:rsid w:val="00643BB4"/>
    <w:rsid w:val="0064401D"/>
    <w:rsid w:val="006440B7"/>
    <w:rsid w:val="0064435F"/>
    <w:rsid w:val="006444D7"/>
    <w:rsid w:val="00644647"/>
    <w:rsid w:val="00644A7D"/>
    <w:rsid w:val="00644B6B"/>
    <w:rsid w:val="00644D09"/>
    <w:rsid w:val="00644D7C"/>
    <w:rsid w:val="00644DA8"/>
    <w:rsid w:val="00644EC6"/>
    <w:rsid w:val="006450BA"/>
    <w:rsid w:val="006451A4"/>
    <w:rsid w:val="006453B9"/>
    <w:rsid w:val="006454D6"/>
    <w:rsid w:val="00645601"/>
    <w:rsid w:val="00645DFB"/>
    <w:rsid w:val="00645FF9"/>
    <w:rsid w:val="0064602D"/>
    <w:rsid w:val="006460CB"/>
    <w:rsid w:val="00646155"/>
    <w:rsid w:val="00646875"/>
    <w:rsid w:val="00646901"/>
    <w:rsid w:val="00646B55"/>
    <w:rsid w:val="00646B7B"/>
    <w:rsid w:val="00646BC9"/>
    <w:rsid w:val="00646FE5"/>
    <w:rsid w:val="0064713A"/>
    <w:rsid w:val="0064722F"/>
    <w:rsid w:val="0064723B"/>
    <w:rsid w:val="006473EB"/>
    <w:rsid w:val="006474C6"/>
    <w:rsid w:val="00647523"/>
    <w:rsid w:val="006475D5"/>
    <w:rsid w:val="0064774E"/>
    <w:rsid w:val="00647C85"/>
    <w:rsid w:val="00647CAF"/>
    <w:rsid w:val="00650026"/>
    <w:rsid w:val="00650223"/>
    <w:rsid w:val="006502EB"/>
    <w:rsid w:val="0065039F"/>
    <w:rsid w:val="0065043A"/>
    <w:rsid w:val="00650851"/>
    <w:rsid w:val="00650CDC"/>
    <w:rsid w:val="00650D05"/>
    <w:rsid w:val="00650EFF"/>
    <w:rsid w:val="00651057"/>
    <w:rsid w:val="0065128E"/>
    <w:rsid w:val="006513EA"/>
    <w:rsid w:val="0065145F"/>
    <w:rsid w:val="00651801"/>
    <w:rsid w:val="00651884"/>
    <w:rsid w:val="006518AF"/>
    <w:rsid w:val="00651CEB"/>
    <w:rsid w:val="00651E53"/>
    <w:rsid w:val="006520D7"/>
    <w:rsid w:val="006523DB"/>
    <w:rsid w:val="0065281F"/>
    <w:rsid w:val="006529BB"/>
    <w:rsid w:val="00652AA3"/>
    <w:rsid w:val="00652ADA"/>
    <w:rsid w:val="00652B05"/>
    <w:rsid w:val="00652BE6"/>
    <w:rsid w:val="00652BFF"/>
    <w:rsid w:val="00652D1D"/>
    <w:rsid w:val="00652D72"/>
    <w:rsid w:val="00653211"/>
    <w:rsid w:val="00653263"/>
    <w:rsid w:val="006535BC"/>
    <w:rsid w:val="006535D3"/>
    <w:rsid w:val="00653774"/>
    <w:rsid w:val="00653BBC"/>
    <w:rsid w:val="00653E3F"/>
    <w:rsid w:val="0065426F"/>
    <w:rsid w:val="006543D5"/>
    <w:rsid w:val="00654611"/>
    <w:rsid w:val="00654613"/>
    <w:rsid w:val="00654A55"/>
    <w:rsid w:val="00654D61"/>
    <w:rsid w:val="00654DE3"/>
    <w:rsid w:val="00655295"/>
    <w:rsid w:val="0065550F"/>
    <w:rsid w:val="00655827"/>
    <w:rsid w:val="00655F69"/>
    <w:rsid w:val="00656394"/>
    <w:rsid w:val="0065667B"/>
    <w:rsid w:val="00656BC1"/>
    <w:rsid w:val="00657444"/>
    <w:rsid w:val="006577C1"/>
    <w:rsid w:val="00657C3E"/>
    <w:rsid w:val="00657CCA"/>
    <w:rsid w:val="00657DD6"/>
    <w:rsid w:val="00660105"/>
    <w:rsid w:val="00660298"/>
    <w:rsid w:val="00660362"/>
    <w:rsid w:val="0066068A"/>
    <w:rsid w:val="0066077B"/>
    <w:rsid w:val="00660855"/>
    <w:rsid w:val="00660F4A"/>
    <w:rsid w:val="00661106"/>
    <w:rsid w:val="00661182"/>
    <w:rsid w:val="006611F2"/>
    <w:rsid w:val="0066125F"/>
    <w:rsid w:val="006612BC"/>
    <w:rsid w:val="00661559"/>
    <w:rsid w:val="0066178E"/>
    <w:rsid w:val="00661853"/>
    <w:rsid w:val="00661864"/>
    <w:rsid w:val="00661E55"/>
    <w:rsid w:val="00661FCD"/>
    <w:rsid w:val="0066275C"/>
    <w:rsid w:val="00662917"/>
    <w:rsid w:val="00662990"/>
    <w:rsid w:val="00662D28"/>
    <w:rsid w:val="00662F58"/>
    <w:rsid w:val="006631F4"/>
    <w:rsid w:val="006633D5"/>
    <w:rsid w:val="006634D3"/>
    <w:rsid w:val="0066355D"/>
    <w:rsid w:val="006635A9"/>
    <w:rsid w:val="00663B64"/>
    <w:rsid w:val="00663D97"/>
    <w:rsid w:val="00663DAD"/>
    <w:rsid w:val="00663FAC"/>
    <w:rsid w:val="006640C0"/>
    <w:rsid w:val="006641C4"/>
    <w:rsid w:val="00664498"/>
    <w:rsid w:val="00664846"/>
    <w:rsid w:val="00664850"/>
    <w:rsid w:val="006648B8"/>
    <w:rsid w:val="00664984"/>
    <w:rsid w:val="00664A09"/>
    <w:rsid w:val="00664CDD"/>
    <w:rsid w:val="00664D22"/>
    <w:rsid w:val="00664E44"/>
    <w:rsid w:val="00664F45"/>
    <w:rsid w:val="006653D6"/>
    <w:rsid w:val="00665417"/>
    <w:rsid w:val="006656B4"/>
    <w:rsid w:val="006656D5"/>
    <w:rsid w:val="006657F2"/>
    <w:rsid w:val="006659FA"/>
    <w:rsid w:val="00665AC9"/>
    <w:rsid w:val="00665BE5"/>
    <w:rsid w:val="00665E5D"/>
    <w:rsid w:val="006666D8"/>
    <w:rsid w:val="00666A19"/>
    <w:rsid w:val="00666A88"/>
    <w:rsid w:val="00666B82"/>
    <w:rsid w:val="00666BBF"/>
    <w:rsid w:val="00666E19"/>
    <w:rsid w:val="00666E2A"/>
    <w:rsid w:val="0066716F"/>
    <w:rsid w:val="00667342"/>
    <w:rsid w:val="0066774D"/>
    <w:rsid w:val="00667794"/>
    <w:rsid w:val="006677B1"/>
    <w:rsid w:val="00667860"/>
    <w:rsid w:val="00667B8C"/>
    <w:rsid w:val="00667C1D"/>
    <w:rsid w:val="00667DC0"/>
    <w:rsid w:val="00667EDD"/>
    <w:rsid w:val="006703D3"/>
    <w:rsid w:val="00670B1F"/>
    <w:rsid w:val="00670B8C"/>
    <w:rsid w:val="00670B90"/>
    <w:rsid w:val="00671008"/>
    <w:rsid w:val="0067107A"/>
    <w:rsid w:val="006714A9"/>
    <w:rsid w:val="00671584"/>
    <w:rsid w:val="006719B5"/>
    <w:rsid w:val="00671B52"/>
    <w:rsid w:val="00671B61"/>
    <w:rsid w:val="00671C7D"/>
    <w:rsid w:val="00671D07"/>
    <w:rsid w:val="00671FD6"/>
    <w:rsid w:val="006724AA"/>
    <w:rsid w:val="00672658"/>
    <w:rsid w:val="0067268B"/>
    <w:rsid w:val="0067298E"/>
    <w:rsid w:val="00672D59"/>
    <w:rsid w:val="00672E83"/>
    <w:rsid w:val="00672FE3"/>
    <w:rsid w:val="00672FEF"/>
    <w:rsid w:val="006730C4"/>
    <w:rsid w:val="006732F4"/>
    <w:rsid w:val="00673408"/>
    <w:rsid w:val="0067344F"/>
    <w:rsid w:val="006735FC"/>
    <w:rsid w:val="00673739"/>
    <w:rsid w:val="00673806"/>
    <w:rsid w:val="0067396E"/>
    <w:rsid w:val="00673A50"/>
    <w:rsid w:val="00673ACE"/>
    <w:rsid w:val="00673B79"/>
    <w:rsid w:val="00673BCB"/>
    <w:rsid w:val="00673C66"/>
    <w:rsid w:val="00673D7F"/>
    <w:rsid w:val="00673EE5"/>
    <w:rsid w:val="00673F0D"/>
    <w:rsid w:val="00673FAA"/>
    <w:rsid w:val="00674007"/>
    <w:rsid w:val="00674086"/>
    <w:rsid w:val="00674920"/>
    <w:rsid w:val="00674CAA"/>
    <w:rsid w:val="00674F37"/>
    <w:rsid w:val="00674FB5"/>
    <w:rsid w:val="00674FC0"/>
    <w:rsid w:val="0067534A"/>
    <w:rsid w:val="00675471"/>
    <w:rsid w:val="00675489"/>
    <w:rsid w:val="0067591F"/>
    <w:rsid w:val="00675956"/>
    <w:rsid w:val="006759E6"/>
    <w:rsid w:val="00675BC7"/>
    <w:rsid w:val="00675C9C"/>
    <w:rsid w:val="00675CE9"/>
    <w:rsid w:val="00675D51"/>
    <w:rsid w:val="00676050"/>
    <w:rsid w:val="0067619E"/>
    <w:rsid w:val="006763FF"/>
    <w:rsid w:val="006765E4"/>
    <w:rsid w:val="006767D6"/>
    <w:rsid w:val="0067680A"/>
    <w:rsid w:val="006768A8"/>
    <w:rsid w:val="006771E5"/>
    <w:rsid w:val="006774DA"/>
    <w:rsid w:val="0067751C"/>
    <w:rsid w:val="006779B4"/>
    <w:rsid w:val="00677CA1"/>
    <w:rsid w:val="00677D61"/>
    <w:rsid w:val="00677F61"/>
    <w:rsid w:val="00677F96"/>
    <w:rsid w:val="006801A4"/>
    <w:rsid w:val="0068058B"/>
    <w:rsid w:val="0068069B"/>
    <w:rsid w:val="0068073F"/>
    <w:rsid w:val="00680A0B"/>
    <w:rsid w:val="00680BC7"/>
    <w:rsid w:val="00680C08"/>
    <w:rsid w:val="00680CE8"/>
    <w:rsid w:val="00681030"/>
    <w:rsid w:val="006810B5"/>
    <w:rsid w:val="00681141"/>
    <w:rsid w:val="006811DA"/>
    <w:rsid w:val="00681363"/>
    <w:rsid w:val="00681368"/>
    <w:rsid w:val="00681412"/>
    <w:rsid w:val="0068160C"/>
    <w:rsid w:val="00681687"/>
    <w:rsid w:val="006817A1"/>
    <w:rsid w:val="00681903"/>
    <w:rsid w:val="00681A48"/>
    <w:rsid w:val="00681C24"/>
    <w:rsid w:val="00681C39"/>
    <w:rsid w:val="00681E95"/>
    <w:rsid w:val="006820EF"/>
    <w:rsid w:val="00682104"/>
    <w:rsid w:val="00682111"/>
    <w:rsid w:val="006822E5"/>
    <w:rsid w:val="006823ED"/>
    <w:rsid w:val="006825F9"/>
    <w:rsid w:val="0068286D"/>
    <w:rsid w:val="00682C01"/>
    <w:rsid w:val="00682F64"/>
    <w:rsid w:val="00683424"/>
    <w:rsid w:val="006835E2"/>
    <w:rsid w:val="00683881"/>
    <w:rsid w:val="00683A22"/>
    <w:rsid w:val="00683C3E"/>
    <w:rsid w:val="00683DA1"/>
    <w:rsid w:val="00683DDE"/>
    <w:rsid w:val="00683FF8"/>
    <w:rsid w:val="0068400B"/>
    <w:rsid w:val="00684043"/>
    <w:rsid w:val="006840C2"/>
    <w:rsid w:val="006843B4"/>
    <w:rsid w:val="00684456"/>
    <w:rsid w:val="0068447A"/>
    <w:rsid w:val="00684490"/>
    <w:rsid w:val="00684A32"/>
    <w:rsid w:val="00684B41"/>
    <w:rsid w:val="00684B9E"/>
    <w:rsid w:val="00684BBC"/>
    <w:rsid w:val="00684F07"/>
    <w:rsid w:val="00685064"/>
    <w:rsid w:val="006851A7"/>
    <w:rsid w:val="0068521D"/>
    <w:rsid w:val="006852A0"/>
    <w:rsid w:val="006857C5"/>
    <w:rsid w:val="00685903"/>
    <w:rsid w:val="00685D7A"/>
    <w:rsid w:val="00686022"/>
    <w:rsid w:val="006860CD"/>
    <w:rsid w:val="0068667B"/>
    <w:rsid w:val="00686927"/>
    <w:rsid w:val="00686A17"/>
    <w:rsid w:val="00686D52"/>
    <w:rsid w:val="006872D1"/>
    <w:rsid w:val="006872E7"/>
    <w:rsid w:val="006873DC"/>
    <w:rsid w:val="0068751E"/>
    <w:rsid w:val="0068773C"/>
    <w:rsid w:val="00687A54"/>
    <w:rsid w:val="00687DBE"/>
    <w:rsid w:val="006901B7"/>
    <w:rsid w:val="00690219"/>
    <w:rsid w:val="006906CF"/>
    <w:rsid w:val="006907D7"/>
    <w:rsid w:val="006908AB"/>
    <w:rsid w:val="00690C48"/>
    <w:rsid w:val="00691064"/>
    <w:rsid w:val="0069116A"/>
    <w:rsid w:val="00691329"/>
    <w:rsid w:val="00691874"/>
    <w:rsid w:val="00691A70"/>
    <w:rsid w:val="00691B71"/>
    <w:rsid w:val="00691CF3"/>
    <w:rsid w:val="00691CFD"/>
    <w:rsid w:val="00691D4D"/>
    <w:rsid w:val="00691F64"/>
    <w:rsid w:val="00692095"/>
    <w:rsid w:val="0069209A"/>
    <w:rsid w:val="00692130"/>
    <w:rsid w:val="006921D1"/>
    <w:rsid w:val="006921D3"/>
    <w:rsid w:val="006922DB"/>
    <w:rsid w:val="00692406"/>
    <w:rsid w:val="0069248F"/>
    <w:rsid w:val="00692622"/>
    <w:rsid w:val="00692722"/>
    <w:rsid w:val="0069272B"/>
    <w:rsid w:val="00692A67"/>
    <w:rsid w:val="00692D8F"/>
    <w:rsid w:val="00692E2A"/>
    <w:rsid w:val="00692EA8"/>
    <w:rsid w:val="00693039"/>
    <w:rsid w:val="0069326A"/>
    <w:rsid w:val="006932C9"/>
    <w:rsid w:val="0069331C"/>
    <w:rsid w:val="0069373B"/>
    <w:rsid w:val="00693746"/>
    <w:rsid w:val="006937EB"/>
    <w:rsid w:val="006940EC"/>
    <w:rsid w:val="00694212"/>
    <w:rsid w:val="00694487"/>
    <w:rsid w:val="00694A21"/>
    <w:rsid w:val="00695163"/>
    <w:rsid w:val="0069540C"/>
    <w:rsid w:val="00695444"/>
    <w:rsid w:val="006954BC"/>
    <w:rsid w:val="0069572F"/>
    <w:rsid w:val="006957E1"/>
    <w:rsid w:val="0069593D"/>
    <w:rsid w:val="00695A2B"/>
    <w:rsid w:val="00695ADC"/>
    <w:rsid w:val="00695C33"/>
    <w:rsid w:val="00695E53"/>
    <w:rsid w:val="0069600A"/>
    <w:rsid w:val="0069670B"/>
    <w:rsid w:val="00696A5A"/>
    <w:rsid w:val="00697424"/>
    <w:rsid w:val="00697929"/>
    <w:rsid w:val="00697B2B"/>
    <w:rsid w:val="00697E2C"/>
    <w:rsid w:val="00697FE7"/>
    <w:rsid w:val="00697FFC"/>
    <w:rsid w:val="006A01FB"/>
    <w:rsid w:val="006A02F6"/>
    <w:rsid w:val="006A0380"/>
    <w:rsid w:val="006A05DC"/>
    <w:rsid w:val="006A05E1"/>
    <w:rsid w:val="006A0866"/>
    <w:rsid w:val="006A09EA"/>
    <w:rsid w:val="006A0A0B"/>
    <w:rsid w:val="006A0A68"/>
    <w:rsid w:val="006A0D0C"/>
    <w:rsid w:val="006A0D7D"/>
    <w:rsid w:val="006A0F2B"/>
    <w:rsid w:val="006A0F38"/>
    <w:rsid w:val="006A101C"/>
    <w:rsid w:val="006A1056"/>
    <w:rsid w:val="006A1339"/>
    <w:rsid w:val="006A14BE"/>
    <w:rsid w:val="006A172B"/>
    <w:rsid w:val="006A1A97"/>
    <w:rsid w:val="006A1B59"/>
    <w:rsid w:val="006A1BA2"/>
    <w:rsid w:val="006A1D5A"/>
    <w:rsid w:val="006A1EC8"/>
    <w:rsid w:val="006A1F33"/>
    <w:rsid w:val="006A2222"/>
    <w:rsid w:val="006A2262"/>
    <w:rsid w:val="006A231E"/>
    <w:rsid w:val="006A242E"/>
    <w:rsid w:val="006A269C"/>
    <w:rsid w:val="006A26AD"/>
    <w:rsid w:val="006A28F7"/>
    <w:rsid w:val="006A2A5C"/>
    <w:rsid w:val="006A2BA1"/>
    <w:rsid w:val="006A2F9B"/>
    <w:rsid w:val="006A2F9E"/>
    <w:rsid w:val="006A3055"/>
    <w:rsid w:val="006A3057"/>
    <w:rsid w:val="006A3088"/>
    <w:rsid w:val="006A311E"/>
    <w:rsid w:val="006A349D"/>
    <w:rsid w:val="006A3607"/>
    <w:rsid w:val="006A373B"/>
    <w:rsid w:val="006A39F0"/>
    <w:rsid w:val="006A3A9A"/>
    <w:rsid w:val="006A3AF8"/>
    <w:rsid w:val="006A3AFD"/>
    <w:rsid w:val="006A3BAE"/>
    <w:rsid w:val="006A3DE4"/>
    <w:rsid w:val="006A3F48"/>
    <w:rsid w:val="006A4040"/>
    <w:rsid w:val="006A41D9"/>
    <w:rsid w:val="006A41F2"/>
    <w:rsid w:val="006A4324"/>
    <w:rsid w:val="006A45B7"/>
    <w:rsid w:val="006A4761"/>
    <w:rsid w:val="006A488A"/>
    <w:rsid w:val="006A48CC"/>
    <w:rsid w:val="006A49A2"/>
    <w:rsid w:val="006A5073"/>
    <w:rsid w:val="006A5340"/>
    <w:rsid w:val="006A53D8"/>
    <w:rsid w:val="006A55E9"/>
    <w:rsid w:val="006A5771"/>
    <w:rsid w:val="006A58CC"/>
    <w:rsid w:val="006A5A78"/>
    <w:rsid w:val="006A5EE4"/>
    <w:rsid w:val="006A608F"/>
    <w:rsid w:val="006A61E3"/>
    <w:rsid w:val="006A6483"/>
    <w:rsid w:val="006A6679"/>
    <w:rsid w:val="006A6809"/>
    <w:rsid w:val="006A681E"/>
    <w:rsid w:val="006A6B58"/>
    <w:rsid w:val="006A6CF5"/>
    <w:rsid w:val="006A7240"/>
    <w:rsid w:val="006A74D5"/>
    <w:rsid w:val="006A74FC"/>
    <w:rsid w:val="006A762E"/>
    <w:rsid w:val="006A7B63"/>
    <w:rsid w:val="006A7E3A"/>
    <w:rsid w:val="006A7E53"/>
    <w:rsid w:val="006A7F0D"/>
    <w:rsid w:val="006A7FF3"/>
    <w:rsid w:val="006B0757"/>
    <w:rsid w:val="006B0847"/>
    <w:rsid w:val="006B09C9"/>
    <w:rsid w:val="006B0A2D"/>
    <w:rsid w:val="006B0EBF"/>
    <w:rsid w:val="006B0EDF"/>
    <w:rsid w:val="006B1323"/>
    <w:rsid w:val="006B1634"/>
    <w:rsid w:val="006B17A3"/>
    <w:rsid w:val="006B1D90"/>
    <w:rsid w:val="006B217A"/>
    <w:rsid w:val="006B2AA0"/>
    <w:rsid w:val="006B2EC5"/>
    <w:rsid w:val="006B351A"/>
    <w:rsid w:val="006B38CB"/>
    <w:rsid w:val="006B3A5F"/>
    <w:rsid w:val="006B3C36"/>
    <w:rsid w:val="006B3F43"/>
    <w:rsid w:val="006B41C8"/>
    <w:rsid w:val="006B42A0"/>
    <w:rsid w:val="006B43D1"/>
    <w:rsid w:val="006B43DD"/>
    <w:rsid w:val="006B46DF"/>
    <w:rsid w:val="006B4951"/>
    <w:rsid w:val="006B4A05"/>
    <w:rsid w:val="006B4A0A"/>
    <w:rsid w:val="006B4B26"/>
    <w:rsid w:val="006B4B61"/>
    <w:rsid w:val="006B4DDB"/>
    <w:rsid w:val="006B5102"/>
    <w:rsid w:val="006B5116"/>
    <w:rsid w:val="006B52CA"/>
    <w:rsid w:val="006B5679"/>
    <w:rsid w:val="006B57DC"/>
    <w:rsid w:val="006B5A93"/>
    <w:rsid w:val="006B5BA8"/>
    <w:rsid w:val="006B5C5E"/>
    <w:rsid w:val="006B61E0"/>
    <w:rsid w:val="006B63DE"/>
    <w:rsid w:val="006B6566"/>
    <w:rsid w:val="006B674B"/>
    <w:rsid w:val="006B687E"/>
    <w:rsid w:val="006B6A5F"/>
    <w:rsid w:val="006B6BFD"/>
    <w:rsid w:val="006B6C11"/>
    <w:rsid w:val="006B6D46"/>
    <w:rsid w:val="006B6FC2"/>
    <w:rsid w:val="006B7422"/>
    <w:rsid w:val="006B751B"/>
    <w:rsid w:val="006B753D"/>
    <w:rsid w:val="006B7796"/>
    <w:rsid w:val="006B7952"/>
    <w:rsid w:val="006B79E9"/>
    <w:rsid w:val="006B7A63"/>
    <w:rsid w:val="006B7D42"/>
    <w:rsid w:val="006B7EDE"/>
    <w:rsid w:val="006C003F"/>
    <w:rsid w:val="006C01CA"/>
    <w:rsid w:val="006C03AF"/>
    <w:rsid w:val="006C069E"/>
    <w:rsid w:val="006C06D2"/>
    <w:rsid w:val="006C07E7"/>
    <w:rsid w:val="006C08A3"/>
    <w:rsid w:val="006C0A1E"/>
    <w:rsid w:val="006C0AE8"/>
    <w:rsid w:val="006C0B74"/>
    <w:rsid w:val="006C0CA7"/>
    <w:rsid w:val="006C0E48"/>
    <w:rsid w:val="006C0E61"/>
    <w:rsid w:val="006C102F"/>
    <w:rsid w:val="006C1039"/>
    <w:rsid w:val="006C10F2"/>
    <w:rsid w:val="006C11E5"/>
    <w:rsid w:val="006C12F2"/>
    <w:rsid w:val="006C1524"/>
    <w:rsid w:val="006C166C"/>
    <w:rsid w:val="006C1843"/>
    <w:rsid w:val="006C18CB"/>
    <w:rsid w:val="006C1975"/>
    <w:rsid w:val="006C1A57"/>
    <w:rsid w:val="006C1ACF"/>
    <w:rsid w:val="006C1F49"/>
    <w:rsid w:val="006C1F8F"/>
    <w:rsid w:val="006C1F97"/>
    <w:rsid w:val="006C218C"/>
    <w:rsid w:val="006C2719"/>
    <w:rsid w:val="006C28C8"/>
    <w:rsid w:val="006C2F1F"/>
    <w:rsid w:val="006C31D1"/>
    <w:rsid w:val="006C337D"/>
    <w:rsid w:val="006C33B6"/>
    <w:rsid w:val="006C34F3"/>
    <w:rsid w:val="006C3756"/>
    <w:rsid w:val="006C37FB"/>
    <w:rsid w:val="006C3C37"/>
    <w:rsid w:val="006C3FF7"/>
    <w:rsid w:val="006C418C"/>
    <w:rsid w:val="006C4318"/>
    <w:rsid w:val="006C4579"/>
    <w:rsid w:val="006C45B3"/>
    <w:rsid w:val="006C4B2A"/>
    <w:rsid w:val="006C4F95"/>
    <w:rsid w:val="006C4FD8"/>
    <w:rsid w:val="006C5560"/>
    <w:rsid w:val="006C57ED"/>
    <w:rsid w:val="006C57F9"/>
    <w:rsid w:val="006C5857"/>
    <w:rsid w:val="006C58D8"/>
    <w:rsid w:val="006C5984"/>
    <w:rsid w:val="006C5B53"/>
    <w:rsid w:val="006C5BA4"/>
    <w:rsid w:val="006C5C35"/>
    <w:rsid w:val="006C5CE6"/>
    <w:rsid w:val="006C5CF1"/>
    <w:rsid w:val="006C5D4A"/>
    <w:rsid w:val="006C5EDE"/>
    <w:rsid w:val="006C5EF9"/>
    <w:rsid w:val="006C6026"/>
    <w:rsid w:val="006C66ED"/>
    <w:rsid w:val="006C683A"/>
    <w:rsid w:val="006C6988"/>
    <w:rsid w:val="006C6995"/>
    <w:rsid w:val="006C6ADD"/>
    <w:rsid w:val="006C6C54"/>
    <w:rsid w:val="006C6D44"/>
    <w:rsid w:val="006C6D9F"/>
    <w:rsid w:val="006C6DD0"/>
    <w:rsid w:val="006C6E39"/>
    <w:rsid w:val="006C70A5"/>
    <w:rsid w:val="006C713C"/>
    <w:rsid w:val="006C7292"/>
    <w:rsid w:val="006C756E"/>
    <w:rsid w:val="006C76B7"/>
    <w:rsid w:val="006C78AD"/>
    <w:rsid w:val="006C78F6"/>
    <w:rsid w:val="006C7BDF"/>
    <w:rsid w:val="006C7FA4"/>
    <w:rsid w:val="006D0348"/>
    <w:rsid w:val="006D0509"/>
    <w:rsid w:val="006D099E"/>
    <w:rsid w:val="006D0E6B"/>
    <w:rsid w:val="006D0FB3"/>
    <w:rsid w:val="006D127A"/>
    <w:rsid w:val="006D12C4"/>
    <w:rsid w:val="006D194B"/>
    <w:rsid w:val="006D1AC8"/>
    <w:rsid w:val="006D1BB5"/>
    <w:rsid w:val="006D1C55"/>
    <w:rsid w:val="006D1D10"/>
    <w:rsid w:val="006D208E"/>
    <w:rsid w:val="006D29A2"/>
    <w:rsid w:val="006D2CF9"/>
    <w:rsid w:val="006D2D87"/>
    <w:rsid w:val="006D310C"/>
    <w:rsid w:val="006D344C"/>
    <w:rsid w:val="006D389A"/>
    <w:rsid w:val="006D3917"/>
    <w:rsid w:val="006D3BFF"/>
    <w:rsid w:val="006D3C6D"/>
    <w:rsid w:val="006D3EE2"/>
    <w:rsid w:val="006D3FFE"/>
    <w:rsid w:val="006D4209"/>
    <w:rsid w:val="006D43C1"/>
    <w:rsid w:val="006D44E2"/>
    <w:rsid w:val="006D4715"/>
    <w:rsid w:val="006D474A"/>
    <w:rsid w:val="006D48AE"/>
    <w:rsid w:val="006D4A5B"/>
    <w:rsid w:val="006D5164"/>
    <w:rsid w:val="006D5381"/>
    <w:rsid w:val="006D54DC"/>
    <w:rsid w:val="006D596B"/>
    <w:rsid w:val="006D5CB0"/>
    <w:rsid w:val="006D6065"/>
    <w:rsid w:val="006D634B"/>
    <w:rsid w:val="006D6ABA"/>
    <w:rsid w:val="006D6B39"/>
    <w:rsid w:val="006D6CF7"/>
    <w:rsid w:val="006D757D"/>
    <w:rsid w:val="006D777F"/>
    <w:rsid w:val="006D783B"/>
    <w:rsid w:val="006D7B2D"/>
    <w:rsid w:val="006D7BD3"/>
    <w:rsid w:val="006D7D96"/>
    <w:rsid w:val="006D7DB4"/>
    <w:rsid w:val="006D7DD1"/>
    <w:rsid w:val="006E0079"/>
    <w:rsid w:val="006E01B9"/>
    <w:rsid w:val="006E0411"/>
    <w:rsid w:val="006E05DF"/>
    <w:rsid w:val="006E0654"/>
    <w:rsid w:val="006E0895"/>
    <w:rsid w:val="006E0B08"/>
    <w:rsid w:val="006E0B76"/>
    <w:rsid w:val="006E0CD3"/>
    <w:rsid w:val="006E10F3"/>
    <w:rsid w:val="006E121F"/>
    <w:rsid w:val="006E1341"/>
    <w:rsid w:val="006E15BC"/>
    <w:rsid w:val="006E15F1"/>
    <w:rsid w:val="006E16FE"/>
    <w:rsid w:val="006E17E4"/>
    <w:rsid w:val="006E17F7"/>
    <w:rsid w:val="006E1EBE"/>
    <w:rsid w:val="006E2108"/>
    <w:rsid w:val="006E21B0"/>
    <w:rsid w:val="006E2363"/>
    <w:rsid w:val="006E23B4"/>
    <w:rsid w:val="006E23FD"/>
    <w:rsid w:val="006E2585"/>
    <w:rsid w:val="006E2755"/>
    <w:rsid w:val="006E2BE4"/>
    <w:rsid w:val="006E321E"/>
    <w:rsid w:val="006E32B6"/>
    <w:rsid w:val="006E3310"/>
    <w:rsid w:val="006E3403"/>
    <w:rsid w:val="006E36DD"/>
    <w:rsid w:val="006E3702"/>
    <w:rsid w:val="006E37A7"/>
    <w:rsid w:val="006E37E1"/>
    <w:rsid w:val="006E3BE7"/>
    <w:rsid w:val="006E3C3D"/>
    <w:rsid w:val="006E3CF2"/>
    <w:rsid w:val="006E3E64"/>
    <w:rsid w:val="006E4321"/>
    <w:rsid w:val="006E44C4"/>
    <w:rsid w:val="006E4523"/>
    <w:rsid w:val="006E4641"/>
    <w:rsid w:val="006E4A62"/>
    <w:rsid w:val="006E4A6F"/>
    <w:rsid w:val="006E4BB0"/>
    <w:rsid w:val="006E4C37"/>
    <w:rsid w:val="006E4CB1"/>
    <w:rsid w:val="006E4E4F"/>
    <w:rsid w:val="006E4F3B"/>
    <w:rsid w:val="006E4F56"/>
    <w:rsid w:val="006E5260"/>
    <w:rsid w:val="006E559F"/>
    <w:rsid w:val="006E5647"/>
    <w:rsid w:val="006E5656"/>
    <w:rsid w:val="006E5794"/>
    <w:rsid w:val="006E595B"/>
    <w:rsid w:val="006E59B4"/>
    <w:rsid w:val="006E5CBD"/>
    <w:rsid w:val="006E5CFF"/>
    <w:rsid w:val="006E5F06"/>
    <w:rsid w:val="006E5F67"/>
    <w:rsid w:val="006E5FBD"/>
    <w:rsid w:val="006E6253"/>
    <w:rsid w:val="006E6276"/>
    <w:rsid w:val="006E68E3"/>
    <w:rsid w:val="006E6AF4"/>
    <w:rsid w:val="006E6C5C"/>
    <w:rsid w:val="006E6CD9"/>
    <w:rsid w:val="006E7221"/>
    <w:rsid w:val="006E72C2"/>
    <w:rsid w:val="006E73C4"/>
    <w:rsid w:val="006E759B"/>
    <w:rsid w:val="006E76DE"/>
    <w:rsid w:val="006E77EB"/>
    <w:rsid w:val="006E7A78"/>
    <w:rsid w:val="006E7B30"/>
    <w:rsid w:val="006E7C6B"/>
    <w:rsid w:val="006E7C7F"/>
    <w:rsid w:val="006E7CE4"/>
    <w:rsid w:val="006E7F13"/>
    <w:rsid w:val="006F0007"/>
    <w:rsid w:val="006F0048"/>
    <w:rsid w:val="006F0087"/>
    <w:rsid w:val="006F0236"/>
    <w:rsid w:val="006F04E5"/>
    <w:rsid w:val="006F0900"/>
    <w:rsid w:val="006F0A6D"/>
    <w:rsid w:val="006F11B9"/>
    <w:rsid w:val="006F1307"/>
    <w:rsid w:val="006F18C5"/>
    <w:rsid w:val="006F1AAE"/>
    <w:rsid w:val="006F1CD2"/>
    <w:rsid w:val="006F1CEB"/>
    <w:rsid w:val="006F1D17"/>
    <w:rsid w:val="006F1DF9"/>
    <w:rsid w:val="006F1F98"/>
    <w:rsid w:val="006F2153"/>
    <w:rsid w:val="006F224E"/>
    <w:rsid w:val="006F267C"/>
    <w:rsid w:val="006F26DC"/>
    <w:rsid w:val="006F2738"/>
    <w:rsid w:val="006F297A"/>
    <w:rsid w:val="006F2A47"/>
    <w:rsid w:val="006F2C87"/>
    <w:rsid w:val="006F30F9"/>
    <w:rsid w:val="006F3380"/>
    <w:rsid w:val="006F39C1"/>
    <w:rsid w:val="006F3B58"/>
    <w:rsid w:val="006F3B93"/>
    <w:rsid w:val="006F3BAC"/>
    <w:rsid w:val="006F3CCB"/>
    <w:rsid w:val="006F3CE5"/>
    <w:rsid w:val="006F3D95"/>
    <w:rsid w:val="006F3E35"/>
    <w:rsid w:val="006F41FC"/>
    <w:rsid w:val="006F437A"/>
    <w:rsid w:val="006F43C9"/>
    <w:rsid w:val="006F469F"/>
    <w:rsid w:val="006F4715"/>
    <w:rsid w:val="006F47AC"/>
    <w:rsid w:val="006F4939"/>
    <w:rsid w:val="006F4AAC"/>
    <w:rsid w:val="006F4B50"/>
    <w:rsid w:val="006F52AB"/>
    <w:rsid w:val="006F5446"/>
    <w:rsid w:val="006F54B4"/>
    <w:rsid w:val="006F54BB"/>
    <w:rsid w:val="006F54E7"/>
    <w:rsid w:val="006F566A"/>
    <w:rsid w:val="006F5856"/>
    <w:rsid w:val="006F5875"/>
    <w:rsid w:val="006F5894"/>
    <w:rsid w:val="006F6082"/>
    <w:rsid w:val="006F614A"/>
    <w:rsid w:val="006F61C9"/>
    <w:rsid w:val="006F6203"/>
    <w:rsid w:val="006F6225"/>
    <w:rsid w:val="006F6407"/>
    <w:rsid w:val="006F655D"/>
    <w:rsid w:val="006F6818"/>
    <w:rsid w:val="006F6B04"/>
    <w:rsid w:val="006F6C36"/>
    <w:rsid w:val="006F6E57"/>
    <w:rsid w:val="006F6FF5"/>
    <w:rsid w:val="006F71A4"/>
    <w:rsid w:val="006F73FA"/>
    <w:rsid w:val="006F7619"/>
    <w:rsid w:val="006F7B47"/>
    <w:rsid w:val="006F7C2F"/>
    <w:rsid w:val="006F7CA9"/>
    <w:rsid w:val="006FFD51"/>
    <w:rsid w:val="007000F9"/>
    <w:rsid w:val="007006AB"/>
    <w:rsid w:val="00700A22"/>
    <w:rsid w:val="00700E66"/>
    <w:rsid w:val="00700F7E"/>
    <w:rsid w:val="007012FF"/>
    <w:rsid w:val="007013F3"/>
    <w:rsid w:val="0070158A"/>
    <w:rsid w:val="007015C0"/>
    <w:rsid w:val="00701AB3"/>
    <w:rsid w:val="00701EFC"/>
    <w:rsid w:val="00701F68"/>
    <w:rsid w:val="0070210C"/>
    <w:rsid w:val="00702217"/>
    <w:rsid w:val="0070230A"/>
    <w:rsid w:val="00702463"/>
    <w:rsid w:val="007024DC"/>
    <w:rsid w:val="00702872"/>
    <w:rsid w:val="00702DFA"/>
    <w:rsid w:val="00702E2C"/>
    <w:rsid w:val="00702EE8"/>
    <w:rsid w:val="007032F7"/>
    <w:rsid w:val="00703654"/>
    <w:rsid w:val="007036F8"/>
    <w:rsid w:val="007037EF"/>
    <w:rsid w:val="00703A7E"/>
    <w:rsid w:val="00703BB9"/>
    <w:rsid w:val="00703C81"/>
    <w:rsid w:val="00703D11"/>
    <w:rsid w:val="00703E6A"/>
    <w:rsid w:val="00703FE1"/>
    <w:rsid w:val="00704042"/>
    <w:rsid w:val="0070407B"/>
    <w:rsid w:val="007041D8"/>
    <w:rsid w:val="0070424A"/>
    <w:rsid w:val="00704426"/>
    <w:rsid w:val="00704464"/>
    <w:rsid w:val="007044CD"/>
    <w:rsid w:val="0070459A"/>
    <w:rsid w:val="00704623"/>
    <w:rsid w:val="00704B96"/>
    <w:rsid w:val="00704BD5"/>
    <w:rsid w:val="00705764"/>
    <w:rsid w:val="007057B0"/>
    <w:rsid w:val="00705AA9"/>
    <w:rsid w:val="00705B23"/>
    <w:rsid w:val="007065ED"/>
    <w:rsid w:val="007068BC"/>
    <w:rsid w:val="00706C0D"/>
    <w:rsid w:val="00707272"/>
    <w:rsid w:val="00707357"/>
    <w:rsid w:val="00707645"/>
    <w:rsid w:val="007078B5"/>
    <w:rsid w:val="00707AF0"/>
    <w:rsid w:val="00707BA6"/>
    <w:rsid w:val="00707F61"/>
    <w:rsid w:val="00707F6C"/>
    <w:rsid w:val="00710255"/>
    <w:rsid w:val="007102C2"/>
    <w:rsid w:val="007106BC"/>
    <w:rsid w:val="007107BF"/>
    <w:rsid w:val="0071084B"/>
    <w:rsid w:val="00710AF7"/>
    <w:rsid w:val="00710C8F"/>
    <w:rsid w:val="00711063"/>
    <w:rsid w:val="007112EB"/>
    <w:rsid w:val="007114E0"/>
    <w:rsid w:val="00711791"/>
    <w:rsid w:val="007118DB"/>
    <w:rsid w:val="00711942"/>
    <w:rsid w:val="00711A2E"/>
    <w:rsid w:val="00711A3F"/>
    <w:rsid w:val="00711BE2"/>
    <w:rsid w:val="00711C2D"/>
    <w:rsid w:val="00711DC4"/>
    <w:rsid w:val="00711E11"/>
    <w:rsid w:val="00711FC7"/>
    <w:rsid w:val="007121A1"/>
    <w:rsid w:val="007121A3"/>
    <w:rsid w:val="00712491"/>
    <w:rsid w:val="007124FE"/>
    <w:rsid w:val="00712644"/>
    <w:rsid w:val="00712906"/>
    <w:rsid w:val="00712DB8"/>
    <w:rsid w:val="00712E89"/>
    <w:rsid w:val="0071308D"/>
    <w:rsid w:val="007130D0"/>
    <w:rsid w:val="00713448"/>
    <w:rsid w:val="00713B9A"/>
    <w:rsid w:val="00713E05"/>
    <w:rsid w:val="00714134"/>
    <w:rsid w:val="00714527"/>
    <w:rsid w:val="00714CEA"/>
    <w:rsid w:val="00715098"/>
    <w:rsid w:val="007150CE"/>
    <w:rsid w:val="00715162"/>
    <w:rsid w:val="007151EA"/>
    <w:rsid w:val="00715223"/>
    <w:rsid w:val="00715876"/>
    <w:rsid w:val="00715BFB"/>
    <w:rsid w:val="007161FC"/>
    <w:rsid w:val="007162E6"/>
    <w:rsid w:val="0071650A"/>
    <w:rsid w:val="007168A8"/>
    <w:rsid w:val="00716ADA"/>
    <w:rsid w:val="00716C3F"/>
    <w:rsid w:val="00716D74"/>
    <w:rsid w:val="00716E8E"/>
    <w:rsid w:val="00716F4F"/>
    <w:rsid w:val="00716F9F"/>
    <w:rsid w:val="00717071"/>
    <w:rsid w:val="007170FE"/>
    <w:rsid w:val="00717460"/>
    <w:rsid w:val="00717786"/>
    <w:rsid w:val="007179EF"/>
    <w:rsid w:val="00717A42"/>
    <w:rsid w:val="00717B66"/>
    <w:rsid w:val="00717C57"/>
    <w:rsid w:val="00720033"/>
    <w:rsid w:val="007205FF"/>
    <w:rsid w:val="00720768"/>
    <w:rsid w:val="00720851"/>
    <w:rsid w:val="0072090F"/>
    <w:rsid w:val="00720966"/>
    <w:rsid w:val="00720CE9"/>
    <w:rsid w:val="00720DEA"/>
    <w:rsid w:val="00720EAD"/>
    <w:rsid w:val="00720FBB"/>
    <w:rsid w:val="00720FF8"/>
    <w:rsid w:val="007215D5"/>
    <w:rsid w:val="00721895"/>
    <w:rsid w:val="00721974"/>
    <w:rsid w:val="00721AFE"/>
    <w:rsid w:val="00721E9E"/>
    <w:rsid w:val="007221FD"/>
    <w:rsid w:val="0072265E"/>
    <w:rsid w:val="00722716"/>
    <w:rsid w:val="007229DC"/>
    <w:rsid w:val="00722B08"/>
    <w:rsid w:val="00722C51"/>
    <w:rsid w:val="00723066"/>
    <w:rsid w:val="0072308C"/>
    <w:rsid w:val="007232DC"/>
    <w:rsid w:val="0072348C"/>
    <w:rsid w:val="007234FB"/>
    <w:rsid w:val="00723748"/>
    <w:rsid w:val="00723852"/>
    <w:rsid w:val="00723A14"/>
    <w:rsid w:val="00723A59"/>
    <w:rsid w:val="00723E26"/>
    <w:rsid w:val="00723E29"/>
    <w:rsid w:val="00723FC3"/>
    <w:rsid w:val="00724194"/>
    <w:rsid w:val="00724414"/>
    <w:rsid w:val="00724556"/>
    <w:rsid w:val="00724E14"/>
    <w:rsid w:val="00725197"/>
    <w:rsid w:val="00725579"/>
    <w:rsid w:val="007257AA"/>
    <w:rsid w:val="007257FB"/>
    <w:rsid w:val="00725A2A"/>
    <w:rsid w:val="0072617C"/>
    <w:rsid w:val="0072626C"/>
    <w:rsid w:val="007263D8"/>
    <w:rsid w:val="0072651A"/>
    <w:rsid w:val="007267E7"/>
    <w:rsid w:val="00726BA4"/>
    <w:rsid w:val="00726BF1"/>
    <w:rsid w:val="00726C06"/>
    <w:rsid w:val="00726C6D"/>
    <w:rsid w:val="00726CA1"/>
    <w:rsid w:val="00726D25"/>
    <w:rsid w:val="00726E80"/>
    <w:rsid w:val="00726EC1"/>
    <w:rsid w:val="007271DC"/>
    <w:rsid w:val="00727243"/>
    <w:rsid w:val="007272F4"/>
    <w:rsid w:val="0072737D"/>
    <w:rsid w:val="00727520"/>
    <w:rsid w:val="00727EEC"/>
    <w:rsid w:val="0073029A"/>
    <w:rsid w:val="007302B1"/>
    <w:rsid w:val="00730779"/>
    <w:rsid w:val="0073099D"/>
    <w:rsid w:val="00730CE5"/>
    <w:rsid w:val="00730F27"/>
    <w:rsid w:val="00731172"/>
    <w:rsid w:val="0073123C"/>
    <w:rsid w:val="0073129A"/>
    <w:rsid w:val="00731334"/>
    <w:rsid w:val="0073183B"/>
    <w:rsid w:val="007319D0"/>
    <w:rsid w:val="00731D20"/>
    <w:rsid w:val="00731DB5"/>
    <w:rsid w:val="00731E9A"/>
    <w:rsid w:val="0073210E"/>
    <w:rsid w:val="00732365"/>
    <w:rsid w:val="007323A1"/>
    <w:rsid w:val="007327A1"/>
    <w:rsid w:val="00732A78"/>
    <w:rsid w:val="00732B65"/>
    <w:rsid w:val="00732BC7"/>
    <w:rsid w:val="00733094"/>
    <w:rsid w:val="00733191"/>
    <w:rsid w:val="007331A1"/>
    <w:rsid w:val="00733385"/>
    <w:rsid w:val="00733425"/>
    <w:rsid w:val="00733F3E"/>
    <w:rsid w:val="00734038"/>
    <w:rsid w:val="0073454A"/>
    <w:rsid w:val="00734850"/>
    <w:rsid w:val="00734C17"/>
    <w:rsid w:val="00734DD0"/>
    <w:rsid w:val="00734ED6"/>
    <w:rsid w:val="00734FAA"/>
    <w:rsid w:val="00735107"/>
    <w:rsid w:val="007354C3"/>
    <w:rsid w:val="007355A4"/>
    <w:rsid w:val="007359A6"/>
    <w:rsid w:val="00735A73"/>
    <w:rsid w:val="00735CF8"/>
    <w:rsid w:val="00735FE8"/>
    <w:rsid w:val="00736135"/>
    <w:rsid w:val="007363BA"/>
    <w:rsid w:val="0073664A"/>
    <w:rsid w:val="00736794"/>
    <w:rsid w:val="00736966"/>
    <w:rsid w:val="00736C3C"/>
    <w:rsid w:val="00736EF0"/>
    <w:rsid w:val="00736F5B"/>
    <w:rsid w:val="007370C1"/>
    <w:rsid w:val="0073710E"/>
    <w:rsid w:val="0073723E"/>
    <w:rsid w:val="007372C2"/>
    <w:rsid w:val="007378AE"/>
    <w:rsid w:val="00737989"/>
    <w:rsid w:val="00737AD2"/>
    <w:rsid w:val="00737BC7"/>
    <w:rsid w:val="00737D75"/>
    <w:rsid w:val="00737E7C"/>
    <w:rsid w:val="00737F41"/>
    <w:rsid w:val="0074036C"/>
    <w:rsid w:val="00740564"/>
    <w:rsid w:val="00740740"/>
    <w:rsid w:val="00740B7B"/>
    <w:rsid w:val="00740C37"/>
    <w:rsid w:val="00740D96"/>
    <w:rsid w:val="00740DD0"/>
    <w:rsid w:val="00740DFA"/>
    <w:rsid w:val="00740DFD"/>
    <w:rsid w:val="00740F4A"/>
    <w:rsid w:val="0074106C"/>
    <w:rsid w:val="0074127B"/>
    <w:rsid w:val="0074136B"/>
    <w:rsid w:val="00741598"/>
    <w:rsid w:val="007415C3"/>
    <w:rsid w:val="00741A80"/>
    <w:rsid w:val="00741AE3"/>
    <w:rsid w:val="00741CD6"/>
    <w:rsid w:val="0074202C"/>
    <w:rsid w:val="00742086"/>
    <w:rsid w:val="0074240A"/>
    <w:rsid w:val="0074251B"/>
    <w:rsid w:val="007426E2"/>
    <w:rsid w:val="00743049"/>
    <w:rsid w:val="00743567"/>
    <w:rsid w:val="007438F3"/>
    <w:rsid w:val="00743A98"/>
    <w:rsid w:val="00743E4F"/>
    <w:rsid w:val="00743EEC"/>
    <w:rsid w:val="00743EFE"/>
    <w:rsid w:val="00744013"/>
    <w:rsid w:val="0074474E"/>
    <w:rsid w:val="00744D0D"/>
    <w:rsid w:val="00744D5D"/>
    <w:rsid w:val="00744EE2"/>
    <w:rsid w:val="00744EE8"/>
    <w:rsid w:val="00744F70"/>
    <w:rsid w:val="007450AD"/>
    <w:rsid w:val="0074511C"/>
    <w:rsid w:val="0074518E"/>
    <w:rsid w:val="00745410"/>
    <w:rsid w:val="00745502"/>
    <w:rsid w:val="007455C5"/>
    <w:rsid w:val="007455FC"/>
    <w:rsid w:val="00745761"/>
    <w:rsid w:val="007457B0"/>
    <w:rsid w:val="007458DB"/>
    <w:rsid w:val="00745A18"/>
    <w:rsid w:val="00745A67"/>
    <w:rsid w:val="00745AC3"/>
    <w:rsid w:val="00745BA3"/>
    <w:rsid w:val="00745BB7"/>
    <w:rsid w:val="00745BDF"/>
    <w:rsid w:val="00745CEC"/>
    <w:rsid w:val="00745F28"/>
    <w:rsid w:val="0074627C"/>
    <w:rsid w:val="00746462"/>
    <w:rsid w:val="007464FA"/>
    <w:rsid w:val="00746662"/>
    <w:rsid w:val="0074667D"/>
    <w:rsid w:val="00746AE6"/>
    <w:rsid w:val="00746C31"/>
    <w:rsid w:val="007470E3"/>
    <w:rsid w:val="007474BE"/>
    <w:rsid w:val="00747820"/>
    <w:rsid w:val="0074792D"/>
    <w:rsid w:val="00747BA2"/>
    <w:rsid w:val="00747BE9"/>
    <w:rsid w:val="00747C06"/>
    <w:rsid w:val="00747DF7"/>
    <w:rsid w:val="00747E16"/>
    <w:rsid w:val="00747F40"/>
    <w:rsid w:val="00747FDD"/>
    <w:rsid w:val="00750018"/>
    <w:rsid w:val="0075022C"/>
    <w:rsid w:val="00750323"/>
    <w:rsid w:val="007504F1"/>
    <w:rsid w:val="00750672"/>
    <w:rsid w:val="007509B1"/>
    <w:rsid w:val="00750A29"/>
    <w:rsid w:val="00750C3B"/>
    <w:rsid w:val="00750EAD"/>
    <w:rsid w:val="00750FC8"/>
    <w:rsid w:val="0075111A"/>
    <w:rsid w:val="00751427"/>
    <w:rsid w:val="007514EB"/>
    <w:rsid w:val="0075161D"/>
    <w:rsid w:val="00751968"/>
    <w:rsid w:val="00751AA0"/>
    <w:rsid w:val="00751C38"/>
    <w:rsid w:val="00751C7E"/>
    <w:rsid w:val="00751CE5"/>
    <w:rsid w:val="00751DB7"/>
    <w:rsid w:val="00751E87"/>
    <w:rsid w:val="00751FB0"/>
    <w:rsid w:val="0075209E"/>
    <w:rsid w:val="007521DD"/>
    <w:rsid w:val="007522C0"/>
    <w:rsid w:val="00752336"/>
    <w:rsid w:val="007524F5"/>
    <w:rsid w:val="00752568"/>
    <w:rsid w:val="00752A6D"/>
    <w:rsid w:val="00752E6C"/>
    <w:rsid w:val="00752F82"/>
    <w:rsid w:val="00752FE8"/>
    <w:rsid w:val="007530F1"/>
    <w:rsid w:val="00753253"/>
    <w:rsid w:val="00753360"/>
    <w:rsid w:val="0075364E"/>
    <w:rsid w:val="0075369D"/>
    <w:rsid w:val="007538F1"/>
    <w:rsid w:val="00753AB2"/>
    <w:rsid w:val="00753BAF"/>
    <w:rsid w:val="00753BD2"/>
    <w:rsid w:val="00753C70"/>
    <w:rsid w:val="00753CA9"/>
    <w:rsid w:val="00753D97"/>
    <w:rsid w:val="007540F8"/>
    <w:rsid w:val="0075426A"/>
    <w:rsid w:val="00754688"/>
    <w:rsid w:val="0075486B"/>
    <w:rsid w:val="00754870"/>
    <w:rsid w:val="007548C8"/>
    <w:rsid w:val="007548F4"/>
    <w:rsid w:val="00754961"/>
    <w:rsid w:val="00754B78"/>
    <w:rsid w:val="00754D57"/>
    <w:rsid w:val="00754DF1"/>
    <w:rsid w:val="007553C2"/>
    <w:rsid w:val="00755451"/>
    <w:rsid w:val="00755474"/>
    <w:rsid w:val="00755824"/>
    <w:rsid w:val="00755A97"/>
    <w:rsid w:val="00755CAA"/>
    <w:rsid w:val="00755CC7"/>
    <w:rsid w:val="00755FD4"/>
    <w:rsid w:val="00756445"/>
    <w:rsid w:val="007564DE"/>
    <w:rsid w:val="007568D8"/>
    <w:rsid w:val="007569DB"/>
    <w:rsid w:val="00756F5A"/>
    <w:rsid w:val="007572B5"/>
    <w:rsid w:val="0075738F"/>
    <w:rsid w:val="00757393"/>
    <w:rsid w:val="00757395"/>
    <w:rsid w:val="0075756F"/>
    <w:rsid w:val="00757DAF"/>
    <w:rsid w:val="007600DB"/>
    <w:rsid w:val="00760239"/>
    <w:rsid w:val="00760334"/>
    <w:rsid w:val="00760431"/>
    <w:rsid w:val="0076057C"/>
    <w:rsid w:val="00760C8B"/>
    <w:rsid w:val="00760CD8"/>
    <w:rsid w:val="00760E7B"/>
    <w:rsid w:val="007612A9"/>
    <w:rsid w:val="007614D9"/>
    <w:rsid w:val="00761643"/>
    <w:rsid w:val="00761834"/>
    <w:rsid w:val="007618C7"/>
    <w:rsid w:val="007619AD"/>
    <w:rsid w:val="007620DC"/>
    <w:rsid w:val="00762388"/>
    <w:rsid w:val="007624E7"/>
    <w:rsid w:val="00762D49"/>
    <w:rsid w:val="00762FE0"/>
    <w:rsid w:val="0076303B"/>
    <w:rsid w:val="0076312F"/>
    <w:rsid w:val="00763193"/>
    <w:rsid w:val="00763674"/>
    <w:rsid w:val="00763784"/>
    <w:rsid w:val="00763ADE"/>
    <w:rsid w:val="00763AEB"/>
    <w:rsid w:val="00763FF1"/>
    <w:rsid w:val="007641B8"/>
    <w:rsid w:val="007643E7"/>
    <w:rsid w:val="00764660"/>
    <w:rsid w:val="007646A3"/>
    <w:rsid w:val="00764777"/>
    <w:rsid w:val="007648B8"/>
    <w:rsid w:val="00764A19"/>
    <w:rsid w:val="00764ADB"/>
    <w:rsid w:val="00764B6D"/>
    <w:rsid w:val="00764C20"/>
    <w:rsid w:val="00764C6B"/>
    <w:rsid w:val="00764FD9"/>
    <w:rsid w:val="00765031"/>
    <w:rsid w:val="00765176"/>
    <w:rsid w:val="007651C3"/>
    <w:rsid w:val="007653A4"/>
    <w:rsid w:val="00765507"/>
    <w:rsid w:val="007658AD"/>
    <w:rsid w:val="00765EA4"/>
    <w:rsid w:val="00765EE0"/>
    <w:rsid w:val="0076605D"/>
    <w:rsid w:val="00766531"/>
    <w:rsid w:val="00766618"/>
    <w:rsid w:val="00766A0D"/>
    <w:rsid w:val="00766AA9"/>
    <w:rsid w:val="00766C3E"/>
    <w:rsid w:val="00766C9F"/>
    <w:rsid w:val="00766CCD"/>
    <w:rsid w:val="00766D38"/>
    <w:rsid w:val="00767041"/>
    <w:rsid w:val="0076707B"/>
    <w:rsid w:val="00767249"/>
    <w:rsid w:val="0076726C"/>
    <w:rsid w:val="00767437"/>
    <w:rsid w:val="00767877"/>
    <w:rsid w:val="00767AF4"/>
    <w:rsid w:val="00767FEB"/>
    <w:rsid w:val="0077013C"/>
    <w:rsid w:val="007701AA"/>
    <w:rsid w:val="007704FB"/>
    <w:rsid w:val="00770579"/>
    <w:rsid w:val="007706B1"/>
    <w:rsid w:val="007706FD"/>
    <w:rsid w:val="0077086E"/>
    <w:rsid w:val="007708E7"/>
    <w:rsid w:val="00770A66"/>
    <w:rsid w:val="00770B65"/>
    <w:rsid w:val="00770C0D"/>
    <w:rsid w:val="00770C0F"/>
    <w:rsid w:val="00770D68"/>
    <w:rsid w:val="00770DC5"/>
    <w:rsid w:val="00770F06"/>
    <w:rsid w:val="00771058"/>
    <w:rsid w:val="007710B5"/>
    <w:rsid w:val="007711E7"/>
    <w:rsid w:val="00771364"/>
    <w:rsid w:val="0077148A"/>
    <w:rsid w:val="0077168C"/>
    <w:rsid w:val="00771B9A"/>
    <w:rsid w:val="00771E7E"/>
    <w:rsid w:val="00771FF8"/>
    <w:rsid w:val="00772076"/>
    <w:rsid w:val="0077215C"/>
    <w:rsid w:val="007721F2"/>
    <w:rsid w:val="00772322"/>
    <w:rsid w:val="0077238D"/>
    <w:rsid w:val="00772637"/>
    <w:rsid w:val="007727E9"/>
    <w:rsid w:val="00772CBB"/>
    <w:rsid w:val="00772D27"/>
    <w:rsid w:val="00772E72"/>
    <w:rsid w:val="00773376"/>
    <w:rsid w:val="007739C3"/>
    <w:rsid w:val="00773D56"/>
    <w:rsid w:val="00773EF6"/>
    <w:rsid w:val="00773EFF"/>
    <w:rsid w:val="0077428B"/>
    <w:rsid w:val="00774442"/>
    <w:rsid w:val="007744ED"/>
    <w:rsid w:val="007744F7"/>
    <w:rsid w:val="007747E9"/>
    <w:rsid w:val="0077480D"/>
    <w:rsid w:val="00774977"/>
    <w:rsid w:val="007749C8"/>
    <w:rsid w:val="00775024"/>
    <w:rsid w:val="00775245"/>
    <w:rsid w:val="00775294"/>
    <w:rsid w:val="00775493"/>
    <w:rsid w:val="00775B4B"/>
    <w:rsid w:val="00775B67"/>
    <w:rsid w:val="00775B9E"/>
    <w:rsid w:val="00775C50"/>
    <w:rsid w:val="00775DC5"/>
    <w:rsid w:val="00776116"/>
    <w:rsid w:val="007762D7"/>
    <w:rsid w:val="007763CE"/>
    <w:rsid w:val="007763DB"/>
    <w:rsid w:val="007764DE"/>
    <w:rsid w:val="00776517"/>
    <w:rsid w:val="00776615"/>
    <w:rsid w:val="007768D1"/>
    <w:rsid w:val="00776B49"/>
    <w:rsid w:val="00776E5C"/>
    <w:rsid w:val="00776E80"/>
    <w:rsid w:val="00776EED"/>
    <w:rsid w:val="0077719C"/>
    <w:rsid w:val="00777255"/>
    <w:rsid w:val="0077766D"/>
    <w:rsid w:val="007776B4"/>
    <w:rsid w:val="0077787B"/>
    <w:rsid w:val="00777B27"/>
    <w:rsid w:val="00777C7C"/>
    <w:rsid w:val="00777ECD"/>
    <w:rsid w:val="00777FED"/>
    <w:rsid w:val="007800C1"/>
    <w:rsid w:val="00780249"/>
    <w:rsid w:val="007804CB"/>
    <w:rsid w:val="007806FD"/>
    <w:rsid w:val="00780BE9"/>
    <w:rsid w:val="00780E8A"/>
    <w:rsid w:val="007814AB"/>
    <w:rsid w:val="007819C3"/>
    <w:rsid w:val="00781A06"/>
    <w:rsid w:val="00781B04"/>
    <w:rsid w:val="00781C5C"/>
    <w:rsid w:val="00781DAB"/>
    <w:rsid w:val="00781E5A"/>
    <w:rsid w:val="00781F9B"/>
    <w:rsid w:val="00782053"/>
    <w:rsid w:val="00782298"/>
    <w:rsid w:val="00782808"/>
    <w:rsid w:val="0078288C"/>
    <w:rsid w:val="007828D8"/>
    <w:rsid w:val="00782BD4"/>
    <w:rsid w:val="00782C33"/>
    <w:rsid w:val="00782C8F"/>
    <w:rsid w:val="00782ED5"/>
    <w:rsid w:val="007831F3"/>
    <w:rsid w:val="0078340D"/>
    <w:rsid w:val="007835E8"/>
    <w:rsid w:val="007837A5"/>
    <w:rsid w:val="0078387F"/>
    <w:rsid w:val="00783924"/>
    <w:rsid w:val="0078394C"/>
    <w:rsid w:val="007839A3"/>
    <w:rsid w:val="007839EB"/>
    <w:rsid w:val="00783E24"/>
    <w:rsid w:val="0078415C"/>
    <w:rsid w:val="00784876"/>
    <w:rsid w:val="00784D8D"/>
    <w:rsid w:val="00784DB3"/>
    <w:rsid w:val="00784E11"/>
    <w:rsid w:val="00784F2A"/>
    <w:rsid w:val="00784FBB"/>
    <w:rsid w:val="00784FFF"/>
    <w:rsid w:val="00785134"/>
    <w:rsid w:val="00785453"/>
    <w:rsid w:val="007858C6"/>
    <w:rsid w:val="0078594D"/>
    <w:rsid w:val="00785B4B"/>
    <w:rsid w:val="00785BBB"/>
    <w:rsid w:val="00785D5E"/>
    <w:rsid w:val="00785E74"/>
    <w:rsid w:val="00785F7B"/>
    <w:rsid w:val="00786330"/>
    <w:rsid w:val="007865E1"/>
    <w:rsid w:val="00786B44"/>
    <w:rsid w:val="00786D8A"/>
    <w:rsid w:val="00786FC3"/>
    <w:rsid w:val="00786FF5"/>
    <w:rsid w:val="007870A8"/>
    <w:rsid w:val="00787126"/>
    <w:rsid w:val="00787145"/>
    <w:rsid w:val="007871BD"/>
    <w:rsid w:val="00787333"/>
    <w:rsid w:val="007873D3"/>
    <w:rsid w:val="0078757A"/>
    <w:rsid w:val="00787A5D"/>
    <w:rsid w:val="00787ACF"/>
    <w:rsid w:val="00787B6E"/>
    <w:rsid w:val="00787C39"/>
    <w:rsid w:val="0079004D"/>
    <w:rsid w:val="0079026F"/>
    <w:rsid w:val="007902A3"/>
    <w:rsid w:val="007902A8"/>
    <w:rsid w:val="00790374"/>
    <w:rsid w:val="007905C1"/>
    <w:rsid w:val="00790CD2"/>
    <w:rsid w:val="00790F91"/>
    <w:rsid w:val="0079112A"/>
    <w:rsid w:val="007913AF"/>
    <w:rsid w:val="00791540"/>
    <w:rsid w:val="0079198C"/>
    <w:rsid w:val="007919C7"/>
    <w:rsid w:val="007919F9"/>
    <w:rsid w:val="00791A20"/>
    <w:rsid w:val="00791DA5"/>
    <w:rsid w:val="00791FC8"/>
    <w:rsid w:val="007921D3"/>
    <w:rsid w:val="00792361"/>
    <w:rsid w:val="00792497"/>
    <w:rsid w:val="00792506"/>
    <w:rsid w:val="007926F7"/>
    <w:rsid w:val="00792B92"/>
    <w:rsid w:val="00792CA4"/>
    <w:rsid w:val="00792D4A"/>
    <w:rsid w:val="00792DB0"/>
    <w:rsid w:val="00792EE6"/>
    <w:rsid w:val="00792EEC"/>
    <w:rsid w:val="0079301F"/>
    <w:rsid w:val="00793031"/>
    <w:rsid w:val="007936BD"/>
    <w:rsid w:val="00793823"/>
    <w:rsid w:val="00793963"/>
    <w:rsid w:val="00793C1D"/>
    <w:rsid w:val="00793CF1"/>
    <w:rsid w:val="00793DA3"/>
    <w:rsid w:val="007941E6"/>
    <w:rsid w:val="00794360"/>
    <w:rsid w:val="007943C9"/>
    <w:rsid w:val="007944CA"/>
    <w:rsid w:val="007946A1"/>
    <w:rsid w:val="00794833"/>
    <w:rsid w:val="007948B3"/>
    <w:rsid w:val="00794C6C"/>
    <w:rsid w:val="00794DE2"/>
    <w:rsid w:val="00794F81"/>
    <w:rsid w:val="00795361"/>
    <w:rsid w:val="0079568B"/>
    <w:rsid w:val="00795746"/>
    <w:rsid w:val="00795EC0"/>
    <w:rsid w:val="007961B8"/>
    <w:rsid w:val="0079647B"/>
    <w:rsid w:val="007969E0"/>
    <w:rsid w:val="00796AF1"/>
    <w:rsid w:val="0079709F"/>
    <w:rsid w:val="00797544"/>
    <w:rsid w:val="00797980"/>
    <w:rsid w:val="00797BD6"/>
    <w:rsid w:val="00797F1D"/>
    <w:rsid w:val="007A019F"/>
    <w:rsid w:val="007A0218"/>
    <w:rsid w:val="007A0241"/>
    <w:rsid w:val="007A0986"/>
    <w:rsid w:val="007A0AF9"/>
    <w:rsid w:val="007A0D36"/>
    <w:rsid w:val="007A0EA7"/>
    <w:rsid w:val="007A0FD0"/>
    <w:rsid w:val="007A1062"/>
    <w:rsid w:val="007A12F4"/>
    <w:rsid w:val="007A1546"/>
    <w:rsid w:val="007A16A8"/>
    <w:rsid w:val="007A2233"/>
    <w:rsid w:val="007A26FA"/>
    <w:rsid w:val="007A2B95"/>
    <w:rsid w:val="007A2BB0"/>
    <w:rsid w:val="007A2BBC"/>
    <w:rsid w:val="007A2C12"/>
    <w:rsid w:val="007A2D20"/>
    <w:rsid w:val="007A2EF0"/>
    <w:rsid w:val="007A3219"/>
    <w:rsid w:val="007A339E"/>
    <w:rsid w:val="007A3475"/>
    <w:rsid w:val="007A34DC"/>
    <w:rsid w:val="007A3591"/>
    <w:rsid w:val="007A35BB"/>
    <w:rsid w:val="007A366C"/>
    <w:rsid w:val="007A3774"/>
    <w:rsid w:val="007A3B35"/>
    <w:rsid w:val="007A3D43"/>
    <w:rsid w:val="007A4577"/>
    <w:rsid w:val="007A45AD"/>
    <w:rsid w:val="007A4742"/>
    <w:rsid w:val="007A48E9"/>
    <w:rsid w:val="007A4BD8"/>
    <w:rsid w:val="007A4C14"/>
    <w:rsid w:val="007A4C6E"/>
    <w:rsid w:val="007A51AF"/>
    <w:rsid w:val="007A52D7"/>
    <w:rsid w:val="007A5623"/>
    <w:rsid w:val="007A576A"/>
    <w:rsid w:val="007A59BA"/>
    <w:rsid w:val="007A5AEC"/>
    <w:rsid w:val="007A5DF8"/>
    <w:rsid w:val="007A5E90"/>
    <w:rsid w:val="007A5F03"/>
    <w:rsid w:val="007A5FA8"/>
    <w:rsid w:val="007A601B"/>
    <w:rsid w:val="007A6322"/>
    <w:rsid w:val="007A65B2"/>
    <w:rsid w:val="007A6621"/>
    <w:rsid w:val="007A6627"/>
    <w:rsid w:val="007A68BD"/>
    <w:rsid w:val="007A6908"/>
    <w:rsid w:val="007A6A05"/>
    <w:rsid w:val="007A6C30"/>
    <w:rsid w:val="007A6CD9"/>
    <w:rsid w:val="007A6E45"/>
    <w:rsid w:val="007A6EE3"/>
    <w:rsid w:val="007A7536"/>
    <w:rsid w:val="007A7A3C"/>
    <w:rsid w:val="007A7D75"/>
    <w:rsid w:val="007A7F31"/>
    <w:rsid w:val="007B041F"/>
    <w:rsid w:val="007B04E2"/>
    <w:rsid w:val="007B07B0"/>
    <w:rsid w:val="007B0AD5"/>
    <w:rsid w:val="007B0B62"/>
    <w:rsid w:val="007B0BFB"/>
    <w:rsid w:val="007B0E34"/>
    <w:rsid w:val="007B112A"/>
    <w:rsid w:val="007B12D0"/>
    <w:rsid w:val="007B12D7"/>
    <w:rsid w:val="007B1437"/>
    <w:rsid w:val="007B14A2"/>
    <w:rsid w:val="007B17A2"/>
    <w:rsid w:val="007B18FD"/>
    <w:rsid w:val="007B1947"/>
    <w:rsid w:val="007B19F4"/>
    <w:rsid w:val="007B1A08"/>
    <w:rsid w:val="007B1F34"/>
    <w:rsid w:val="007B227C"/>
    <w:rsid w:val="007B2433"/>
    <w:rsid w:val="007B2462"/>
    <w:rsid w:val="007B25E5"/>
    <w:rsid w:val="007B27A2"/>
    <w:rsid w:val="007B2ADC"/>
    <w:rsid w:val="007B2B87"/>
    <w:rsid w:val="007B2BEA"/>
    <w:rsid w:val="007B3049"/>
    <w:rsid w:val="007B3275"/>
    <w:rsid w:val="007B33F7"/>
    <w:rsid w:val="007B33FF"/>
    <w:rsid w:val="007B3863"/>
    <w:rsid w:val="007B3C3B"/>
    <w:rsid w:val="007B3F16"/>
    <w:rsid w:val="007B3F45"/>
    <w:rsid w:val="007B4235"/>
    <w:rsid w:val="007B427A"/>
    <w:rsid w:val="007B43ED"/>
    <w:rsid w:val="007B44F4"/>
    <w:rsid w:val="007B46E1"/>
    <w:rsid w:val="007B48F0"/>
    <w:rsid w:val="007B4A26"/>
    <w:rsid w:val="007B4CCB"/>
    <w:rsid w:val="007B4CE1"/>
    <w:rsid w:val="007B4E48"/>
    <w:rsid w:val="007B4E6F"/>
    <w:rsid w:val="007B522C"/>
    <w:rsid w:val="007B53A4"/>
    <w:rsid w:val="007B56E8"/>
    <w:rsid w:val="007B5B39"/>
    <w:rsid w:val="007B5CEF"/>
    <w:rsid w:val="007B60C9"/>
    <w:rsid w:val="007B6468"/>
    <w:rsid w:val="007B6751"/>
    <w:rsid w:val="007B683D"/>
    <w:rsid w:val="007B6963"/>
    <w:rsid w:val="007B6DBB"/>
    <w:rsid w:val="007B6E22"/>
    <w:rsid w:val="007B708A"/>
    <w:rsid w:val="007B7244"/>
    <w:rsid w:val="007B7590"/>
    <w:rsid w:val="007B75E7"/>
    <w:rsid w:val="007B7665"/>
    <w:rsid w:val="007B767C"/>
    <w:rsid w:val="007B776D"/>
    <w:rsid w:val="007B7A21"/>
    <w:rsid w:val="007B7A73"/>
    <w:rsid w:val="007B7AE0"/>
    <w:rsid w:val="007B7AF8"/>
    <w:rsid w:val="007B7CE6"/>
    <w:rsid w:val="007B7DD4"/>
    <w:rsid w:val="007B7F05"/>
    <w:rsid w:val="007C013E"/>
    <w:rsid w:val="007C04E2"/>
    <w:rsid w:val="007C0C91"/>
    <w:rsid w:val="007C0F97"/>
    <w:rsid w:val="007C10DC"/>
    <w:rsid w:val="007C1186"/>
    <w:rsid w:val="007C1190"/>
    <w:rsid w:val="007C12B0"/>
    <w:rsid w:val="007C13C9"/>
    <w:rsid w:val="007C1542"/>
    <w:rsid w:val="007C16B6"/>
    <w:rsid w:val="007C1BCA"/>
    <w:rsid w:val="007C1D2E"/>
    <w:rsid w:val="007C1E78"/>
    <w:rsid w:val="007C2035"/>
    <w:rsid w:val="007C20C2"/>
    <w:rsid w:val="007C23E5"/>
    <w:rsid w:val="007C2536"/>
    <w:rsid w:val="007C25B1"/>
    <w:rsid w:val="007C2630"/>
    <w:rsid w:val="007C2824"/>
    <w:rsid w:val="007C2918"/>
    <w:rsid w:val="007C2C99"/>
    <w:rsid w:val="007C2CD6"/>
    <w:rsid w:val="007C2FD1"/>
    <w:rsid w:val="007C3180"/>
    <w:rsid w:val="007C335A"/>
    <w:rsid w:val="007C35B9"/>
    <w:rsid w:val="007C37E5"/>
    <w:rsid w:val="007C3AB0"/>
    <w:rsid w:val="007C3B0C"/>
    <w:rsid w:val="007C3D01"/>
    <w:rsid w:val="007C3E46"/>
    <w:rsid w:val="007C3FE5"/>
    <w:rsid w:val="007C4176"/>
    <w:rsid w:val="007C4243"/>
    <w:rsid w:val="007C4482"/>
    <w:rsid w:val="007C44D3"/>
    <w:rsid w:val="007C4773"/>
    <w:rsid w:val="007C48EC"/>
    <w:rsid w:val="007C4D5B"/>
    <w:rsid w:val="007C507D"/>
    <w:rsid w:val="007C5174"/>
    <w:rsid w:val="007C522C"/>
    <w:rsid w:val="007C5234"/>
    <w:rsid w:val="007C5252"/>
    <w:rsid w:val="007C5576"/>
    <w:rsid w:val="007C561E"/>
    <w:rsid w:val="007C562C"/>
    <w:rsid w:val="007C6092"/>
    <w:rsid w:val="007C6212"/>
    <w:rsid w:val="007C6632"/>
    <w:rsid w:val="007C673D"/>
    <w:rsid w:val="007C69AA"/>
    <w:rsid w:val="007C69B2"/>
    <w:rsid w:val="007C6A67"/>
    <w:rsid w:val="007C6C82"/>
    <w:rsid w:val="007C717D"/>
    <w:rsid w:val="007C75C4"/>
    <w:rsid w:val="007C7630"/>
    <w:rsid w:val="007C7ABA"/>
    <w:rsid w:val="007C7B08"/>
    <w:rsid w:val="007C7B6B"/>
    <w:rsid w:val="007C7F7F"/>
    <w:rsid w:val="007D00F4"/>
    <w:rsid w:val="007D04C6"/>
    <w:rsid w:val="007D073C"/>
    <w:rsid w:val="007D0CD1"/>
    <w:rsid w:val="007D0CE5"/>
    <w:rsid w:val="007D0E0B"/>
    <w:rsid w:val="007D0F5C"/>
    <w:rsid w:val="007D1191"/>
    <w:rsid w:val="007D1219"/>
    <w:rsid w:val="007D1492"/>
    <w:rsid w:val="007D18C8"/>
    <w:rsid w:val="007D233E"/>
    <w:rsid w:val="007D23DF"/>
    <w:rsid w:val="007D2508"/>
    <w:rsid w:val="007D2700"/>
    <w:rsid w:val="007D3134"/>
    <w:rsid w:val="007D3639"/>
    <w:rsid w:val="007D387B"/>
    <w:rsid w:val="007D3A09"/>
    <w:rsid w:val="007D3A28"/>
    <w:rsid w:val="007D3B28"/>
    <w:rsid w:val="007D3BE4"/>
    <w:rsid w:val="007D3CE3"/>
    <w:rsid w:val="007D3F9C"/>
    <w:rsid w:val="007D4394"/>
    <w:rsid w:val="007D443D"/>
    <w:rsid w:val="007D45CD"/>
    <w:rsid w:val="007D48DE"/>
    <w:rsid w:val="007D4DCB"/>
    <w:rsid w:val="007D4E9B"/>
    <w:rsid w:val="007D5206"/>
    <w:rsid w:val="007D547B"/>
    <w:rsid w:val="007D5738"/>
    <w:rsid w:val="007D57E0"/>
    <w:rsid w:val="007D59CA"/>
    <w:rsid w:val="007D59DA"/>
    <w:rsid w:val="007D59FA"/>
    <w:rsid w:val="007D5C02"/>
    <w:rsid w:val="007D5C63"/>
    <w:rsid w:val="007D5CB3"/>
    <w:rsid w:val="007D5E77"/>
    <w:rsid w:val="007D61E7"/>
    <w:rsid w:val="007D64EF"/>
    <w:rsid w:val="007D679D"/>
    <w:rsid w:val="007D685B"/>
    <w:rsid w:val="007D6BCE"/>
    <w:rsid w:val="007D6C5B"/>
    <w:rsid w:val="007D72B9"/>
    <w:rsid w:val="007D739D"/>
    <w:rsid w:val="007D76F7"/>
    <w:rsid w:val="007D77B4"/>
    <w:rsid w:val="007D7817"/>
    <w:rsid w:val="007D78B8"/>
    <w:rsid w:val="007D7B59"/>
    <w:rsid w:val="007D7C95"/>
    <w:rsid w:val="007E01A5"/>
    <w:rsid w:val="007E07BF"/>
    <w:rsid w:val="007E0CE1"/>
    <w:rsid w:val="007E0F03"/>
    <w:rsid w:val="007E0FE1"/>
    <w:rsid w:val="007E1102"/>
    <w:rsid w:val="007E1464"/>
    <w:rsid w:val="007E1502"/>
    <w:rsid w:val="007E15E6"/>
    <w:rsid w:val="007E1684"/>
    <w:rsid w:val="007E17F5"/>
    <w:rsid w:val="007E1933"/>
    <w:rsid w:val="007E1AE1"/>
    <w:rsid w:val="007E1F37"/>
    <w:rsid w:val="007E1FF5"/>
    <w:rsid w:val="007E2192"/>
    <w:rsid w:val="007E25AF"/>
    <w:rsid w:val="007E2650"/>
    <w:rsid w:val="007E268E"/>
    <w:rsid w:val="007E2D9F"/>
    <w:rsid w:val="007E2DEE"/>
    <w:rsid w:val="007E2F24"/>
    <w:rsid w:val="007E30B9"/>
    <w:rsid w:val="007E32D8"/>
    <w:rsid w:val="007E3867"/>
    <w:rsid w:val="007E3AAA"/>
    <w:rsid w:val="007E3AC8"/>
    <w:rsid w:val="007E3BB5"/>
    <w:rsid w:val="007E3F28"/>
    <w:rsid w:val="007E4156"/>
    <w:rsid w:val="007E446D"/>
    <w:rsid w:val="007E44FC"/>
    <w:rsid w:val="007E46A0"/>
    <w:rsid w:val="007E46A2"/>
    <w:rsid w:val="007E47E8"/>
    <w:rsid w:val="007E494B"/>
    <w:rsid w:val="007E4974"/>
    <w:rsid w:val="007E4A13"/>
    <w:rsid w:val="007E4A77"/>
    <w:rsid w:val="007E4B36"/>
    <w:rsid w:val="007E4C21"/>
    <w:rsid w:val="007E50A7"/>
    <w:rsid w:val="007E5179"/>
    <w:rsid w:val="007E5495"/>
    <w:rsid w:val="007E56B2"/>
    <w:rsid w:val="007E5824"/>
    <w:rsid w:val="007E590D"/>
    <w:rsid w:val="007E5955"/>
    <w:rsid w:val="007E5AAC"/>
    <w:rsid w:val="007E5AFF"/>
    <w:rsid w:val="007E5D24"/>
    <w:rsid w:val="007E5D91"/>
    <w:rsid w:val="007E5E1C"/>
    <w:rsid w:val="007E60D4"/>
    <w:rsid w:val="007E6263"/>
    <w:rsid w:val="007E634B"/>
    <w:rsid w:val="007E646F"/>
    <w:rsid w:val="007E6645"/>
    <w:rsid w:val="007E6701"/>
    <w:rsid w:val="007E6982"/>
    <w:rsid w:val="007E699F"/>
    <w:rsid w:val="007E6B66"/>
    <w:rsid w:val="007E6C21"/>
    <w:rsid w:val="007E6D7E"/>
    <w:rsid w:val="007E6E21"/>
    <w:rsid w:val="007E6E71"/>
    <w:rsid w:val="007E700A"/>
    <w:rsid w:val="007E73FD"/>
    <w:rsid w:val="007E75DC"/>
    <w:rsid w:val="007E75F7"/>
    <w:rsid w:val="007E78C2"/>
    <w:rsid w:val="007E78E9"/>
    <w:rsid w:val="007E7B1F"/>
    <w:rsid w:val="007E7C80"/>
    <w:rsid w:val="007E7E59"/>
    <w:rsid w:val="007F0318"/>
    <w:rsid w:val="007F032C"/>
    <w:rsid w:val="007F0488"/>
    <w:rsid w:val="007F0511"/>
    <w:rsid w:val="007F073D"/>
    <w:rsid w:val="007F08A2"/>
    <w:rsid w:val="007F0E13"/>
    <w:rsid w:val="007F0E3F"/>
    <w:rsid w:val="007F1317"/>
    <w:rsid w:val="007F13ED"/>
    <w:rsid w:val="007F143E"/>
    <w:rsid w:val="007F15DB"/>
    <w:rsid w:val="007F1619"/>
    <w:rsid w:val="007F1C96"/>
    <w:rsid w:val="007F1CCD"/>
    <w:rsid w:val="007F1E45"/>
    <w:rsid w:val="007F1FB5"/>
    <w:rsid w:val="007F21C0"/>
    <w:rsid w:val="007F24E2"/>
    <w:rsid w:val="007F26BC"/>
    <w:rsid w:val="007F2732"/>
    <w:rsid w:val="007F28AE"/>
    <w:rsid w:val="007F2A1D"/>
    <w:rsid w:val="007F2A95"/>
    <w:rsid w:val="007F2C4F"/>
    <w:rsid w:val="007F2D20"/>
    <w:rsid w:val="007F3182"/>
    <w:rsid w:val="007F3374"/>
    <w:rsid w:val="007F34BE"/>
    <w:rsid w:val="007F38DE"/>
    <w:rsid w:val="007F3B4B"/>
    <w:rsid w:val="007F3F6F"/>
    <w:rsid w:val="007F3F7F"/>
    <w:rsid w:val="007F42AF"/>
    <w:rsid w:val="007F4352"/>
    <w:rsid w:val="007F43B8"/>
    <w:rsid w:val="007F4541"/>
    <w:rsid w:val="007F46C7"/>
    <w:rsid w:val="007F473B"/>
    <w:rsid w:val="007F4896"/>
    <w:rsid w:val="007F4D9C"/>
    <w:rsid w:val="007F50D1"/>
    <w:rsid w:val="007F521D"/>
    <w:rsid w:val="007F5225"/>
    <w:rsid w:val="007F5417"/>
    <w:rsid w:val="007F54B5"/>
    <w:rsid w:val="007F5563"/>
    <w:rsid w:val="007F56C3"/>
    <w:rsid w:val="007F581B"/>
    <w:rsid w:val="007F5858"/>
    <w:rsid w:val="007F5B79"/>
    <w:rsid w:val="007F6150"/>
    <w:rsid w:val="007F631C"/>
    <w:rsid w:val="007F6591"/>
    <w:rsid w:val="007F6870"/>
    <w:rsid w:val="007F6B4B"/>
    <w:rsid w:val="007F6B9C"/>
    <w:rsid w:val="007F6BC3"/>
    <w:rsid w:val="007F70E9"/>
    <w:rsid w:val="007F7337"/>
    <w:rsid w:val="007F7744"/>
    <w:rsid w:val="007F7BB8"/>
    <w:rsid w:val="007F7CE2"/>
    <w:rsid w:val="007F7DE3"/>
    <w:rsid w:val="007F7E13"/>
    <w:rsid w:val="00800233"/>
    <w:rsid w:val="008003BC"/>
    <w:rsid w:val="00800461"/>
    <w:rsid w:val="008005E1"/>
    <w:rsid w:val="008006C5"/>
    <w:rsid w:val="00800ADA"/>
    <w:rsid w:val="00800B81"/>
    <w:rsid w:val="00800B83"/>
    <w:rsid w:val="00800B99"/>
    <w:rsid w:val="00800D1A"/>
    <w:rsid w:val="00800DD0"/>
    <w:rsid w:val="00800E78"/>
    <w:rsid w:val="008012BA"/>
    <w:rsid w:val="00801308"/>
    <w:rsid w:val="00801434"/>
    <w:rsid w:val="008014D9"/>
    <w:rsid w:val="0080159C"/>
    <w:rsid w:val="00801770"/>
    <w:rsid w:val="008018D2"/>
    <w:rsid w:val="00801BED"/>
    <w:rsid w:val="00801CE4"/>
    <w:rsid w:val="00801E26"/>
    <w:rsid w:val="00801F17"/>
    <w:rsid w:val="00801F29"/>
    <w:rsid w:val="0080211B"/>
    <w:rsid w:val="0080218A"/>
    <w:rsid w:val="008022BB"/>
    <w:rsid w:val="00802630"/>
    <w:rsid w:val="0080271A"/>
    <w:rsid w:val="0080284D"/>
    <w:rsid w:val="0080291F"/>
    <w:rsid w:val="00802A6B"/>
    <w:rsid w:val="008030B6"/>
    <w:rsid w:val="008030F1"/>
    <w:rsid w:val="008031FB"/>
    <w:rsid w:val="008036FD"/>
    <w:rsid w:val="008037B7"/>
    <w:rsid w:val="00803C9F"/>
    <w:rsid w:val="00803ECA"/>
    <w:rsid w:val="008040AE"/>
    <w:rsid w:val="008048BC"/>
    <w:rsid w:val="00804BF8"/>
    <w:rsid w:val="00805665"/>
    <w:rsid w:val="00805728"/>
    <w:rsid w:val="00805AE2"/>
    <w:rsid w:val="00805E68"/>
    <w:rsid w:val="00805EAD"/>
    <w:rsid w:val="008060C8"/>
    <w:rsid w:val="008060DE"/>
    <w:rsid w:val="00806163"/>
    <w:rsid w:val="008062D5"/>
    <w:rsid w:val="008063C8"/>
    <w:rsid w:val="008066F9"/>
    <w:rsid w:val="00806926"/>
    <w:rsid w:val="00806B10"/>
    <w:rsid w:val="00806CB0"/>
    <w:rsid w:val="00806CE6"/>
    <w:rsid w:val="00806D45"/>
    <w:rsid w:val="00806DF3"/>
    <w:rsid w:val="00806E35"/>
    <w:rsid w:val="008076D4"/>
    <w:rsid w:val="0080774B"/>
    <w:rsid w:val="00807C39"/>
    <w:rsid w:val="00807F04"/>
    <w:rsid w:val="008106BC"/>
    <w:rsid w:val="00811141"/>
    <w:rsid w:val="008114F7"/>
    <w:rsid w:val="0081173F"/>
    <w:rsid w:val="008118C2"/>
    <w:rsid w:val="008118D8"/>
    <w:rsid w:val="00811979"/>
    <w:rsid w:val="00811AD2"/>
    <w:rsid w:val="00811B31"/>
    <w:rsid w:val="00811B41"/>
    <w:rsid w:val="00811C73"/>
    <w:rsid w:val="00811EF9"/>
    <w:rsid w:val="00812025"/>
    <w:rsid w:val="0081228C"/>
    <w:rsid w:val="008126B1"/>
    <w:rsid w:val="008128A6"/>
    <w:rsid w:val="00812BA5"/>
    <w:rsid w:val="00812BB2"/>
    <w:rsid w:val="00812F00"/>
    <w:rsid w:val="00812FDD"/>
    <w:rsid w:val="008132D0"/>
    <w:rsid w:val="00813323"/>
    <w:rsid w:val="00813354"/>
    <w:rsid w:val="00813576"/>
    <w:rsid w:val="00813811"/>
    <w:rsid w:val="00813829"/>
    <w:rsid w:val="00813E51"/>
    <w:rsid w:val="008141E2"/>
    <w:rsid w:val="0081443E"/>
    <w:rsid w:val="008144B6"/>
    <w:rsid w:val="0081464B"/>
    <w:rsid w:val="0081486F"/>
    <w:rsid w:val="008148FA"/>
    <w:rsid w:val="00814ACC"/>
    <w:rsid w:val="00814ADC"/>
    <w:rsid w:val="00814D88"/>
    <w:rsid w:val="00814EA1"/>
    <w:rsid w:val="00815531"/>
    <w:rsid w:val="0081556E"/>
    <w:rsid w:val="008156A9"/>
    <w:rsid w:val="0081587D"/>
    <w:rsid w:val="00815FE8"/>
    <w:rsid w:val="00816074"/>
    <w:rsid w:val="0081629B"/>
    <w:rsid w:val="00816340"/>
    <w:rsid w:val="00816341"/>
    <w:rsid w:val="008163E5"/>
    <w:rsid w:val="0081643A"/>
    <w:rsid w:val="0081644F"/>
    <w:rsid w:val="00816597"/>
    <w:rsid w:val="008166B5"/>
    <w:rsid w:val="00816A3F"/>
    <w:rsid w:val="00816C14"/>
    <w:rsid w:val="00816D41"/>
    <w:rsid w:val="00816DEF"/>
    <w:rsid w:val="00816F6D"/>
    <w:rsid w:val="00817357"/>
    <w:rsid w:val="00817456"/>
    <w:rsid w:val="0081746A"/>
    <w:rsid w:val="008174D4"/>
    <w:rsid w:val="008174E3"/>
    <w:rsid w:val="008177C0"/>
    <w:rsid w:val="008177D1"/>
    <w:rsid w:val="008179D6"/>
    <w:rsid w:val="00817CD3"/>
    <w:rsid w:val="00817E6E"/>
    <w:rsid w:val="00820008"/>
    <w:rsid w:val="00820080"/>
    <w:rsid w:val="0082012D"/>
    <w:rsid w:val="00820148"/>
    <w:rsid w:val="008201B9"/>
    <w:rsid w:val="0082020E"/>
    <w:rsid w:val="0082041E"/>
    <w:rsid w:val="008207BD"/>
    <w:rsid w:val="0082097D"/>
    <w:rsid w:val="00820B9D"/>
    <w:rsid w:val="00821459"/>
    <w:rsid w:val="0082165C"/>
    <w:rsid w:val="0082179D"/>
    <w:rsid w:val="008217CA"/>
    <w:rsid w:val="00821A08"/>
    <w:rsid w:val="00821BEC"/>
    <w:rsid w:val="00821D31"/>
    <w:rsid w:val="00821D81"/>
    <w:rsid w:val="00822006"/>
    <w:rsid w:val="0082200E"/>
    <w:rsid w:val="00822036"/>
    <w:rsid w:val="008220CE"/>
    <w:rsid w:val="0082250C"/>
    <w:rsid w:val="00822668"/>
    <w:rsid w:val="0082266D"/>
    <w:rsid w:val="008227BC"/>
    <w:rsid w:val="00822984"/>
    <w:rsid w:val="00822C08"/>
    <w:rsid w:val="00822D07"/>
    <w:rsid w:val="00822E9F"/>
    <w:rsid w:val="00823259"/>
    <w:rsid w:val="00823406"/>
    <w:rsid w:val="00823797"/>
    <w:rsid w:val="0082388C"/>
    <w:rsid w:val="00823937"/>
    <w:rsid w:val="00823947"/>
    <w:rsid w:val="00823E2E"/>
    <w:rsid w:val="00823FB2"/>
    <w:rsid w:val="00824271"/>
    <w:rsid w:val="0082456F"/>
    <w:rsid w:val="008245A5"/>
    <w:rsid w:val="008247F8"/>
    <w:rsid w:val="008249FF"/>
    <w:rsid w:val="00824D6C"/>
    <w:rsid w:val="00824F11"/>
    <w:rsid w:val="00824F40"/>
    <w:rsid w:val="0082530F"/>
    <w:rsid w:val="008253DD"/>
    <w:rsid w:val="008253EA"/>
    <w:rsid w:val="0082549E"/>
    <w:rsid w:val="00825826"/>
    <w:rsid w:val="00825B54"/>
    <w:rsid w:val="00825D07"/>
    <w:rsid w:val="00825FEA"/>
    <w:rsid w:val="00826685"/>
    <w:rsid w:val="00826A71"/>
    <w:rsid w:val="00826D86"/>
    <w:rsid w:val="00826E4C"/>
    <w:rsid w:val="00826EEC"/>
    <w:rsid w:val="00826EF0"/>
    <w:rsid w:val="00827009"/>
    <w:rsid w:val="00827718"/>
    <w:rsid w:val="00827AA8"/>
    <w:rsid w:val="00827AFB"/>
    <w:rsid w:val="00827E09"/>
    <w:rsid w:val="00827EA7"/>
    <w:rsid w:val="00827F27"/>
    <w:rsid w:val="00827F2D"/>
    <w:rsid w:val="0083018D"/>
    <w:rsid w:val="00830631"/>
    <w:rsid w:val="00830695"/>
    <w:rsid w:val="008307BF"/>
    <w:rsid w:val="00830872"/>
    <w:rsid w:val="00830939"/>
    <w:rsid w:val="00830B09"/>
    <w:rsid w:val="00830B93"/>
    <w:rsid w:val="00831471"/>
    <w:rsid w:val="00831722"/>
    <w:rsid w:val="008318E8"/>
    <w:rsid w:val="00831A5C"/>
    <w:rsid w:val="00831C03"/>
    <w:rsid w:val="00831C24"/>
    <w:rsid w:val="00831D38"/>
    <w:rsid w:val="00831D7A"/>
    <w:rsid w:val="008320F9"/>
    <w:rsid w:val="00832256"/>
    <w:rsid w:val="00832560"/>
    <w:rsid w:val="00832630"/>
    <w:rsid w:val="00832A7D"/>
    <w:rsid w:val="00832EAF"/>
    <w:rsid w:val="00832EB8"/>
    <w:rsid w:val="0083354E"/>
    <w:rsid w:val="00833AA8"/>
    <w:rsid w:val="00833CD4"/>
    <w:rsid w:val="00833D3D"/>
    <w:rsid w:val="00833EF5"/>
    <w:rsid w:val="00834078"/>
    <w:rsid w:val="00834229"/>
    <w:rsid w:val="008343A9"/>
    <w:rsid w:val="008343C4"/>
    <w:rsid w:val="008344B7"/>
    <w:rsid w:val="00834828"/>
    <w:rsid w:val="00834848"/>
    <w:rsid w:val="00834B09"/>
    <w:rsid w:val="00835332"/>
    <w:rsid w:val="008353BD"/>
    <w:rsid w:val="00835644"/>
    <w:rsid w:val="00835808"/>
    <w:rsid w:val="00835868"/>
    <w:rsid w:val="008358C3"/>
    <w:rsid w:val="00835998"/>
    <w:rsid w:val="00835F63"/>
    <w:rsid w:val="0083603A"/>
    <w:rsid w:val="008362E8"/>
    <w:rsid w:val="00836318"/>
    <w:rsid w:val="0083631E"/>
    <w:rsid w:val="0083646B"/>
    <w:rsid w:val="00836549"/>
    <w:rsid w:val="008365B9"/>
    <w:rsid w:val="008365E2"/>
    <w:rsid w:val="00836687"/>
    <w:rsid w:val="0083668E"/>
    <w:rsid w:val="008366F9"/>
    <w:rsid w:val="008368C4"/>
    <w:rsid w:val="008368DA"/>
    <w:rsid w:val="00836993"/>
    <w:rsid w:val="00836C24"/>
    <w:rsid w:val="00836C2E"/>
    <w:rsid w:val="0083705B"/>
    <w:rsid w:val="00837143"/>
    <w:rsid w:val="00837153"/>
    <w:rsid w:val="00837423"/>
    <w:rsid w:val="0083744E"/>
    <w:rsid w:val="008377E7"/>
    <w:rsid w:val="00837E2E"/>
    <w:rsid w:val="00837E7F"/>
    <w:rsid w:val="00837EF8"/>
    <w:rsid w:val="0084015A"/>
    <w:rsid w:val="00840232"/>
    <w:rsid w:val="008403DB"/>
    <w:rsid w:val="008404A0"/>
    <w:rsid w:val="008406D5"/>
    <w:rsid w:val="00840F3F"/>
    <w:rsid w:val="008410D1"/>
    <w:rsid w:val="008411E0"/>
    <w:rsid w:val="00841303"/>
    <w:rsid w:val="0084183E"/>
    <w:rsid w:val="00841910"/>
    <w:rsid w:val="00841966"/>
    <w:rsid w:val="008419E7"/>
    <w:rsid w:val="00841EA2"/>
    <w:rsid w:val="00841F20"/>
    <w:rsid w:val="00842491"/>
    <w:rsid w:val="00842495"/>
    <w:rsid w:val="00842A40"/>
    <w:rsid w:val="00842ADA"/>
    <w:rsid w:val="00842ADF"/>
    <w:rsid w:val="00842C88"/>
    <w:rsid w:val="00842CA6"/>
    <w:rsid w:val="008436B2"/>
    <w:rsid w:val="00843775"/>
    <w:rsid w:val="008439A7"/>
    <w:rsid w:val="00843BB5"/>
    <w:rsid w:val="00844748"/>
    <w:rsid w:val="00844B7F"/>
    <w:rsid w:val="00845206"/>
    <w:rsid w:val="008454CC"/>
    <w:rsid w:val="008455A8"/>
    <w:rsid w:val="008456B1"/>
    <w:rsid w:val="0084582D"/>
    <w:rsid w:val="008458F0"/>
    <w:rsid w:val="00845B9F"/>
    <w:rsid w:val="00845C07"/>
    <w:rsid w:val="00845E35"/>
    <w:rsid w:val="00845E59"/>
    <w:rsid w:val="00845FA2"/>
    <w:rsid w:val="0084610E"/>
    <w:rsid w:val="0084620C"/>
    <w:rsid w:val="008463E8"/>
    <w:rsid w:val="0084664B"/>
    <w:rsid w:val="008466FB"/>
    <w:rsid w:val="008467B4"/>
    <w:rsid w:val="008467F8"/>
    <w:rsid w:val="008467FF"/>
    <w:rsid w:val="008468F7"/>
    <w:rsid w:val="00846963"/>
    <w:rsid w:val="00846C81"/>
    <w:rsid w:val="00846D5C"/>
    <w:rsid w:val="00846FF5"/>
    <w:rsid w:val="00847073"/>
    <w:rsid w:val="008471A5"/>
    <w:rsid w:val="00847224"/>
    <w:rsid w:val="0084745C"/>
    <w:rsid w:val="00847460"/>
    <w:rsid w:val="0084746C"/>
    <w:rsid w:val="00847796"/>
    <w:rsid w:val="00847812"/>
    <w:rsid w:val="008479A7"/>
    <w:rsid w:val="00847A10"/>
    <w:rsid w:val="00847AD0"/>
    <w:rsid w:val="00847E9B"/>
    <w:rsid w:val="00847FA6"/>
    <w:rsid w:val="00850096"/>
    <w:rsid w:val="00850407"/>
    <w:rsid w:val="00850537"/>
    <w:rsid w:val="0085054F"/>
    <w:rsid w:val="008505AD"/>
    <w:rsid w:val="0085068A"/>
    <w:rsid w:val="00850AAB"/>
    <w:rsid w:val="00850C81"/>
    <w:rsid w:val="00850CEB"/>
    <w:rsid w:val="00850DD7"/>
    <w:rsid w:val="008510F1"/>
    <w:rsid w:val="00851186"/>
    <w:rsid w:val="0085127B"/>
    <w:rsid w:val="00851346"/>
    <w:rsid w:val="0085162D"/>
    <w:rsid w:val="00851836"/>
    <w:rsid w:val="0085185E"/>
    <w:rsid w:val="00851903"/>
    <w:rsid w:val="00851D30"/>
    <w:rsid w:val="00851DF6"/>
    <w:rsid w:val="00851E29"/>
    <w:rsid w:val="00852010"/>
    <w:rsid w:val="0085226E"/>
    <w:rsid w:val="008522D3"/>
    <w:rsid w:val="00852558"/>
    <w:rsid w:val="00852597"/>
    <w:rsid w:val="00852692"/>
    <w:rsid w:val="00852A09"/>
    <w:rsid w:val="00852B5C"/>
    <w:rsid w:val="00852C73"/>
    <w:rsid w:val="00852E08"/>
    <w:rsid w:val="0085311C"/>
    <w:rsid w:val="0085358C"/>
    <w:rsid w:val="008535CD"/>
    <w:rsid w:val="00853622"/>
    <w:rsid w:val="008539C9"/>
    <w:rsid w:val="00853A8E"/>
    <w:rsid w:val="00853C68"/>
    <w:rsid w:val="00853E38"/>
    <w:rsid w:val="00853F97"/>
    <w:rsid w:val="008542E1"/>
    <w:rsid w:val="008543C4"/>
    <w:rsid w:val="008546DF"/>
    <w:rsid w:val="00854797"/>
    <w:rsid w:val="008549B9"/>
    <w:rsid w:val="00854AF6"/>
    <w:rsid w:val="00854B02"/>
    <w:rsid w:val="00855149"/>
    <w:rsid w:val="00855825"/>
    <w:rsid w:val="008559C0"/>
    <w:rsid w:val="008559FB"/>
    <w:rsid w:val="00855C72"/>
    <w:rsid w:val="00855D3A"/>
    <w:rsid w:val="00855D5B"/>
    <w:rsid w:val="00855F08"/>
    <w:rsid w:val="00855F35"/>
    <w:rsid w:val="00855FDF"/>
    <w:rsid w:val="00856024"/>
    <w:rsid w:val="00856054"/>
    <w:rsid w:val="00856410"/>
    <w:rsid w:val="008564D0"/>
    <w:rsid w:val="0085686B"/>
    <w:rsid w:val="008569D3"/>
    <w:rsid w:val="00856A5D"/>
    <w:rsid w:val="00856CCB"/>
    <w:rsid w:val="00856EE8"/>
    <w:rsid w:val="00857385"/>
    <w:rsid w:val="008573E8"/>
    <w:rsid w:val="008575CB"/>
    <w:rsid w:val="008575EF"/>
    <w:rsid w:val="00857921"/>
    <w:rsid w:val="008579BD"/>
    <w:rsid w:val="00857AD4"/>
    <w:rsid w:val="00857B93"/>
    <w:rsid w:val="00857DE3"/>
    <w:rsid w:val="008601D5"/>
    <w:rsid w:val="008602D1"/>
    <w:rsid w:val="008602F6"/>
    <w:rsid w:val="008603F1"/>
    <w:rsid w:val="008604A3"/>
    <w:rsid w:val="008605EF"/>
    <w:rsid w:val="0086061F"/>
    <w:rsid w:val="0086068A"/>
    <w:rsid w:val="0086079F"/>
    <w:rsid w:val="00860CDF"/>
    <w:rsid w:val="00860F4F"/>
    <w:rsid w:val="00860F6C"/>
    <w:rsid w:val="00860F92"/>
    <w:rsid w:val="00861111"/>
    <w:rsid w:val="00861419"/>
    <w:rsid w:val="0086161A"/>
    <w:rsid w:val="0086165F"/>
    <w:rsid w:val="0086173C"/>
    <w:rsid w:val="00861774"/>
    <w:rsid w:val="00861AD3"/>
    <w:rsid w:val="00861BCB"/>
    <w:rsid w:val="00861BE7"/>
    <w:rsid w:val="00861C29"/>
    <w:rsid w:val="008622B3"/>
    <w:rsid w:val="008623E3"/>
    <w:rsid w:val="0086254C"/>
    <w:rsid w:val="0086266F"/>
    <w:rsid w:val="008627D2"/>
    <w:rsid w:val="00862A9A"/>
    <w:rsid w:val="00862BC1"/>
    <w:rsid w:val="00862BE1"/>
    <w:rsid w:val="00862C8F"/>
    <w:rsid w:val="00862C99"/>
    <w:rsid w:val="00862CF0"/>
    <w:rsid w:val="008630DF"/>
    <w:rsid w:val="008631A0"/>
    <w:rsid w:val="00863220"/>
    <w:rsid w:val="00863248"/>
    <w:rsid w:val="00863902"/>
    <w:rsid w:val="008639CA"/>
    <w:rsid w:val="00863A06"/>
    <w:rsid w:val="00863AAB"/>
    <w:rsid w:val="00863B93"/>
    <w:rsid w:val="00863EAD"/>
    <w:rsid w:val="00863F30"/>
    <w:rsid w:val="00863F5F"/>
    <w:rsid w:val="00864012"/>
    <w:rsid w:val="00864222"/>
    <w:rsid w:val="00864229"/>
    <w:rsid w:val="00864423"/>
    <w:rsid w:val="00864683"/>
    <w:rsid w:val="00864AE5"/>
    <w:rsid w:val="00864B07"/>
    <w:rsid w:val="00864EA9"/>
    <w:rsid w:val="008650FA"/>
    <w:rsid w:val="008652BB"/>
    <w:rsid w:val="008655EF"/>
    <w:rsid w:val="008659DD"/>
    <w:rsid w:val="00865BC0"/>
    <w:rsid w:val="00865F3C"/>
    <w:rsid w:val="008660ED"/>
    <w:rsid w:val="008667CB"/>
    <w:rsid w:val="00866940"/>
    <w:rsid w:val="00866A0C"/>
    <w:rsid w:val="00866F93"/>
    <w:rsid w:val="008672A1"/>
    <w:rsid w:val="008672D3"/>
    <w:rsid w:val="008673CC"/>
    <w:rsid w:val="008673EC"/>
    <w:rsid w:val="008674FC"/>
    <w:rsid w:val="00867685"/>
    <w:rsid w:val="008676F9"/>
    <w:rsid w:val="008677D1"/>
    <w:rsid w:val="00867899"/>
    <w:rsid w:val="0086791C"/>
    <w:rsid w:val="0086799B"/>
    <w:rsid w:val="00867D0B"/>
    <w:rsid w:val="00867D13"/>
    <w:rsid w:val="00867F3E"/>
    <w:rsid w:val="008701CB"/>
    <w:rsid w:val="008703AF"/>
    <w:rsid w:val="008703F8"/>
    <w:rsid w:val="008705A5"/>
    <w:rsid w:val="00870616"/>
    <w:rsid w:val="008708FF"/>
    <w:rsid w:val="00870F31"/>
    <w:rsid w:val="00871083"/>
    <w:rsid w:val="008712AA"/>
    <w:rsid w:val="00871339"/>
    <w:rsid w:val="008714B2"/>
    <w:rsid w:val="008715DA"/>
    <w:rsid w:val="008716D8"/>
    <w:rsid w:val="008717EB"/>
    <w:rsid w:val="00871C24"/>
    <w:rsid w:val="00871E0F"/>
    <w:rsid w:val="00871EB6"/>
    <w:rsid w:val="00871FE9"/>
    <w:rsid w:val="00872079"/>
    <w:rsid w:val="00872482"/>
    <w:rsid w:val="00872675"/>
    <w:rsid w:val="0087269C"/>
    <w:rsid w:val="0087299D"/>
    <w:rsid w:val="00872CA4"/>
    <w:rsid w:val="00872ED5"/>
    <w:rsid w:val="00873067"/>
    <w:rsid w:val="0087308A"/>
    <w:rsid w:val="008733AA"/>
    <w:rsid w:val="00873510"/>
    <w:rsid w:val="0087365F"/>
    <w:rsid w:val="008736E9"/>
    <w:rsid w:val="008738E6"/>
    <w:rsid w:val="00873986"/>
    <w:rsid w:val="00873A9B"/>
    <w:rsid w:val="00873BB3"/>
    <w:rsid w:val="00873D62"/>
    <w:rsid w:val="00873F8F"/>
    <w:rsid w:val="00874162"/>
    <w:rsid w:val="00874452"/>
    <w:rsid w:val="00874605"/>
    <w:rsid w:val="00874694"/>
    <w:rsid w:val="008748ED"/>
    <w:rsid w:val="00874A39"/>
    <w:rsid w:val="00874ACB"/>
    <w:rsid w:val="00874D1E"/>
    <w:rsid w:val="00874DAE"/>
    <w:rsid w:val="00874E46"/>
    <w:rsid w:val="008752B0"/>
    <w:rsid w:val="00875424"/>
    <w:rsid w:val="00875472"/>
    <w:rsid w:val="008757F8"/>
    <w:rsid w:val="0087581F"/>
    <w:rsid w:val="00875CAF"/>
    <w:rsid w:val="00875F4F"/>
    <w:rsid w:val="00876112"/>
    <w:rsid w:val="00876153"/>
    <w:rsid w:val="00876422"/>
    <w:rsid w:val="008764AD"/>
    <w:rsid w:val="008765F5"/>
    <w:rsid w:val="0087662B"/>
    <w:rsid w:val="0087664F"/>
    <w:rsid w:val="0087673E"/>
    <w:rsid w:val="008767D9"/>
    <w:rsid w:val="008768B7"/>
    <w:rsid w:val="00876A97"/>
    <w:rsid w:val="00876C50"/>
    <w:rsid w:val="00876D18"/>
    <w:rsid w:val="00876E58"/>
    <w:rsid w:val="00876F48"/>
    <w:rsid w:val="0087762B"/>
    <w:rsid w:val="00877AFC"/>
    <w:rsid w:val="00877CDB"/>
    <w:rsid w:val="00877EAB"/>
    <w:rsid w:val="00877F13"/>
    <w:rsid w:val="00880465"/>
    <w:rsid w:val="0088094B"/>
    <w:rsid w:val="00880CA9"/>
    <w:rsid w:val="00880D7D"/>
    <w:rsid w:val="00880E3B"/>
    <w:rsid w:val="00880E50"/>
    <w:rsid w:val="00880EA9"/>
    <w:rsid w:val="00880ED9"/>
    <w:rsid w:val="0088115E"/>
    <w:rsid w:val="008812C5"/>
    <w:rsid w:val="008813B7"/>
    <w:rsid w:val="008814B3"/>
    <w:rsid w:val="0088157F"/>
    <w:rsid w:val="008816B6"/>
    <w:rsid w:val="00881951"/>
    <w:rsid w:val="00881C20"/>
    <w:rsid w:val="00881D72"/>
    <w:rsid w:val="008821FA"/>
    <w:rsid w:val="0088268A"/>
    <w:rsid w:val="0088361C"/>
    <w:rsid w:val="00883A7D"/>
    <w:rsid w:val="00883B7F"/>
    <w:rsid w:val="00883C1D"/>
    <w:rsid w:val="00883D68"/>
    <w:rsid w:val="00883D98"/>
    <w:rsid w:val="00883F37"/>
    <w:rsid w:val="008840D8"/>
    <w:rsid w:val="0088411B"/>
    <w:rsid w:val="0088439D"/>
    <w:rsid w:val="0088462F"/>
    <w:rsid w:val="008846E5"/>
    <w:rsid w:val="008849DF"/>
    <w:rsid w:val="00885383"/>
    <w:rsid w:val="00885504"/>
    <w:rsid w:val="008856F3"/>
    <w:rsid w:val="0088579D"/>
    <w:rsid w:val="00885A7A"/>
    <w:rsid w:val="00885AAB"/>
    <w:rsid w:val="00885B2A"/>
    <w:rsid w:val="00885BCB"/>
    <w:rsid w:val="00886026"/>
    <w:rsid w:val="00886125"/>
    <w:rsid w:val="008862B2"/>
    <w:rsid w:val="00886428"/>
    <w:rsid w:val="00886596"/>
    <w:rsid w:val="008865F0"/>
    <w:rsid w:val="008868D0"/>
    <w:rsid w:val="00886A36"/>
    <w:rsid w:val="00886AD3"/>
    <w:rsid w:val="00886D45"/>
    <w:rsid w:val="00886E68"/>
    <w:rsid w:val="00886F7E"/>
    <w:rsid w:val="00886FAE"/>
    <w:rsid w:val="008871FE"/>
    <w:rsid w:val="00887208"/>
    <w:rsid w:val="008872E6"/>
    <w:rsid w:val="00887465"/>
    <w:rsid w:val="0088758C"/>
    <w:rsid w:val="00887711"/>
    <w:rsid w:val="00887754"/>
    <w:rsid w:val="00887B1A"/>
    <w:rsid w:val="00890037"/>
    <w:rsid w:val="008902DC"/>
    <w:rsid w:val="00890314"/>
    <w:rsid w:val="008906B5"/>
    <w:rsid w:val="00890734"/>
    <w:rsid w:val="008907B5"/>
    <w:rsid w:val="00890B50"/>
    <w:rsid w:val="00890DC6"/>
    <w:rsid w:val="00890FE0"/>
    <w:rsid w:val="008910A2"/>
    <w:rsid w:val="0089111A"/>
    <w:rsid w:val="00891300"/>
    <w:rsid w:val="00891954"/>
    <w:rsid w:val="00891D5E"/>
    <w:rsid w:val="00891F8D"/>
    <w:rsid w:val="0089219E"/>
    <w:rsid w:val="008922FB"/>
    <w:rsid w:val="00892632"/>
    <w:rsid w:val="00892780"/>
    <w:rsid w:val="0089300C"/>
    <w:rsid w:val="0089300F"/>
    <w:rsid w:val="00893012"/>
    <w:rsid w:val="00893027"/>
    <w:rsid w:val="008933F4"/>
    <w:rsid w:val="008934DC"/>
    <w:rsid w:val="00893522"/>
    <w:rsid w:val="00893576"/>
    <w:rsid w:val="008938CA"/>
    <w:rsid w:val="00893983"/>
    <w:rsid w:val="00893C3A"/>
    <w:rsid w:val="00893C3B"/>
    <w:rsid w:val="00893EF4"/>
    <w:rsid w:val="00893F58"/>
    <w:rsid w:val="008940D2"/>
    <w:rsid w:val="008940DB"/>
    <w:rsid w:val="008941A1"/>
    <w:rsid w:val="00894365"/>
    <w:rsid w:val="008946D6"/>
    <w:rsid w:val="008948AC"/>
    <w:rsid w:val="00894BB7"/>
    <w:rsid w:val="00894DCA"/>
    <w:rsid w:val="00894DEA"/>
    <w:rsid w:val="00894E04"/>
    <w:rsid w:val="00894E8B"/>
    <w:rsid w:val="008951A6"/>
    <w:rsid w:val="008952A9"/>
    <w:rsid w:val="0089542A"/>
    <w:rsid w:val="008954E0"/>
    <w:rsid w:val="00895507"/>
    <w:rsid w:val="008956F0"/>
    <w:rsid w:val="008957F0"/>
    <w:rsid w:val="00895A17"/>
    <w:rsid w:val="00895A5E"/>
    <w:rsid w:val="00895D2B"/>
    <w:rsid w:val="00895D4A"/>
    <w:rsid w:val="00896056"/>
    <w:rsid w:val="00896332"/>
    <w:rsid w:val="0089639A"/>
    <w:rsid w:val="008968E2"/>
    <w:rsid w:val="00896C81"/>
    <w:rsid w:val="00896F44"/>
    <w:rsid w:val="00896FF5"/>
    <w:rsid w:val="00896FFD"/>
    <w:rsid w:val="0089734A"/>
    <w:rsid w:val="008973D5"/>
    <w:rsid w:val="0089762B"/>
    <w:rsid w:val="008977D1"/>
    <w:rsid w:val="008978B8"/>
    <w:rsid w:val="00897970"/>
    <w:rsid w:val="00897B34"/>
    <w:rsid w:val="00897E88"/>
    <w:rsid w:val="00897FD0"/>
    <w:rsid w:val="008A010A"/>
    <w:rsid w:val="008A01D8"/>
    <w:rsid w:val="008A0212"/>
    <w:rsid w:val="008A0679"/>
    <w:rsid w:val="008A0835"/>
    <w:rsid w:val="008A088C"/>
    <w:rsid w:val="008A08CB"/>
    <w:rsid w:val="008A0A24"/>
    <w:rsid w:val="008A0AC7"/>
    <w:rsid w:val="008A0BED"/>
    <w:rsid w:val="008A0D71"/>
    <w:rsid w:val="008A0EEE"/>
    <w:rsid w:val="008A15AF"/>
    <w:rsid w:val="008A1AF1"/>
    <w:rsid w:val="008A1D2E"/>
    <w:rsid w:val="008A2421"/>
    <w:rsid w:val="008A2440"/>
    <w:rsid w:val="008A24D7"/>
    <w:rsid w:val="008A2504"/>
    <w:rsid w:val="008A27A6"/>
    <w:rsid w:val="008A2C04"/>
    <w:rsid w:val="008A36F7"/>
    <w:rsid w:val="008A3ACD"/>
    <w:rsid w:val="008A3D19"/>
    <w:rsid w:val="008A40CB"/>
    <w:rsid w:val="008A42FB"/>
    <w:rsid w:val="008A4401"/>
    <w:rsid w:val="008A4593"/>
    <w:rsid w:val="008A4840"/>
    <w:rsid w:val="008A4C71"/>
    <w:rsid w:val="008A4CA3"/>
    <w:rsid w:val="008A4D5D"/>
    <w:rsid w:val="008A50C6"/>
    <w:rsid w:val="008A5166"/>
    <w:rsid w:val="008A57E5"/>
    <w:rsid w:val="008A582A"/>
    <w:rsid w:val="008A5908"/>
    <w:rsid w:val="008A59AD"/>
    <w:rsid w:val="008A59FE"/>
    <w:rsid w:val="008A5A38"/>
    <w:rsid w:val="008A5C9E"/>
    <w:rsid w:val="008A5CBF"/>
    <w:rsid w:val="008A5FA3"/>
    <w:rsid w:val="008A62EE"/>
    <w:rsid w:val="008A67CD"/>
    <w:rsid w:val="008A6803"/>
    <w:rsid w:val="008A6851"/>
    <w:rsid w:val="008A6FC3"/>
    <w:rsid w:val="008A6FF6"/>
    <w:rsid w:val="008A7117"/>
    <w:rsid w:val="008A7153"/>
    <w:rsid w:val="008A7D09"/>
    <w:rsid w:val="008A7E35"/>
    <w:rsid w:val="008B0044"/>
    <w:rsid w:val="008B00AD"/>
    <w:rsid w:val="008B03DA"/>
    <w:rsid w:val="008B0B39"/>
    <w:rsid w:val="008B1234"/>
    <w:rsid w:val="008B13A9"/>
    <w:rsid w:val="008B148C"/>
    <w:rsid w:val="008B1922"/>
    <w:rsid w:val="008B1CCA"/>
    <w:rsid w:val="008B22F8"/>
    <w:rsid w:val="008B26D9"/>
    <w:rsid w:val="008B27CD"/>
    <w:rsid w:val="008B2893"/>
    <w:rsid w:val="008B2CAC"/>
    <w:rsid w:val="008B2CF0"/>
    <w:rsid w:val="008B2E8A"/>
    <w:rsid w:val="008B2FE1"/>
    <w:rsid w:val="008B3268"/>
    <w:rsid w:val="008B3376"/>
    <w:rsid w:val="008B36FE"/>
    <w:rsid w:val="008B386B"/>
    <w:rsid w:val="008B3BE1"/>
    <w:rsid w:val="008B3C44"/>
    <w:rsid w:val="008B3F43"/>
    <w:rsid w:val="008B40EF"/>
    <w:rsid w:val="008B41E5"/>
    <w:rsid w:val="008B4204"/>
    <w:rsid w:val="008B4300"/>
    <w:rsid w:val="008B4535"/>
    <w:rsid w:val="008B4690"/>
    <w:rsid w:val="008B4882"/>
    <w:rsid w:val="008B4913"/>
    <w:rsid w:val="008B4D6D"/>
    <w:rsid w:val="008B4E9C"/>
    <w:rsid w:val="008B4FD6"/>
    <w:rsid w:val="008B50BC"/>
    <w:rsid w:val="008B5446"/>
    <w:rsid w:val="008B5897"/>
    <w:rsid w:val="008B58A6"/>
    <w:rsid w:val="008B5C73"/>
    <w:rsid w:val="008B5D02"/>
    <w:rsid w:val="008B5D88"/>
    <w:rsid w:val="008B5FE2"/>
    <w:rsid w:val="008B61EF"/>
    <w:rsid w:val="008B6517"/>
    <w:rsid w:val="008B656B"/>
    <w:rsid w:val="008B6A79"/>
    <w:rsid w:val="008B6C1A"/>
    <w:rsid w:val="008B6D54"/>
    <w:rsid w:val="008B6DD2"/>
    <w:rsid w:val="008B6FAF"/>
    <w:rsid w:val="008B70C2"/>
    <w:rsid w:val="008B717A"/>
    <w:rsid w:val="008B7727"/>
    <w:rsid w:val="008B7898"/>
    <w:rsid w:val="008B7929"/>
    <w:rsid w:val="008B7A71"/>
    <w:rsid w:val="008B7D17"/>
    <w:rsid w:val="008C00C6"/>
    <w:rsid w:val="008C0229"/>
    <w:rsid w:val="008C05B6"/>
    <w:rsid w:val="008C0A57"/>
    <w:rsid w:val="008C0AA0"/>
    <w:rsid w:val="008C0D68"/>
    <w:rsid w:val="008C0EA5"/>
    <w:rsid w:val="008C0F91"/>
    <w:rsid w:val="008C13C6"/>
    <w:rsid w:val="008C1451"/>
    <w:rsid w:val="008C1466"/>
    <w:rsid w:val="008C16F4"/>
    <w:rsid w:val="008C1E78"/>
    <w:rsid w:val="008C1EEB"/>
    <w:rsid w:val="008C1FF0"/>
    <w:rsid w:val="008C22EA"/>
    <w:rsid w:val="008C24EB"/>
    <w:rsid w:val="008C251C"/>
    <w:rsid w:val="008C27B5"/>
    <w:rsid w:val="008C2874"/>
    <w:rsid w:val="008C2B55"/>
    <w:rsid w:val="008C2D39"/>
    <w:rsid w:val="008C2D6C"/>
    <w:rsid w:val="008C2DE4"/>
    <w:rsid w:val="008C2E3A"/>
    <w:rsid w:val="008C2E85"/>
    <w:rsid w:val="008C301D"/>
    <w:rsid w:val="008C30F8"/>
    <w:rsid w:val="008C317F"/>
    <w:rsid w:val="008C329D"/>
    <w:rsid w:val="008C333C"/>
    <w:rsid w:val="008C36AC"/>
    <w:rsid w:val="008C394F"/>
    <w:rsid w:val="008C3A62"/>
    <w:rsid w:val="008C3A75"/>
    <w:rsid w:val="008C3A7C"/>
    <w:rsid w:val="008C3B46"/>
    <w:rsid w:val="008C3C4B"/>
    <w:rsid w:val="008C40F2"/>
    <w:rsid w:val="008C42A8"/>
    <w:rsid w:val="008C42C7"/>
    <w:rsid w:val="008C42CA"/>
    <w:rsid w:val="008C4389"/>
    <w:rsid w:val="008C46D5"/>
    <w:rsid w:val="008C49CE"/>
    <w:rsid w:val="008C4E54"/>
    <w:rsid w:val="008C4FCF"/>
    <w:rsid w:val="008C50E8"/>
    <w:rsid w:val="008C5408"/>
    <w:rsid w:val="008C567C"/>
    <w:rsid w:val="008C57AC"/>
    <w:rsid w:val="008C5849"/>
    <w:rsid w:val="008C59B4"/>
    <w:rsid w:val="008C5CAB"/>
    <w:rsid w:val="008C5EE2"/>
    <w:rsid w:val="008C61E9"/>
    <w:rsid w:val="008C6292"/>
    <w:rsid w:val="008C65E3"/>
    <w:rsid w:val="008C65E8"/>
    <w:rsid w:val="008C6AFA"/>
    <w:rsid w:val="008C6B42"/>
    <w:rsid w:val="008C6C5E"/>
    <w:rsid w:val="008C6CBD"/>
    <w:rsid w:val="008C6DCF"/>
    <w:rsid w:val="008C6FEB"/>
    <w:rsid w:val="008C724C"/>
    <w:rsid w:val="008C727E"/>
    <w:rsid w:val="008C72A3"/>
    <w:rsid w:val="008C74F6"/>
    <w:rsid w:val="008C75F8"/>
    <w:rsid w:val="008C763F"/>
    <w:rsid w:val="008C7731"/>
    <w:rsid w:val="008C79EC"/>
    <w:rsid w:val="008C7AC9"/>
    <w:rsid w:val="008C7B03"/>
    <w:rsid w:val="008C7BB6"/>
    <w:rsid w:val="008C7C51"/>
    <w:rsid w:val="008C7D16"/>
    <w:rsid w:val="008C7DE5"/>
    <w:rsid w:val="008C7E81"/>
    <w:rsid w:val="008C7EE4"/>
    <w:rsid w:val="008C7F1F"/>
    <w:rsid w:val="008D0053"/>
    <w:rsid w:val="008D0741"/>
    <w:rsid w:val="008D0A4D"/>
    <w:rsid w:val="008D0B33"/>
    <w:rsid w:val="008D0DB5"/>
    <w:rsid w:val="008D107C"/>
    <w:rsid w:val="008D115A"/>
    <w:rsid w:val="008D118B"/>
    <w:rsid w:val="008D12C6"/>
    <w:rsid w:val="008D1319"/>
    <w:rsid w:val="008D13B8"/>
    <w:rsid w:val="008D144B"/>
    <w:rsid w:val="008D1610"/>
    <w:rsid w:val="008D1696"/>
    <w:rsid w:val="008D1917"/>
    <w:rsid w:val="008D1C68"/>
    <w:rsid w:val="008D1E76"/>
    <w:rsid w:val="008D1F2D"/>
    <w:rsid w:val="008D2002"/>
    <w:rsid w:val="008D215E"/>
    <w:rsid w:val="008D2183"/>
    <w:rsid w:val="008D2237"/>
    <w:rsid w:val="008D23E9"/>
    <w:rsid w:val="008D28D6"/>
    <w:rsid w:val="008D2C37"/>
    <w:rsid w:val="008D3135"/>
    <w:rsid w:val="008D32A1"/>
    <w:rsid w:val="008D3568"/>
    <w:rsid w:val="008D356E"/>
    <w:rsid w:val="008D381D"/>
    <w:rsid w:val="008D3B2C"/>
    <w:rsid w:val="008D3BD8"/>
    <w:rsid w:val="008D3C40"/>
    <w:rsid w:val="008D3ED0"/>
    <w:rsid w:val="008D4264"/>
    <w:rsid w:val="008D47EE"/>
    <w:rsid w:val="008D49B6"/>
    <w:rsid w:val="008D4A32"/>
    <w:rsid w:val="008D4B97"/>
    <w:rsid w:val="008D4FBD"/>
    <w:rsid w:val="008D4FD3"/>
    <w:rsid w:val="008D4FF8"/>
    <w:rsid w:val="008D5495"/>
    <w:rsid w:val="008D5690"/>
    <w:rsid w:val="008D56DC"/>
    <w:rsid w:val="008D5987"/>
    <w:rsid w:val="008D5E80"/>
    <w:rsid w:val="008D5EB8"/>
    <w:rsid w:val="008D5EF7"/>
    <w:rsid w:val="008D626C"/>
    <w:rsid w:val="008D6F03"/>
    <w:rsid w:val="008D76E9"/>
    <w:rsid w:val="008D76F1"/>
    <w:rsid w:val="008D7931"/>
    <w:rsid w:val="008D7A61"/>
    <w:rsid w:val="008D7B56"/>
    <w:rsid w:val="008D7C40"/>
    <w:rsid w:val="008D7C68"/>
    <w:rsid w:val="008D7E43"/>
    <w:rsid w:val="008D7F95"/>
    <w:rsid w:val="008E0352"/>
    <w:rsid w:val="008E03DA"/>
    <w:rsid w:val="008E07B4"/>
    <w:rsid w:val="008E0B35"/>
    <w:rsid w:val="008E0C17"/>
    <w:rsid w:val="008E10EA"/>
    <w:rsid w:val="008E1274"/>
    <w:rsid w:val="008E137F"/>
    <w:rsid w:val="008E18F2"/>
    <w:rsid w:val="008E1B6B"/>
    <w:rsid w:val="008E1D46"/>
    <w:rsid w:val="008E1F77"/>
    <w:rsid w:val="008E20C6"/>
    <w:rsid w:val="008E24AD"/>
    <w:rsid w:val="008E26ED"/>
    <w:rsid w:val="008E29D8"/>
    <w:rsid w:val="008E2D2D"/>
    <w:rsid w:val="008E2E3D"/>
    <w:rsid w:val="008E30AE"/>
    <w:rsid w:val="008E30F3"/>
    <w:rsid w:val="008E3313"/>
    <w:rsid w:val="008E36AB"/>
    <w:rsid w:val="008E3720"/>
    <w:rsid w:val="008E392A"/>
    <w:rsid w:val="008E394B"/>
    <w:rsid w:val="008E39C8"/>
    <w:rsid w:val="008E3A0D"/>
    <w:rsid w:val="008E3C5E"/>
    <w:rsid w:val="008E3D4A"/>
    <w:rsid w:val="008E3FDE"/>
    <w:rsid w:val="008E43A2"/>
    <w:rsid w:val="008E4469"/>
    <w:rsid w:val="008E4579"/>
    <w:rsid w:val="008E45E3"/>
    <w:rsid w:val="008E4784"/>
    <w:rsid w:val="008E48AD"/>
    <w:rsid w:val="008E4EAA"/>
    <w:rsid w:val="008E4FD5"/>
    <w:rsid w:val="008E5148"/>
    <w:rsid w:val="008E51FF"/>
    <w:rsid w:val="008E5445"/>
    <w:rsid w:val="008E5509"/>
    <w:rsid w:val="008E57F8"/>
    <w:rsid w:val="008E5870"/>
    <w:rsid w:val="008E5FDF"/>
    <w:rsid w:val="008E60AC"/>
    <w:rsid w:val="008E6189"/>
    <w:rsid w:val="008E62CB"/>
    <w:rsid w:val="008E6310"/>
    <w:rsid w:val="008E67E8"/>
    <w:rsid w:val="008E6918"/>
    <w:rsid w:val="008E6B3E"/>
    <w:rsid w:val="008E6F32"/>
    <w:rsid w:val="008E6F4E"/>
    <w:rsid w:val="008E7012"/>
    <w:rsid w:val="008E7158"/>
    <w:rsid w:val="008E73BF"/>
    <w:rsid w:val="008E74E3"/>
    <w:rsid w:val="008E7854"/>
    <w:rsid w:val="008E78AE"/>
    <w:rsid w:val="008E7A30"/>
    <w:rsid w:val="008E7BEF"/>
    <w:rsid w:val="008F0165"/>
    <w:rsid w:val="008F0186"/>
    <w:rsid w:val="008F01C6"/>
    <w:rsid w:val="008F022E"/>
    <w:rsid w:val="008F02E0"/>
    <w:rsid w:val="008F0709"/>
    <w:rsid w:val="008F0767"/>
    <w:rsid w:val="008F0804"/>
    <w:rsid w:val="008F0AF3"/>
    <w:rsid w:val="008F0B64"/>
    <w:rsid w:val="008F0E50"/>
    <w:rsid w:val="008F0EB6"/>
    <w:rsid w:val="008F1044"/>
    <w:rsid w:val="008F10EB"/>
    <w:rsid w:val="008F11EB"/>
    <w:rsid w:val="008F1263"/>
    <w:rsid w:val="008F129A"/>
    <w:rsid w:val="008F13B3"/>
    <w:rsid w:val="008F13B6"/>
    <w:rsid w:val="008F186E"/>
    <w:rsid w:val="008F18B9"/>
    <w:rsid w:val="008F1A6E"/>
    <w:rsid w:val="008F1BC6"/>
    <w:rsid w:val="008F1F17"/>
    <w:rsid w:val="008F2117"/>
    <w:rsid w:val="008F212F"/>
    <w:rsid w:val="008F23E2"/>
    <w:rsid w:val="008F251D"/>
    <w:rsid w:val="008F283F"/>
    <w:rsid w:val="008F29C4"/>
    <w:rsid w:val="008F2CB3"/>
    <w:rsid w:val="008F2E7B"/>
    <w:rsid w:val="008F30C3"/>
    <w:rsid w:val="008F3127"/>
    <w:rsid w:val="008F319E"/>
    <w:rsid w:val="008F32CA"/>
    <w:rsid w:val="008F3607"/>
    <w:rsid w:val="008F367B"/>
    <w:rsid w:val="008F38F4"/>
    <w:rsid w:val="008F3B6C"/>
    <w:rsid w:val="008F3E52"/>
    <w:rsid w:val="008F419A"/>
    <w:rsid w:val="008F41D3"/>
    <w:rsid w:val="008F43B0"/>
    <w:rsid w:val="008F4636"/>
    <w:rsid w:val="008F48FE"/>
    <w:rsid w:val="008F4D5C"/>
    <w:rsid w:val="008F4DD0"/>
    <w:rsid w:val="008F53DD"/>
    <w:rsid w:val="008F5846"/>
    <w:rsid w:val="008F5AD8"/>
    <w:rsid w:val="008F5B47"/>
    <w:rsid w:val="008F5E7C"/>
    <w:rsid w:val="008F6098"/>
    <w:rsid w:val="008F6104"/>
    <w:rsid w:val="008F6110"/>
    <w:rsid w:val="008F6217"/>
    <w:rsid w:val="008F621C"/>
    <w:rsid w:val="008F65A8"/>
    <w:rsid w:val="008F6A0D"/>
    <w:rsid w:val="008F6BAC"/>
    <w:rsid w:val="008F6CB0"/>
    <w:rsid w:val="008F6FF4"/>
    <w:rsid w:val="008F701A"/>
    <w:rsid w:val="008F7211"/>
    <w:rsid w:val="008F7246"/>
    <w:rsid w:val="008F7B1C"/>
    <w:rsid w:val="00900049"/>
    <w:rsid w:val="009000CB"/>
    <w:rsid w:val="009000E4"/>
    <w:rsid w:val="00900142"/>
    <w:rsid w:val="00900753"/>
    <w:rsid w:val="0090093A"/>
    <w:rsid w:val="00900D12"/>
    <w:rsid w:val="00900F59"/>
    <w:rsid w:val="0090135C"/>
    <w:rsid w:val="00901545"/>
    <w:rsid w:val="00901553"/>
    <w:rsid w:val="009015DB"/>
    <w:rsid w:val="0090162A"/>
    <w:rsid w:val="00901684"/>
    <w:rsid w:val="009016AD"/>
    <w:rsid w:val="009017C3"/>
    <w:rsid w:val="009017C6"/>
    <w:rsid w:val="00901A0C"/>
    <w:rsid w:val="00901AD3"/>
    <w:rsid w:val="00901C72"/>
    <w:rsid w:val="00901D76"/>
    <w:rsid w:val="00901FCE"/>
    <w:rsid w:val="0090268D"/>
    <w:rsid w:val="009026FA"/>
    <w:rsid w:val="009027D0"/>
    <w:rsid w:val="00902BCE"/>
    <w:rsid w:val="00902E0F"/>
    <w:rsid w:val="00902F96"/>
    <w:rsid w:val="00903268"/>
    <w:rsid w:val="0090338A"/>
    <w:rsid w:val="0090351E"/>
    <w:rsid w:val="0090395B"/>
    <w:rsid w:val="00903C6F"/>
    <w:rsid w:val="00903CB8"/>
    <w:rsid w:val="00903D7E"/>
    <w:rsid w:val="009046E2"/>
    <w:rsid w:val="0090471D"/>
    <w:rsid w:val="009047C0"/>
    <w:rsid w:val="0090486C"/>
    <w:rsid w:val="009048A1"/>
    <w:rsid w:val="00904A12"/>
    <w:rsid w:val="00904BE0"/>
    <w:rsid w:val="00904BEF"/>
    <w:rsid w:val="00904E81"/>
    <w:rsid w:val="00905009"/>
    <w:rsid w:val="0090509C"/>
    <w:rsid w:val="00905161"/>
    <w:rsid w:val="009051E2"/>
    <w:rsid w:val="0090521D"/>
    <w:rsid w:val="00905263"/>
    <w:rsid w:val="009053E6"/>
    <w:rsid w:val="009054D3"/>
    <w:rsid w:val="00905B76"/>
    <w:rsid w:val="00905ED8"/>
    <w:rsid w:val="00906553"/>
    <w:rsid w:val="00906559"/>
    <w:rsid w:val="009068FE"/>
    <w:rsid w:val="0090691C"/>
    <w:rsid w:val="00906B2C"/>
    <w:rsid w:val="00906F2D"/>
    <w:rsid w:val="00906F73"/>
    <w:rsid w:val="00907051"/>
    <w:rsid w:val="00907079"/>
    <w:rsid w:val="00907350"/>
    <w:rsid w:val="009075D1"/>
    <w:rsid w:val="009075FD"/>
    <w:rsid w:val="009076A0"/>
    <w:rsid w:val="009076C5"/>
    <w:rsid w:val="009079AB"/>
    <w:rsid w:val="00907D85"/>
    <w:rsid w:val="00907D9A"/>
    <w:rsid w:val="009101DF"/>
    <w:rsid w:val="0091060C"/>
    <w:rsid w:val="0091080E"/>
    <w:rsid w:val="00910A00"/>
    <w:rsid w:val="00910B4D"/>
    <w:rsid w:val="00910CE4"/>
    <w:rsid w:val="00910F87"/>
    <w:rsid w:val="009110CB"/>
    <w:rsid w:val="00911B14"/>
    <w:rsid w:val="00911DB1"/>
    <w:rsid w:val="00911DE0"/>
    <w:rsid w:val="0091227E"/>
    <w:rsid w:val="009124CD"/>
    <w:rsid w:val="00912547"/>
    <w:rsid w:val="00912818"/>
    <w:rsid w:val="0091286B"/>
    <w:rsid w:val="00912A1B"/>
    <w:rsid w:val="00912C2A"/>
    <w:rsid w:val="00912CD9"/>
    <w:rsid w:val="00912D84"/>
    <w:rsid w:val="00912ED9"/>
    <w:rsid w:val="0091326D"/>
    <w:rsid w:val="00913302"/>
    <w:rsid w:val="00913423"/>
    <w:rsid w:val="009136E5"/>
    <w:rsid w:val="00913E5E"/>
    <w:rsid w:val="00913EA0"/>
    <w:rsid w:val="00913F65"/>
    <w:rsid w:val="0091404D"/>
    <w:rsid w:val="0091413D"/>
    <w:rsid w:val="00914152"/>
    <w:rsid w:val="00914185"/>
    <w:rsid w:val="00914267"/>
    <w:rsid w:val="00914700"/>
    <w:rsid w:val="00914A8A"/>
    <w:rsid w:val="00914AB2"/>
    <w:rsid w:val="00914C86"/>
    <w:rsid w:val="00914F6C"/>
    <w:rsid w:val="0091520C"/>
    <w:rsid w:val="0091542C"/>
    <w:rsid w:val="0091545E"/>
    <w:rsid w:val="00915474"/>
    <w:rsid w:val="009154FA"/>
    <w:rsid w:val="00915572"/>
    <w:rsid w:val="0091578D"/>
    <w:rsid w:val="00915916"/>
    <w:rsid w:val="00915925"/>
    <w:rsid w:val="00915960"/>
    <w:rsid w:val="00915A9E"/>
    <w:rsid w:val="00915C01"/>
    <w:rsid w:val="00915DAA"/>
    <w:rsid w:val="009161FC"/>
    <w:rsid w:val="009164D7"/>
    <w:rsid w:val="00916730"/>
    <w:rsid w:val="0091675A"/>
    <w:rsid w:val="0091685F"/>
    <w:rsid w:val="00916CC5"/>
    <w:rsid w:val="00916E65"/>
    <w:rsid w:val="009174D1"/>
    <w:rsid w:val="00917A9F"/>
    <w:rsid w:val="00917C60"/>
    <w:rsid w:val="00917F2B"/>
    <w:rsid w:val="00920082"/>
    <w:rsid w:val="009201F6"/>
    <w:rsid w:val="00920364"/>
    <w:rsid w:val="0092080E"/>
    <w:rsid w:val="00920B86"/>
    <w:rsid w:val="00920C08"/>
    <w:rsid w:val="00920D1C"/>
    <w:rsid w:val="00920D51"/>
    <w:rsid w:val="009211A9"/>
    <w:rsid w:val="009212F5"/>
    <w:rsid w:val="00921347"/>
    <w:rsid w:val="009213B7"/>
    <w:rsid w:val="009215A6"/>
    <w:rsid w:val="0092199E"/>
    <w:rsid w:val="009219D0"/>
    <w:rsid w:val="00921B8A"/>
    <w:rsid w:val="00921C76"/>
    <w:rsid w:val="0092207D"/>
    <w:rsid w:val="00922175"/>
    <w:rsid w:val="00922199"/>
    <w:rsid w:val="009221C4"/>
    <w:rsid w:val="009223A2"/>
    <w:rsid w:val="00922428"/>
    <w:rsid w:val="00922441"/>
    <w:rsid w:val="00922534"/>
    <w:rsid w:val="00922536"/>
    <w:rsid w:val="009225F6"/>
    <w:rsid w:val="00922C88"/>
    <w:rsid w:val="00922D37"/>
    <w:rsid w:val="009230B7"/>
    <w:rsid w:val="0092326E"/>
    <w:rsid w:val="00923364"/>
    <w:rsid w:val="0092341F"/>
    <w:rsid w:val="009242EF"/>
    <w:rsid w:val="009243FA"/>
    <w:rsid w:val="0092477E"/>
    <w:rsid w:val="00924807"/>
    <w:rsid w:val="009248B1"/>
    <w:rsid w:val="009248FA"/>
    <w:rsid w:val="009249AF"/>
    <w:rsid w:val="00924AA1"/>
    <w:rsid w:val="00924D62"/>
    <w:rsid w:val="0092504C"/>
    <w:rsid w:val="0092526F"/>
    <w:rsid w:val="00925270"/>
    <w:rsid w:val="00925297"/>
    <w:rsid w:val="00925322"/>
    <w:rsid w:val="00925417"/>
    <w:rsid w:val="009254EB"/>
    <w:rsid w:val="00925640"/>
    <w:rsid w:val="00925741"/>
    <w:rsid w:val="0092575B"/>
    <w:rsid w:val="009258E7"/>
    <w:rsid w:val="009259DB"/>
    <w:rsid w:val="00925A7D"/>
    <w:rsid w:val="00925BDE"/>
    <w:rsid w:val="00925F34"/>
    <w:rsid w:val="009260B4"/>
    <w:rsid w:val="00926246"/>
    <w:rsid w:val="00926269"/>
    <w:rsid w:val="0092644D"/>
    <w:rsid w:val="00926561"/>
    <w:rsid w:val="00926685"/>
    <w:rsid w:val="0092669E"/>
    <w:rsid w:val="00926920"/>
    <w:rsid w:val="00926CC0"/>
    <w:rsid w:val="00927047"/>
    <w:rsid w:val="0092706B"/>
    <w:rsid w:val="009273A3"/>
    <w:rsid w:val="009273D8"/>
    <w:rsid w:val="00927447"/>
    <w:rsid w:val="0092756C"/>
    <w:rsid w:val="0092756F"/>
    <w:rsid w:val="0092759C"/>
    <w:rsid w:val="009275C1"/>
    <w:rsid w:val="0092778B"/>
    <w:rsid w:val="00927791"/>
    <w:rsid w:val="00927F08"/>
    <w:rsid w:val="009302B0"/>
    <w:rsid w:val="00930320"/>
    <w:rsid w:val="0093033E"/>
    <w:rsid w:val="009304E2"/>
    <w:rsid w:val="009305D5"/>
    <w:rsid w:val="00930671"/>
    <w:rsid w:val="009308F4"/>
    <w:rsid w:val="00930912"/>
    <w:rsid w:val="00930B6B"/>
    <w:rsid w:val="00930CAC"/>
    <w:rsid w:val="00930FF8"/>
    <w:rsid w:val="0093106E"/>
    <w:rsid w:val="00931108"/>
    <w:rsid w:val="0093116C"/>
    <w:rsid w:val="009314A0"/>
    <w:rsid w:val="0093178E"/>
    <w:rsid w:val="0093183C"/>
    <w:rsid w:val="00931AA7"/>
    <w:rsid w:val="00931BBF"/>
    <w:rsid w:val="00931C86"/>
    <w:rsid w:val="00931E26"/>
    <w:rsid w:val="00931E79"/>
    <w:rsid w:val="00932059"/>
    <w:rsid w:val="0093232B"/>
    <w:rsid w:val="00932605"/>
    <w:rsid w:val="00932F00"/>
    <w:rsid w:val="009330A7"/>
    <w:rsid w:val="009330BA"/>
    <w:rsid w:val="0093330D"/>
    <w:rsid w:val="009333EE"/>
    <w:rsid w:val="0093343C"/>
    <w:rsid w:val="0093364C"/>
    <w:rsid w:val="009336FC"/>
    <w:rsid w:val="0093371A"/>
    <w:rsid w:val="009339B0"/>
    <w:rsid w:val="00933A7B"/>
    <w:rsid w:val="00933AD7"/>
    <w:rsid w:val="00934076"/>
    <w:rsid w:val="00934295"/>
    <w:rsid w:val="009343A6"/>
    <w:rsid w:val="00934665"/>
    <w:rsid w:val="00934976"/>
    <w:rsid w:val="0093497A"/>
    <w:rsid w:val="00934AA7"/>
    <w:rsid w:val="00934AE1"/>
    <w:rsid w:val="00934B60"/>
    <w:rsid w:val="00934B9A"/>
    <w:rsid w:val="00934EC0"/>
    <w:rsid w:val="00934FC8"/>
    <w:rsid w:val="00935228"/>
    <w:rsid w:val="009354D7"/>
    <w:rsid w:val="009357D9"/>
    <w:rsid w:val="0093585A"/>
    <w:rsid w:val="00935CE4"/>
    <w:rsid w:val="00935D02"/>
    <w:rsid w:val="00935D5A"/>
    <w:rsid w:val="00935D83"/>
    <w:rsid w:val="00935EEC"/>
    <w:rsid w:val="009360CA"/>
    <w:rsid w:val="009361C9"/>
    <w:rsid w:val="00936218"/>
    <w:rsid w:val="0093632D"/>
    <w:rsid w:val="009365B5"/>
    <w:rsid w:val="009367A6"/>
    <w:rsid w:val="0093687C"/>
    <w:rsid w:val="009370B1"/>
    <w:rsid w:val="00937279"/>
    <w:rsid w:val="00937570"/>
    <w:rsid w:val="009375C8"/>
    <w:rsid w:val="00937C51"/>
    <w:rsid w:val="00937D80"/>
    <w:rsid w:val="0094001A"/>
    <w:rsid w:val="00940129"/>
    <w:rsid w:val="009401C5"/>
    <w:rsid w:val="00940392"/>
    <w:rsid w:val="009403C0"/>
    <w:rsid w:val="009404C9"/>
    <w:rsid w:val="009406DF"/>
    <w:rsid w:val="009408D8"/>
    <w:rsid w:val="00940D2C"/>
    <w:rsid w:val="00940F97"/>
    <w:rsid w:val="00941097"/>
    <w:rsid w:val="009410F9"/>
    <w:rsid w:val="00941152"/>
    <w:rsid w:val="0094135F"/>
    <w:rsid w:val="00941382"/>
    <w:rsid w:val="00941A1E"/>
    <w:rsid w:val="00941AD3"/>
    <w:rsid w:val="00941C79"/>
    <w:rsid w:val="00941F27"/>
    <w:rsid w:val="00941F70"/>
    <w:rsid w:val="009426D3"/>
    <w:rsid w:val="00942725"/>
    <w:rsid w:val="009427AA"/>
    <w:rsid w:val="009429FF"/>
    <w:rsid w:val="00942A8A"/>
    <w:rsid w:val="00942BAE"/>
    <w:rsid w:val="00942BEB"/>
    <w:rsid w:val="00942FB5"/>
    <w:rsid w:val="00943271"/>
    <w:rsid w:val="00943285"/>
    <w:rsid w:val="009434C6"/>
    <w:rsid w:val="00943AE1"/>
    <w:rsid w:val="00943C1F"/>
    <w:rsid w:val="00943F1A"/>
    <w:rsid w:val="00943FC7"/>
    <w:rsid w:val="00944477"/>
    <w:rsid w:val="009444A5"/>
    <w:rsid w:val="009447C8"/>
    <w:rsid w:val="00944852"/>
    <w:rsid w:val="00944AA1"/>
    <w:rsid w:val="00944C87"/>
    <w:rsid w:val="00944D96"/>
    <w:rsid w:val="0094544A"/>
    <w:rsid w:val="0094570A"/>
    <w:rsid w:val="009458DC"/>
    <w:rsid w:val="00945984"/>
    <w:rsid w:val="00945D09"/>
    <w:rsid w:val="00945EA3"/>
    <w:rsid w:val="00946000"/>
    <w:rsid w:val="0094618B"/>
    <w:rsid w:val="0094621F"/>
    <w:rsid w:val="00946316"/>
    <w:rsid w:val="009463D8"/>
    <w:rsid w:val="009465B1"/>
    <w:rsid w:val="009465C3"/>
    <w:rsid w:val="0094660E"/>
    <w:rsid w:val="00946927"/>
    <w:rsid w:val="0094694B"/>
    <w:rsid w:val="0094694E"/>
    <w:rsid w:val="00946B16"/>
    <w:rsid w:val="00947117"/>
    <w:rsid w:val="0094730D"/>
    <w:rsid w:val="009478C2"/>
    <w:rsid w:val="00947A66"/>
    <w:rsid w:val="00947C24"/>
    <w:rsid w:val="00947D2B"/>
    <w:rsid w:val="00950703"/>
    <w:rsid w:val="00950775"/>
    <w:rsid w:val="009507CA"/>
    <w:rsid w:val="009508B5"/>
    <w:rsid w:val="00950A95"/>
    <w:rsid w:val="00950C06"/>
    <w:rsid w:val="00950C67"/>
    <w:rsid w:val="00950D53"/>
    <w:rsid w:val="00950DF7"/>
    <w:rsid w:val="00950E52"/>
    <w:rsid w:val="00950F2F"/>
    <w:rsid w:val="00951198"/>
    <w:rsid w:val="009511B5"/>
    <w:rsid w:val="0095156D"/>
    <w:rsid w:val="009517AB"/>
    <w:rsid w:val="00951E92"/>
    <w:rsid w:val="0095203B"/>
    <w:rsid w:val="009521C6"/>
    <w:rsid w:val="00952667"/>
    <w:rsid w:val="00952738"/>
    <w:rsid w:val="00952BBD"/>
    <w:rsid w:val="00952EB8"/>
    <w:rsid w:val="00952F7D"/>
    <w:rsid w:val="00953016"/>
    <w:rsid w:val="00953201"/>
    <w:rsid w:val="009533DE"/>
    <w:rsid w:val="009534AA"/>
    <w:rsid w:val="00953642"/>
    <w:rsid w:val="00953691"/>
    <w:rsid w:val="00953768"/>
    <w:rsid w:val="00953AA2"/>
    <w:rsid w:val="00953BA4"/>
    <w:rsid w:val="00953C13"/>
    <w:rsid w:val="00953E3D"/>
    <w:rsid w:val="00953E61"/>
    <w:rsid w:val="00953FDD"/>
    <w:rsid w:val="009541B0"/>
    <w:rsid w:val="00954360"/>
    <w:rsid w:val="00954476"/>
    <w:rsid w:val="00954533"/>
    <w:rsid w:val="00954541"/>
    <w:rsid w:val="009545A1"/>
    <w:rsid w:val="009546E7"/>
    <w:rsid w:val="00954B0A"/>
    <w:rsid w:val="00954CB0"/>
    <w:rsid w:val="00954D56"/>
    <w:rsid w:val="00954D85"/>
    <w:rsid w:val="00955065"/>
    <w:rsid w:val="00955235"/>
    <w:rsid w:val="00955262"/>
    <w:rsid w:val="00955476"/>
    <w:rsid w:val="00955584"/>
    <w:rsid w:val="009555E0"/>
    <w:rsid w:val="00955610"/>
    <w:rsid w:val="0095567A"/>
    <w:rsid w:val="00955C08"/>
    <w:rsid w:val="009563B3"/>
    <w:rsid w:val="009563D6"/>
    <w:rsid w:val="0095649B"/>
    <w:rsid w:val="00956514"/>
    <w:rsid w:val="0095656E"/>
    <w:rsid w:val="0095667E"/>
    <w:rsid w:val="00956C47"/>
    <w:rsid w:val="00956C5D"/>
    <w:rsid w:val="00956E64"/>
    <w:rsid w:val="00956E6D"/>
    <w:rsid w:val="00956EFC"/>
    <w:rsid w:val="00957805"/>
    <w:rsid w:val="00957876"/>
    <w:rsid w:val="0095787C"/>
    <w:rsid w:val="009578BE"/>
    <w:rsid w:val="00957C98"/>
    <w:rsid w:val="00957DBE"/>
    <w:rsid w:val="00960BDE"/>
    <w:rsid w:val="00960E21"/>
    <w:rsid w:val="00960E58"/>
    <w:rsid w:val="00960F4C"/>
    <w:rsid w:val="00961186"/>
    <w:rsid w:val="0096180F"/>
    <w:rsid w:val="009618B1"/>
    <w:rsid w:val="0096194F"/>
    <w:rsid w:val="00961AC2"/>
    <w:rsid w:val="00961DFD"/>
    <w:rsid w:val="00961E43"/>
    <w:rsid w:val="0096213B"/>
    <w:rsid w:val="00962240"/>
    <w:rsid w:val="009623FC"/>
    <w:rsid w:val="009625A0"/>
    <w:rsid w:val="0096261D"/>
    <w:rsid w:val="0096271C"/>
    <w:rsid w:val="00962C01"/>
    <w:rsid w:val="00962CD1"/>
    <w:rsid w:val="00962D19"/>
    <w:rsid w:val="00962D75"/>
    <w:rsid w:val="00963147"/>
    <w:rsid w:val="00963645"/>
    <w:rsid w:val="00963EA1"/>
    <w:rsid w:val="00963F3F"/>
    <w:rsid w:val="00963F55"/>
    <w:rsid w:val="009643E4"/>
    <w:rsid w:val="009648C4"/>
    <w:rsid w:val="00964945"/>
    <w:rsid w:val="00964D3A"/>
    <w:rsid w:val="00964D3F"/>
    <w:rsid w:val="00964D54"/>
    <w:rsid w:val="00964F5D"/>
    <w:rsid w:val="00965328"/>
    <w:rsid w:val="00965470"/>
    <w:rsid w:val="0096555B"/>
    <w:rsid w:val="00965715"/>
    <w:rsid w:val="0096579B"/>
    <w:rsid w:val="00965C2B"/>
    <w:rsid w:val="00965C31"/>
    <w:rsid w:val="00965E0C"/>
    <w:rsid w:val="00965E78"/>
    <w:rsid w:val="00965E9C"/>
    <w:rsid w:val="0096614D"/>
    <w:rsid w:val="009665B3"/>
    <w:rsid w:val="009666D3"/>
    <w:rsid w:val="00966809"/>
    <w:rsid w:val="009669FE"/>
    <w:rsid w:val="00966AE1"/>
    <w:rsid w:val="00966B11"/>
    <w:rsid w:val="00966C89"/>
    <w:rsid w:val="00966D9B"/>
    <w:rsid w:val="00966E13"/>
    <w:rsid w:val="00966E6D"/>
    <w:rsid w:val="0096718D"/>
    <w:rsid w:val="0096731D"/>
    <w:rsid w:val="009673AE"/>
    <w:rsid w:val="00967568"/>
    <w:rsid w:val="00967691"/>
    <w:rsid w:val="00967EDD"/>
    <w:rsid w:val="00967FA8"/>
    <w:rsid w:val="009700CD"/>
    <w:rsid w:val="009708C4"/>
    <w:rsid w:val="00970933"/>
    <w:rsid w:val="00970CDD"/>
    <w:rsid w:val="00970E15"/>
    <w:rsid w:val="00970F49"/>
    <w:rsid w:val="00971376"/>
    <w:rsid w:val="0097150B"/>
    <w:rsid w:val="00971A6F"/>
    <w:rsid w:val="00971A94"/>
    <w:rsid w:val="00971E11"/>
    <w:rsid w:val="00971E91"/>
    <w:rsid w:val="00971F10"/>
    <w:rsid w:val="00972043"/>
    <w:rsid w:val="00972060"/>
    <w:rsid w:val="00972077"/>
    <w:rsid w:val="0097236C"/>
    <w:rsid w:val="00972426"/>
    <w:rsid w:val="00972455"/>
    <w:rsid w:val="0097268E"/>
    <w:rsid w:val="0097282D"/>
    <w:rsid w:val="00972A75"/>
    <w:rsid w:val="00972F5E"/>
    <w:rsid w:val="009730EB"/>
    <w:rsid w:val="009735AF"/>
    <w:rsid w:val="0097361F"/>
    <w:rsid w:val="00973642"/>
    <w:rsid w:val="0097364A"/>
    <w:rsid w:val="00973742"/>
    <w:rsid w:val="009738CA"/>
    <w:rsid w:val="00973970"/>
    <w:rsid w:val="00973B42"/>
    <w:rsid w:val="00973B61"/>
    <w:rsid w:val="00973BC8"/>
    <w:rsid w:val="00973D8F"/>
    <w:rsid w:val="00973EC2"/>
    <w:rsid w:val="00974261"/>
    <w:rsid w:val="009744FC"/>
    <w:rsid w:val="0097451B"/>
    <w:rsid w:val="00974A2B"/>
    <w:rsid w:val="00974A90"/>
    <w:rsid w:val="00974DAE"/>
    <w:rsid w:val="00974DF5"/>
    <w:rsid w:val="009750FD"/>
    <w:rsid w:val="0097511D"/>
    <w:rsid w:val="00975308"/>
    <w:rsid w:val="00975339"/>
    <w:rsid w:val="009753D4"/>
    <w:rsid w:val="009754C0"/>
    <w:rsid w:val="009758D4"/>
    <w:rsid w:val="009759B5"/>
    <w:rsid w:val="00975B65"/>
    <w:rsid w:val="00975C02"/>
    <w:rsid w:val="00975EDF"/>
    <w:rsid w:val="009761D6"/>
    <w:rsid w:val="009763DB"/>
    <w:rsid w:val="00976401"/>
    <w:rsid w:val="00976764"/>
    <w:rsid w:val="00976A28"/>
    <w:rsid w:val="00976AC4"/>
    <w:rsid w:val="00976B48"/>
    <w:rsid w:val="00976CEC"/>
    <w:rsid w:val="00976DF0"/>
    <w:rsid w:val="00977198"/>
    <w:rsid w:val="009771A1"/>
    <w:rsid w:val="00977408"/>
    <w:rsid w:val="00977463"/>
    <w:rsid w:val="00977752"/>
    <w:rsid w:val="00977FE9"/>
    <w:rsid w:val="009803B5"/>
    <w:rsid w:val="0098071F"/>
    <w:rsid w:val="0098077C"/>
    <w:rsid w:val="009809F6"/>
    <w:rsid w:val="00980B76"/>
    <w:rsid w:val="00980CB7"/>
    <w:rsid w:val="00980EDB"/>
    <w:rsid w:val="0098102A"/>
    <w:rsid w:val="009810AC"/>
    <w:rsid w:val="00981144"/>
    <w:rsid w:val="009813C4"/>
    <w:rsid w:val="009814B3"/>
    <w:rsid w:val="0098151E"/>
    <w:rsid w:val="0098157F"/>
    <w:rsid w:val="0098171C"/>
    <w:rsid w:val="00981747"/>
    <w:rsid w:val="00981776"/>
    <w:rsid w:val="00981791"/>
    <w:rsid w:val="009818D6"/>
    <w:rsid w:val="0098197A"/>
    <w:rsid w:val="00981C5A"/>
    <w:rsid w:val="0098220E"/>
    <w:rsid w:val="009824C9"/>
    <w:rsid w:val="00982725"/>
    <w:rsid w:val="00982D89"/>
    <w:rsid w:val="00982E13"/>
    <w:rsid w:val="00982F8D"/>
    <w:rsid w:val="0098303E"/>
    <w:rsid w:val="009830A8"/>
    <w:rsid w:val="0098323E"/>
    <w:rsid w:val="009834AF"/>
    <w:rsid w:val="0098388A"/>
    <w:rsid w:val="00983897"/>
    <w:rsid w:val="0098390C"/>
    <w:rsid w:val="00983E9A"/>
    <w:rsid w:val="00983FE5"/>
    <w:rsid w:val="009842F6"/>
    <w:rsid w:val="009843C6"/>
    <w:rsid w:val="00984569"/>
    <w:rsid w:val="00984606"/>
    <w:rsid w:val="009849F7"/>
    <w:rsid w:val="00984A67"/>
    <w:rsid w:val="00984D8C"/>
    <w:rsid w:val="00984EE4"/>
    <w:rsid w:val="009850AD"/>
    <w:rsid w:val="00985808"/>
    <w:rsid w:val="0098585F"/>
    <w:rsid w:val="009858E4"/>
    <w:rsid w:val="00985C58"/>
    <w:rsid w:val="0098600A"/>
    <w:rsid w:val="0098609A"/>
    <w:rsid w:val="00986188"/>
    <w:rsid w:val="009862CB"/>
    <w:rsid w:val="00986381"/>
    <w:rsid w:val="0098651E"/>
    <w:rsid w:val="00986581"/>
    <w:rsid w:val="0098673A"/>
    <w:rsid w:val="00986835"/>
    <w:rsid w:val="00986862"/>
    <w:rsid w:val="009869BE"/>
    <w:rsid w:val="00986C51"/>
    <w:rsid w:val="00986E1C"/>
    <w:rsid w:val="00986E83"/>
    <w:rsid w:val="00987710"/>
    <w:rsid w:val="0098776C"/>
    <w:rsid w:val="0098777D"/>
    <w:rsid w:val="00987959"/>
    <w:rsid w:val="00987986"/>
    <w:rsid w:val="00987A17"/>
    <w:rsid w:val="00987DAA"/>
    <w:rsid w:val="00987E66"/>
    <w:rsid w:val="00987E81"/>
    <w:rsid w:val="009901FF"/>
    <w:rsid w:val="00990B37"/>
    <w:rsid w:val="00990BD2"/>
    <w:rsid w:val="00990C08"/>
    <w:rsid w:val="00990DF8"/>
    <w:rsid w:val="00990EE0"/>
    <w:rsid w:val="009910A4"/>
    <w:rsid w:val="009910AE"/>
    <w:rsid w:val="00991397"/>
    <w:rsid w:val="009917DE"/>
    <w:rsid w:val="009918D8"/>
    <w:rsid w:val="00991AE4"/>
    <w:rsid w:val="00991CA2"/>
    <w:rsid w:val="00991FE9"/>
    <w:rsid w:val="0099215E"/>
    <w:rsid w:val="009922DE"/>
    <w:rsid w:val="00992422"/>
    <w:rsid w:val="00992466"/>
    <w:rsid w:val="009926AA"/>
    <w:rsid w:val="00992CA0"/>
    <w:rsid w:val="00992F3F"/>
    <w:rsid w:val="00992FE2"/>
    <w:rsid w:val="009937D1"/>
    <w:rsid w:val="00993A62"/>
    <w:rsid w:val="00993BA8"/>
    <w:rsid w:val="00993D28"/>
    <w:rsid w:val="00993D4B"/>
    <w:rsid w:val="00994084"/>
    <w:rsid w:val="00994409"/>
    <w:rsid w:val="00994474"/>
    <w:rsid w:val="009945C5"/>
    <w:rsid w:val="009945F7"/>
    <w:rsid w:val="00994618"/>
    <w:rsid w:val="00994728"/>
    <w:rsid w:val="009948FE"/>
    <w:rsid w:val="00994924"/>
    <w:rsid w:val="009949A7"/>
    <w:rsid w:val="00994A53"/>
    <w:rsid w:val="00994AF2"/>
    <w:rsid w:val="00994B5B"/>
    <w:rsid w:val="00994E5F"/>
    <w:rsid w:val="0099524E"/>
    <w:rsid w:val="0099548D"/>
    <w:rsid w:val="00995630"/>
    <w:rsid w:val="00995A95"/>
    <w:rsid w:val="00995C5E"/>
    <w:rsid w:val="00995D92"/>
    <w:rsid w:val="0099623C"/>
    <w:rsid w:val="009962EB"/>
    <w:rsid w:val="0099632C"/>
    <w:rsid w:val="00996596"/>
    <w:rsid w:val="00996715"/>
    <w:rsid w:val="00996746"/>
    <w:rsid w:val="00996890"/>
    <w:rsid w:val="00996923"/>
    <w:rsid w:val="00996A96"/>
    <w:rsid w:val="00996C2E"/>
    <w:rsid w:val="00996DB5"/>
    <w:rsid w:val="00996E1E"/>
    <w:rsid w:val="00996F4C"/>
    <w:rsid w:val="0099706C"/>
    <w:rsid w:val="00997412"/>
    <w:rsid w:val="00997566"/>
    <w:rsid w:val="0099794A"/>
    <w:rsid w:val="009979CF"/>
    <w:rsid w:val="00997BC2"/>
    <w:rsid w:val="00997E1B"/>
    <w:rsid w:val="00997E1E"/>
    <w:rsid w:val="009A0077"/>
    <w:rsid w:val="009A00AA"/>
    <w:rsid w:val="009A0133"/>
    <w:rsid w:val="009A0487"/>
    <w:rsid w:val="009A099E"/>
    <w:rsid w:val="009A0A3C"/>
    <w:rsid w:val="009A0B56"/>
    <w:rsid w:val="009A18B4"/>
    <w:rsid w:val="009A1921"/>
    <w:rsid w:val="009A1DA3"/>
    <w:rsid w:val="009A1E9A"/>
    <w:rsid w:val="009A1EC6"/>
    <w:rsid w:val="009A206A"/>
    <w:rsid w:val="009A227D"/>
    <w:rsid w:val="009A22C6"/>
    <w:rsid w:val="009A2370"/>
    <w:rsid w:val="009A24A0"/>
    <w:rsid w:val="009A255D"/>
    <w:rsid w:val="009A257B"/>
    <w:rsid w:val="009A2623"/>
    <w:rsid w:val="009A2774"/>
    <w:rsid w:val="009A2DD4"/>
    <w:rsid w:val="009A2E0D"/>
    <w:rsid w:val="009A2FD2"/>
    <w:rsid w:val="009A3109"/>
    <w:rsid w:val="009A3383"/>
    <w:rsid w:val="009A3413"/>
    <w:rsid w:val="009A364A"/>
    <w:rsid w:val="009A369F"/>
    <w:rsid w:val="009A36EE"/>
    <w:rsid w:val="009A3714"/>
    <w:rsid w:val="009A3987"/>
    <w:rsid w:val="009A3A74"/>
    <w:rsid w:val="009A3CDE"/>
    <w:rsid w:val="009A3EAC"/>
    <w:rsid w:val="009A3F02"/>
    <w:rsid w:val="009A3F2C"/>
    <w:rsid w:val="009A433A"/>
    <w:rsid w:val="009A4611"/>
    <w:rsid w:val="009A4991"/>
    <w:rsid w:val="009A499E"/>
    <w:rsid w:val="009A4B59"/>
    <w:rsid w:val="009A4C21"/>
    <w:rsid w:val="009A4EA7"/>
    <w:rsid w:val="009A508D"/>
    <w:rsid w:val="009A511C"/>
    <w:rsid w:val="009A515E"/>
    <w:rsid w:val="009A5797"/>
    <w:rsid w:val="009A5BE7"/>
    <w:rsid w:val="009A5FC7"/>
    <w:rsid w:val="009A6439"/>
    <w:rsid w:val="009A6589"/>
    <w:rsid w:val="009A6AA9"/>
    <w:rsid w:val="009A6B10"/>
    <w:rsid w:val="009A6C13"/>
    <w:rsid w:val="009A6F5C"/>
    <w:rsid w:val="009A7364"/>
    <w:rsid w:val="009A7374"/>
    <w:rsid w:val="009A75DA"/>
    <w:rsid w:val="009A7734"/>
    <w:rsid w:val="009A77DD"/>
    <w:rsid w:val="009A7800"/>
    <w:rsid w:val="009A7B78"/>
    <w:rsid w:val="009A7CDA"/>
    <w:rsid w:val="009A7CEA"/>
    <w:rsid w:val="009A7DB8"/>
    <w:rsid w:val="009B0206"/>
    <w:rsid w:val="009B0247"/>
    <w:rsid w:val="009B028D"/>
    <w:rsid w:val="009B04E5"/>
    <w:rsid w:val="009B0870"/>
    <w:rsid w:val="009B0C80"/>
    <w:rsid w:val="009B0D8D"/>
    <w:rsid w:val="009B1070"/>
    <w:rsid w:val="009B11D0"/>
    <w:rsid w:val="009B13B0"/>
    <w:rsid w:val="009B173C"/>
    <w:rsid w:val="009B180C"/>
    <w:rsid w:val="009B184A"/>
    <w:rsid w:val="009B1D8B"/>
    <w:rsid w:val="009B220E"/>
    <w:rsid w:val="009B23A4"/>
    <w:rsid w:val="009B275E"/>
    <w:rsid w:val="009B2798"/>
    <w:rsid w:val="009B2822"/>
    <w:rsid w:val="009B28BD"/>
    <w:rsid w:val="009B2952"/>
    <w:rsid w:val="009B2A34"/>
    <w:rsid w:val="009B2FB9"/>
    <w:rsid w:val="009B3534"/>
    <w:rsid w:val="009B37AD"/>
    <w:rsid w:val="009B38F8"/>
    <w:rsid w:val="009B3D54"/>
    <w:rsid w:val="009B3E04"/>
    <w:rsid w:val="009B439D"/>
    <w:rsid w:val="009B4810"/>
    <w:rsid w:val="009B482F"/>
    <w:rsid w:val="009B4E99"/>
    <w:rsid w:val="009B51F2"/>
    <w:rsid w:val="009B51F4"/>
    <w:rsid w:val="009B5320"/>
    <w:rsid w:val="009B532D"/>
    <w:rsid w:val="009B533C"/>
    <w:rsid w:val="009B5419"/>
    <w:rsid w:val="009B55CE"/>
    <w:rsid w:val="009B5768"/>
    <w:rsid w:val="009B580C"/>
    <w:rsid w:val="009B5D33"/>
    <w:rsid w:val="009B5FFA"/>
    <w:rsid w:val="009B65D0"/>
    <w:rsid w:val="009B662A"/>
    <w:rsid w:val="009B670B"/>
    <w:rsid w:val="009B67A2"/>
    <w:rsid w:val="009B68AC"/>
    <w:rsid w:val="009B6E18"/>
    <w:rsid w:val="009B6E43"/>
    <w:rsid w:val="009B6EEC"/>
    <w:rsid w:val="009B70E2"/>
    <w:rsid w:val="009B7280"/>
    <w:rsid w:val="009B731B"/>
    <w:rsid w:val="009B76AE"/>
    <w:rsid w:val="009B7B4F"/>
    <w:rsid w:val="009C012D"/>
    <w:rsid w:val="009C01F4"/>
    <w:rsid w:val="009C072A"/>
    <w:rsid w:val="009C0876"/>
    <w:rsid w:val="009C08AC"/>
    <w:rsid w:val="009C0912"/>
    <w:rsid w:val="009C09B2"/>
    <w:rsid w:val="009C0E73"/>
    <w:rsid w:val="009C0EB5"/>
    <w:rsid w:val="009C0ECD"/>
    <w:rsid w:val="009C0FED"/>
    <w:rsid w:val="009C125F"/>
    <w:rsid w:val="009C1381"/>
    <w:rsid w:val="009C140F"/>
    <w:rsid w:val="009C155D"/>
    <w:rsid w:val="009C16DF"/>
    <w:rsid w:val="009C1722"/>
    <w:rsid w:val="009C17F4"/>
    <w:rsid w:val="009C1D34"/>
    <w:rsid w:val="009C202C"/>
    <w:rsid w:val="009C20A2"/>
    <w:rsid w:val="009C2170"/>
    <w:rsid w:val="009C2302"/>
    <w:rsid w:val="009C2307"/>
    <w:rsid w:val="009C23CA"/>
    <w:rsid w:val="009C27E0"/>
    <w:rsid w:val="009C281B"/>
    <w:rsid w:val="009C297A"/>
    <w:rsid w:val="009C2A0D"/>
    <w:rsid w:val="009C2CA1"/>
    <w:rsid w:val="009C2EB7"/>
    <w:rsid w:val="009C30EB"/>
    <w:rsid w:val="009C32A8"/>
    <w:rsid w:val="009C3563"/>
    <w:rsid w:val="009C3950"/>
    <w:rsid w:val="009C3990"/>
    <w:rsid w:val="009C3A5E"/>
    <w:rsid w:val="009C3BA4"/>
    <w:rsid w:val="009C3D11"/>
    <w:rsid w:val="009C3DA5"/>
    <w:rsid w:val="009C3DC2"/>
    <w:rsid w:val="009C3FFF"/>
    <w:rsid w:val="009C4187"/>
    <w:rsid w:val="009C4293"/>
    <w:rsid w:val="009C4390"/>
    <w:rsid w:val="009C49F0"/>
    <w:rsid w:val="009C4AAB"/>
    <w:rsid w:val="009C5093"/>
    <w:rsid w:val="009C5186"/>
    <w:rsid w:val="009C52CB"/>
    <w:rsid w:val="009C5309"/>
    <w:rsid w:val="009C53BE"/>
    <w:rsid w:val="009C594C"/>
    <w:rsid w:val="009C5987"/>
    <w:rsid w:val="009C5BA6"/>
    <w:rsid w:val="009C5BFE"/>
    <w:rsid w:val="009C5C26"/>
    <w:rsid w:val="009C5D4F"/>
    <w:rsid w:val="009C5EB6"/>
    <w:rsid w:val="009C5EFC"/>
    <w:rsid w:val="009C5F6F"/>
    <w:rsid w:val="009C6161"/>
    <w:rsid w:val="009C61A8"/>
    <w:rsid w:val="009C66A0"/>
    <w:rsid w:val="009C6943"/>
    <w:rsid w:val="009C6A6A"/>
    <w:rsid w:val="009C6AD1"/>
    <w:rsid w:val="009C6AF9"/>
    <w:rsid w:val="009C6C3A"/>
    <w:rsid w:val="009C6CC3"/>
    <w:rsid w:val="009C6D2F"/>
    <w:rsid w:val="009C6FF2"/>
    <w:rsid w:val="009C7073"/>
    <w:rsid w:val="009C707A"/>
    <w:rsid w:val="009C7C26"/>
    <w:rsid w:val="009C7C42"/>
    <w:rsid w:val="009D0055"/>
    <w:rsid w:val="009D04FB"/>
    <w:rsid w:val="009D055D"/>
    <w:rsid w:val="009D0643"/>
    <w:rsid w:val="009D065E"/>
    <w:rsid w:val="009D0B0F"/>
    <w:rsid w:val="009D114F"/>
    <w:rsid w:val="009D1152"/>
    <w:rsid w:val="009D116C"/>
    <w:rsid w:val="009D11F1"/>
    <w:rsid w:val="009D121A"/>
    <w:rsid w:val="009D17CA"/>
    <w:rsid w:val="009D1B38"/>
    <w:rsid w:val="009D1BD5"/>
    <w:rsid w:val="009D1E06"/>
    <w:rsid w:val="009D2087"/>
    <w:rsid w:val="009D26B6"/>
    <w:rsid w:val="009D2849"/>
    <w:rsid w:val="009D29F1"/>
    <w:rsid w:val="009D2A8F"/>
    <w:rsid w:val="009D2BE1"/>
    <w:rsid w:val="009D2C96"/>
    <w:rsid w:val="009D2CCA"/>
    <w:rsid w:val="009D2F59"/>
    <w:rsid w:val="009D3047"/>
    <w:rsid w:val="009D30C0"/>
    <w:rsid w:val="009D30F5"/>
    <w:rsid w:val="009D33AA"/>
    <w:rsid w:val="009D35F3"/>
    <w:rsid w:val="009D37E8"/>
    <w:rsid w:val="009D394B"/>
    <w:rsid w:val="009D396C"/>
    <w:rsid w:val="009D3A30"/>
    <w:rsid w:val="009D3B1D"/>
    <w:rsid w:val="009D409C"/>
    <w:rsid w:val="009D43D2"/>
    <w:rsid w:val="009D451A"/>
    <w:rsid w:val="009D47FF"/>
    <w:rsid w:val="009D4ACC"/>
    <w:rsid w:val="009D4E69"/>
    <w:rsid w:val="009D56C2"/>
    <w:rsid w:val="009D5D02"/>
    <w:rsid w:val="009D5D2D"/>
    <w:rsid w:val="009D5D86"/>
    <w:rsid w:val="009D5E9A"/>
    <w:rsid w:val="009D5F43"/>
    <w:rsid w:val="009D602F"/>
    <w:rsid w:val="009D6109"/>
    <w:rsid w:val="009D62DA"/>
    <w:rsid w:val="009D6348"/>
    <w:rsid w:val="009D64D1"/>
    <w:rsid w:val="009D6966"/>
    <w:rsid w:val="009D6A93"/>
    <w:rsid w:val="009D6B93"/>
    <w:rsid w:val="009D6FE3"/>
    <w:rsid w:val="009D7194"/>
    <w:rsid w:val="009D72B4"/>
    <w:rsid w:val="009D77CB"/>
    <w:rsid w:val="009D7A4B"/>
    <w:rsid w:val="009D7AD0"/>
    <w:rsid w:val="009D7CE6"/>
    <w:rsid w:val="009E0174"/>
    <w:rsid w:val="009E0244"/>
    <w:rsid w:val="009E071E"/>
    <w:rsid w:val="009E0A88"/>
    <w:rsid w:val="009E0AF1"/>
    <w:rsid w:val="009E0C6E"/>
    <w:rsid w:val="009E0CA6"/>
    <w:rsid w:val="009E0FB2"/>
    <w:rsid w:val="009E116C"/>
    <w:rsid w:val="009E1224"/>
    <w:rsid w:val="009E1AAD"/>
    <w:rsid w:val="009E1B5F"/>
    <w:rsid w:val="009E1C08"/>
    <w:rsid w:val="009E1EC5"/>
    <w:rsid w:val="009E2019"/>
    <w:rsid w:val="009E293B"/>
    <w:rsid w:val="009E2B5E"/>
    <w:rsid w:val="009E2C84"/>
    <w:rsid w:val="009E2CF1"/>
    <w:rsid w:val="009E303B"/>
    <w:rsid w:val="009E336C"/>
    <w:rsid w:val="009E33B7"/>
    <w:rsid w:val="009E3581"/>
    <w:rsid w:val="009E35F6"/>
    <w:rsid w:val="009E36C5"/>
    <w:rsid w:val="009E390E"/>
    <w:rsid w:val="009E3A16"/>
    <w:rsid w:val="009E3A47"/>
    <w:rsid w:val="009E3ACF"/>
    <w:rsid w:val="009E3B94"/>
    <w:rsid w:val="009E3BA7"/>
    <w:rsid w:val="009E3D70"/>
    <w:rsid w:val="009E3F17"/>
    <w:rsid w:val="009E4233"/>
    <w:rsid w:val="009E42AF"/>
    <w:rsid w:val="009E42F2"/>
    <w:rsid w:val="009E435A"/>
    <w:rsid w:val="009E4649"/>
    <w:rsid w:val="009E47DE"/>
    <w:rsid w:val="009E4837"/>
    <w:rsid w:val="009E530D"/>
    <w:rsid w:val="009E535F"/>
    <w:rsid w:val="009E57D0"/>
    <w:rsid w:val="009E57D6"/>
    <w:rsid w:val="009E58CA"/>
    <w:rsid w:val="009E591C"/>
    <w:rsid w:val="009E5A12"/>
    <w:rsid w:val="009E5B39"/>
    <w:rsid w:val="009E5B9E"/>
    <w:rsid w:val="009E5CEC"/>
    <w:rsid w:val="009E5D3A"/>
    <w:rsid w:val="009E5F57"/>
    <w:rsid w:val="009E61F5"/>
    <w:rsid w:val="009E6228"/>
    <w:rsid w:val="009E6286"/>
    <w:rsid w:val="009E644D"/>
    <w:rsid w:val="009E64A4"/>
    <w:rsid w:val="009E6B1E"/>
    <w:rsid w:val="009E6B43"/>
    <w:rsid w:val="009E6B9E"/>
    <w:rsid w:val="009E7238"/>
    <w:rsid w:val="009E75AA"/>
    <w:rsid w:val="009E774D"/>
    <w:rsid w:val="009E7A83"/>
    <w:rsid w:val="009E7B80"/>
    <w:rsid w:val="009E7C49"/>
    <w:rsid w:val="009E7C92"/>
    <w:rsid w:val="009E7CD4"/>
    <w:rsid w:val="009E7CE1"/>
    <w:rsid w:val="009E7FE2"/>
    <w:rsid w:val="009F013D"/>
    <w:rsid w:val="009F01DD"/>
    <w:rsid w:val="009F03BC"/>
    <w:rsid w:val="009F0666"/>
    <w:rsid w:val="009F07DA"/>
    <w:rsid w:val="009F0E03"/>
    <w:rsid w:val="009F0FC1"/>
    <w:rsid w:val="009F123D"/>
    <w:rsid w:val="009F15CC"/>
    <w:rsid w:val="009F1631"/>
    <w:rsid w:val="009F180C"/>
    <w:rsid w:val="009F1892"/>
    <w:rsid w:val="009F189B"/>
    <w:rsid w:val="009F19FB"/>
    <w:rsid w:val="009F1A0C"/>
    <w:rsid w:val="009F1D0F"/>
    <w:rsid w:val="009F1D72"/>
    <w:rsid w:val="009F1E8E"/>
    <w:rsid w:val="009F25DC"/>
    <w:rsid w:val="009F25FD"/>
    <w:rsid w:val="009F2922"/>
    <w:rsid w:val="009F2A5E"/>
    <w:rsid w:val="009F2A83"/>
    <w:rsid w:val="009F2B76"/>
    <w:rsid w:val="009F2D53"/>
    <w:rsid w:val="009F32DE"/>
    <w:rsid w:val="009F32E0"/>
    <w:rsid w:val="009F3370"/>
    <w:rsid w:val="009F3572"/>
    <w:rsid w:val="009F3767"/>
    <w:rsid w:val="009F3A1D"/>
    <w:rsid w:val="009F3A4E"/>
    <w:rsid w:val="009F3B9C"/>
    <w:rsid w:val="009F3BE5"/>
    <w:rsid w:val="009F41BD"/>
    <w:rsid w:val="009F420B"/>
    <w:rsid w:val="009F42B9"/>
    <w:rsid w:val="009F46ED"/>
    <w:rsid w:val="009F4881"/>
    <w:rsid w:val="009F4B39"/>
    <w:rsid w:val="009F4CAF"/>
    <w:rsid w:val="009F516D"/>
    <w:rsid w:val="009F5297"/>
    <w:rsid w:val="009F530E"/>
    <w:rsid w:val="009F5348"/>
    <w:rsid w:val="009F536A"/>
    <w:rsid w:val="009F55E8"/>
    <w:rsid w:val="009F589F"/>
    <w:rsid w:val="009F5AB5"/>
    <w:rsid w:val="009F5FE7"/>
    <w:rsid w:val="009F602D"/>
    <w:rsid w:val="009F63D4"/>
    <w:rsid w:val="009F6419"/>
    <w:rsid w:val="009F6755"/>
    <w:rsid w:val="009F67D7"/>
    <w:rsid w:val="009F69B5"/>
    <w:rsid w:val="009F6BDF"/>
    <w:rsid w:val="009F6BF5"/>
    <w:rsid w:val="009F6CBA"/>
    <w:rsid w:val="009F6F9E"/>
    <w:rsid w:val="009F7122"/>
    <w:rsid w:val="009F7558"/>
    <w:rsid w:val="009F795E"/>
    <w:rsid w:val="009F79E9"/>
    <w:rsid w:val="009F7B38"/>
    <w:rsid w:val="009F7C7A"/>
    <w:rsid w:val="009F7CC3"/>
    <w:rsid w:val="00A0003C"/>
    <w:rsid w:val="00A00319"/>
    <w:rsid w:val="00A00356"/>
    <w:rsid w:val="00A00A41"/>
    <w:rsid w:val="00A00A8F"/>
    <w:rsid w:val="00A00A92"/>
    <w:rsid w:val="00A00BB0"/>
    <w:rsid w:val="00A00BC1"/>
    <w:rsid w:val="00A00C7D"/>
    <w:rsid w:val="00A00D36"/>
    <w:rsid w:val="00A00FC1"/>
    <w:rsid w:val="00A0152B"/>
    <w:rsid w:val="00A015FC"/>
    <w:rsid w:val="00A01714"/>
    <w:rsid w:val="00A019A0"/>
    <w:rsid w:val="00A01BFA"/>
    <w:rsid w:val="00A01D68"/>
    <w:rsid w:val="00A01FAE"/>
    <w:rsid w:val="00A020E9"/>
    <w:rsid w:val="00A02210"/>
    <w:rsid w:val="00A02370"/>
    <w:rsid w:val="00A02546"/>
    <w:rsid w:val="00A0255A"/>
    <w:rsid w:val="00A0269A"/>
    <w:rsid w:val="00A026F3"/>
    <w:rsid w:val="00A0286F"/>
    <w:rsid w:val="00A02A81"/>
    <w:rsid w:val="00A02B27"/>
    <w:rsid w:val="00A02F61"/>
    <w:rsid w:val="00A031E6"/>
    <w:rsid w:val="00A0327F"/>
    <w:rsid w:val="00A03710"/>
    <w:rsid w:val="00A03AAF"/>
    <w:rsid w:val="00A03C1D"/>
    <w:rsid w:val="00A043B5"/>
    <w:rsid w:val="00A04932"/>
    <w:rsid w:val="00A04CAF"/>
    <w:rsid w:val="00A04CF3"/>
    <w:rsid w:val="00A04E90"/>
    <w:rsid w:val="00A04F39"/>
    <w:rsid w:val="00A04FD2"/>
    <w:rsid w:val="00A05439"/>
    <w:rsid w:val="00A054EA"/>
    <w:rsid w:val="00A0556E"/>
    <w:rsid w:val="00A05EBC"/>
    <w:rsid w:val="00A05F84"/>
    <w:rsid w:val="00A0604E"/>
    <w:rsid w:val="00A0614F"/>
    <w:rsid w:val="00A06198"/>
    <w:rsid w:val="00A0686F"/>
    <w:rsid w:val="00A070BB"/>
    <w:rsid w:val="00A070FA"/>
    <w:rsid w:val="00A07220"/>
    <w:rsid w:val="00A074F3"/>
    <w:rsid w:val="00A07547"/>
    <w:rsid w:val="00A0757F"/>
    <w:rsid w:val="00A07873"/>
    <w:rsid w:val="00A07E01"/>
    <w:rsid w:val="00A07F2D"/>
    <w:rsid w:val="00A1022D"/>
    <w:rsid w:val="00A102E4"/>
    <w:rsid w:val="00A103D6"/>
    <w:rsid w:val="00A105E5"/>
    <w:rsid w:val="00A10D83"/>
    <w:rsid w:val="00A10D8D"/>
    <w:rsid w:val="00A10F1C"/>
    <w:rsid w:val="00A1105C"/>
    <w:rsid w:val="00A1140D"/>
    <w:rsid w:val="00A11458"/>
    <w:rsid w:val="00A115B1"/>
    <w:rsid w:val="00A116B9"/>
    <w:rsid w:val="00A116BC"/>
    <w:rsid w:val="00A11723"/>
    <w:rsid w:val="00A11866"/>
    <w:rsid w:val="00A1186B"/>
    <w:rsid w:val="00A11A17"/>
    <w:rsid w:val="00A11A7B"/>
    <w:rsid w:val="00A11BFE"/>
    <w:rsid w:val="00A11D98"/>
    <w:rsid w:val="00A124C1"/>
    <w:rsid w:val="00A1260D"/>
    <w:rsid w:val="00A12794"/>
    <w:rsid w:val="00A127EB"/>
    <w:rsid w:val="00A12AE7"/>
    <w:rsid w:val="00A12AEE"/>
    <w:rsid w:val="00A12BE9"/>
    <w:rsid w:val="00A12FFA"/>
    <w:rsid w:val="00A1309D"/>
    <w:rsid w:val="00A13148"/>
    <w:rsid w:val="00A133E3"/>
    <w:rsid w:val="00A1351F"/>
    <w:rsid w:val="00A13630"/>
    <w:rsid w:val="00A13732"/>
    <w:rsid w:val="00A13758"/>
    <w:rsid w:val="00A13DC8"/>
    <w:rsid w:val="00A14050"/>
    <w:rsid w:val="00A14649"/>
    <w:rsid w:val="00A146FC"/>
    <w:rsid w:val="00A14716"/>
    <w:rsid w:val="00A147CC"/>
    <w:rsid w:val="00A148F1"/>
    <w:rsid w:val="00A14C19"/>
    <w:rsid w:val="00A15303"/>
    <w:rsid w:val="00A153F4"/>
    <w:rsid w:val="00A15AB5"/>
    <w:rsid w:val="00A15CCB"/>
    <w:rsid w:val="00A15D58"/>
    <w:rsid w:val="00A15DD3"/>
    <w:rsid w:val="00A1621F"/>
    <w:rsid w:val="00A165C2"/>
    <w:rsid w:val="00A16A2D"/>
    <w:rsid w:val="00A16F84"/>
    <w:rsid w:val="00A17248"/>
    <w:rsid w:val="00A173F8"/>
    <w:rsid w:val="00A175FF"/>
    <w:rsid w:val="00A176EB"/>
    <w:rsid w:val="00A1773E"/>
    <w:rsid w:val="00A17B49"/>
    <w:rsid w:val="00A17CBA"/>
    <w:rsid w:val="00A17F46"/>
    <w:rsid w:val="00A200A2"/>
    <w:rsid w:val="00A20126"/>
    <w:rsid w:val="00A20323"/>
    <w:rsid w:val="00A20375"/>
    <w:rsid w:val="00A203A2"/>
    <w:rsid w:val="00A20BD8"/>
    <w:rsid w:val="00A20C46"/>
    <w:rsid w:val="00A20E1E"/>
    <w:rsid w:val="00A21020"/>
    <w:rsid w:val="00A2120D"/>
    <w:rsid w:val="00A2126F"/>
    <w:rsid w:val="00A213A7"/>
    <w:rsid w:val="00A213B0"/>
    <w:rsid w:val="00A213DE"/>
    <w:rsid w:val="00A21549"/>
    <w:rsid w:val="00A21564"/>
    <w:rsid w:val="00A215A1"/>
    <w:rsid w:val="00A215C4"/>
    <w:rsid w:val="00A21684"/>
    <w:rsid w:val="00A21721"/>
    <w:rsid w:val="00A21874"/>
    <w:rsid w:val="00A21B64"/>
    <w:rsid w:val="00A21CC6"/>
    <w:rsid w:val="00A22124"/>
    <w:rsid w:val="00A22275"/>
    <w:rsid w:val="00A224C8"/>
    <w:rsid w:val="00A225A1"/>
    <w:rsid w:val="00A2266A"/>
    <w:rsid w:val="00A22AC8"/>
    <w:rsid w:val="00A22B5D"/>
    <w:rsid w:val="00A22F11"/>
    <w:rsid w:val="00A231AA"/>
    <w:rsid w:val="00A23289"/>
    <w:rsid w:val="00A2341F"/>
    <w:rsid w:val="00A2342B"/>
    <w:rsid w:val="00A2372D"/>
    <w:rsid w:val="00A2374F"/>
    <w:rsid w:val="00A2383A"/>
    <w:rsid w:val="00A23BFB"/>
    <w:rsid w:val="00A23D06"/>
    <w:rsid w:val="00A23D19"/>
    <w:rsid w:val="00A23E7D"/>
    <w:rsid w:val="00A23EA5"/>
    <w:rsid w:val="00A23EDA"/>
    <w:rsid w:val="00A23EF2"/>
    <w:rsid w:val="00A23F6E"/>
    <w:rsid w:val="00A24064"/>
    <w:rsid w:val="00A24136"/>
    <w:rsid w:val="00A24663"/>
    <w:rsid w:val="00A2479F"/>
    <w:rsid w:val="00A247F9"/>
    <w:rsid w:val="00A24CBB"/>
    <w:rsid w:val="00A24D17"/>
    <w:rsid w:val="00A25638"/>
    <w:rsid w:val="00A25B65"/>
    <w:rsid w:val="00A25B7A"/>
    <w:rsid w:val="00A261BE"/>
    <w:rsid w:val="00A265F3"/>
    <w:rsid w:val="00A266C3"/>
    <w:rsid w:val="00A26958"/>
    <w:rsid w:val="00A26BA1"/>
    <w:rsid w:val="00A26C83"/>
    <w:rsid w:val="00A26DF1"/>
    <w:rsid w:val="00A26EF8"/>
    <w:rsid w:val="00A270DA"/>
    <w:rsid w:val="00A2711F"/>
    <w:rsid w:val="00A273B5"/>
    <w:rsid w:val="00A273D8"/>
    <w:rsid w:val="00A27693"/>
    <w:rsid w:val="00A276F9"/>
    <w:rsid w:val="00A2787A"/>
    <w:rsid w:val="00A27BC7"/>
    <w:rsid w:val="00A27D8B"/>
    <w:rsid w:val="00A27F8D"/>
    <w:rsid w:val="00A27FCD"/>
    <w:rsid w:val="00A27FF3"/>
    <w:rsid w:val="00A300FF"/>
    <w:rsid w:val="00A30119"/>
    <w:rsid w:val="00A304CE"/>
    <w:rsid w:val="00A30796"/>
    <w:rsid w:val="00A307D2"/>
    <w:rsid w:val="00A30870"/>
    <w:rsid w:val="00A30B6D"/>
    <w:rsid w:val="00A30C0F"/>
    <w:rsid w:val="00A30D53"/>
    <w:rsid w:val="00A30F52"/>
    <w:rsid w:val="00A30F64"/>
    <w:rsid w:val="00A310F0"/>
    <w:rsid w:val="00A31296"/>
    <w:rsid w:val="00A314A6"/>
    <w:rsid w:val="00A317B4"/>
    <w:rsid w:val="00A317BD"/>
    <w:rsid w:val="00A3182F"/>
    <w:rsid w:val="00A319AC"/>
    <w:rsid w:val="00A31A6B"/>
    <w:rsid w:val="00A31CAB"/>
    <w:rsid w:val="00A31CB0"/>
    <w:rsid w:val="00A32416"/>
    <w:rsid w:val="00A32441"/>
    <w:rsid w:val="00A3254A"/>
    <w:rsid w:val="00A3263F"/>
    <w:rsid w:val="00A3273B"/>
    <w:rsid w:val="00A32780"/>
    <w:rsid w:val="00A3298A"/>
    <w:rsid w:val="00A333BC"/>
    <w:rsid w:val="00A336CE"/>
    <w:rsid w:val="00A3390E"/>
    <w:rsid w:val="00A33959"/>
    <w:rsid w:val="00A33C15"/>
    <w:rsid w:val="00A33E7B"/>
    <w:rsid w:val="00A33ECE"/>
    <w:rsid w:val="00A340E8"/>
    <w:rsid w:val="00A34314"/>
    <w:rsid w:val="00A343AD"/>
    <w:rsid w:val="00A343C3"/>
    <w:rsid w:val="00A3443B"/>
    <w:rsid w:val="00A34739"/>
    <w:rsid w:val="00A34776"/>
    <w:rsid w:val="00A34816"/>
    <w:rsid w:val="00A348C8"/>
    <w:rsid w:val="00A34A2C"/>
    <w:rsid w:val="00A34AF4"/>
    <w:rsid w:val="00A34B3D"/>
    <w:rsid w:val="00A34E4B"/>
    <w:rsid w:val="00A351DA"/>
    <w:rsid w:val="00A35476"/>
    <w:rsid w:val="00A35574"/>
    <w:rsid w:val="00A3592A"/>
    <w:rsid w:val="00A35981"/>
    <w:rsid w:val="00A35CF0"/>
    <w:rsid w:val="00A35D0D"/>
    <w:rsid w:val="00A35DF3"/>
    <w:rsid w:val="00A35E55"/>
    <w:rsid w:val="00A36214"/>
    <w:rsid w:val="00A3662F"/>
    <w:rsid w:val="00A367A9"/>
    <w:rsid w:val="00A368EB"/>
    <w:rsid w:val="00A37074"/>
    <w:rsid w:val="00A3707C"/>
    <w:rsid w:val="00A3716E"/>
    <w:rsid w:val="00A372C3"/>
    <w:rsid w:val="00A37605"/>
    <w:rsid w:val="00A3763A"/>
    <w:rsid w:val="00A37650"/>
    <w:rsid w:val="00A3770D"/>
    <w:rsid w:val="00A37863"/>
    <w:rsid w:val="00A379CE"/>
    <w:rsid w:val="00A37CE6"/>
    <w:rsid w:val="00A37E7F"/>
    <w:rsid w:val="00A37EEB"/>
    <w:rsid w:val="00A4000C"/>
    <w:rsid w:val="00A40225"/>
    <w:rsid w:val="00A402EB"/>
    <w:rsid w:val="00A40353"/>
    <w:rsid w:val="00A4039C"/>
    <w:rsid w:val="00A408EF"/>
    <w:rsid w:val="00A4098E"/>
    <w:rsid w:val="00A40C4C"/>
    <w:rsid w:val="00A40F9D"/>
    <w:rsid w:val="00A4101C"/>
    <w:rsid w:val="00A4129C"/>
    <w:rsid w:val="00A413B7"/>
    <w:rsid w:val="00A41488"/>
    <w:rsid w:val="00A414EA"/>
    <w:rsid w:val="00A4162A"/>
    <w:rsid w:val="00A4189A"/>
    <w:rsid w:val="00A41FCD"/>
    <w:rsid w:val="00A42230"/>
    <w:rsid w:val="00A423C2"/>
    <w:rsid w:val="00A4249B"/>
    <w:rsid w:val="00A42F45"/>
    <w:rsid w:val="00A43144"/>
    <w:rsid w:val="00A43348"/>
    <w:rsid w:val="00A43592"/>
    <w:rsid w:val="00A4365E"/>
    <w:rsid w:val="00A439AC"/>
    <w:rsid w:val="00A43CFF"/>
    <w:rsid w:val="00A43D7C"/>
    <w:rsid w:val="00A43D9B"/>
    <w:rsid w:val="00A44167"/>
    <w:rsid w:val="00A44313"/>
    <w:rsid w:val="00A443F8"/>
    <w:rsid w:val="00A44537"/>
    <w:rsid w:val="00A445AE"/>
    <w:rsid w:val="00A445B5"/>
    <w:rsid w:val="00A446D0"/>
    <w:rsid w:val="00A4478D"/>
    <w:rsid w:val="00A44907"/>
    <w:rsid w:val="00A44A03"/>
    <w:rsid w:val="00A44BA4"/>
    <w:rsid w:val="00A44E8B"/>
    <w:rsid w:val="00A44EEB"/>
    <w:rsid w:val="00A45555"/>
    <w:rsid w:val="00A45659"/>
    <w:rsid w:val="00A45823"/>
    <w:rsid w:val="00A459F6"/>
    <w:rsid w:val="00A45A27"/>
    <w:rsid w:val="00A45AA9"/>
    <w:rsid w:val="00A45C01"/>
    <w:rsid w:val="00A45C18"/>
    <w:rsid w:val="00A45ECE"/>
    <w:rsid w:val="00A460C2"/>
    <w:rsid w:val="00A460FE"/>
    <w:rsid w:val="00A4659E"/>
    <w:rsid w:val="00A466CA"/>
    <w:rsid w:val="00A46869"/>
    <w:rsid w:val="00A46891"/>
    <w:rsid w:val="00A46B16"/>
    <w:rsid w:val="00A46B2A"/>
    <w:rsid w:val="00A46D23"/>
    <w:rsid w:val="00A46FB1"/>
    <w:rsid w:val="00A47A19"/>
    <w:rsid w:val="00A47A55"/>
    <w:rsid w:val="00A47BD7"/>
    <w:rsid w:val="00A47C75"/>
    <w:rsid w:val="00A47FA7"/>
    <w:rsid w:val="00A50076"/>
    <w:rsid w:val="00A503E7"/>
    <w:rsid w:val="00A506BC"/>
    <w:rsid w:val="00A50A10"/>
    <w:rsid w:val="00A50B22"/>
    <w:rsid w:val="00A50CF3"/>
    <w:rsid w:val="00A510FD"/>
    <w:rsid w:val="00A51170"/>
    <w:rsid w:val="00A512FD"/>
    <w:rsid w:val="00A513E5"/>
    <w:rsid w:val="00A51478"/>
    <w:rsid w:val="00A519A9"/>
    <w:rsid w:val="00A51AAF"/>
    <w:rsid w:val="00A51AC4"/>
    <w:rsid w:val="00A51DFF"/>
    <w:rsid w:val="00A51EA5"/>
    <w:rsid w:val="00A51F0C"/>
    <w:rsid w:val="00A51F45"/>
    <w:rsid w:val="00A520D5"/>
    <w:rsid w:val="00A521ED"/>
    <w:rsid w:val="00A523A0"/>
    <w:rsid w:val="00A523B4"/>
    <w:rsid w:val="00A524FB"/>
    <w:rsid w:val="00A52770"/>
    <w:rsid w:val="00A5286D"/>
    <w:rsid w:val="00A528D8"/>
    <w:rsid w:val="00A5299A"/>
    <w:rsid w:val="00A52AE9"/>
    <w:rsid w:val="00A52E2C"/>
    <w:rsid w:val="00A52E63"/>
    <w:rsid w:val="00A530BF"/>
    <w:rsid w:val="00A53246"/>
    <w:rsid w:val="00A532F8"/>
    <w:rsid w:val="00A5355E"/>
    <w:rsid w:val="00A5366A"/>
    <w:rsid w:val="00A53697"/>
    <w:rsid w:val="00A538CC"/>
    <w:rsid w:val="00A53AE7"/>
    <w:rsid w:val="00A53C00"/>
    <w:rsid w:val="00A53EF1"/>
    <w:rsid w:val="00A54322"/>
    <w:rsid w:val="00A54440"/>
    <w:rsid w:val="00A5445F"/>
    <w:rsid w:val="00A546C8"/>
    <w:rsid w:val="00A549A3"/>
    <w:rsid w:val="00A54EC4"/>
    <w:rsid w:val="00A54F63"/>
    <w:rsid w:val="00A553B2"/>
    <w:rsid w:val="00A553F2"/>
    <w:rsid w:val="00A5557B"/>
    <w:rsid w:val="00A55655"/>
    <w:rsid w:val="00A556DD"/>
    <w:rsid w:val="00A55707"/>
    <w:rsid w:val="00A55CE5"/>
    <w:rsid w:val="00A55DD8"/>
    <w:rsid w:val="00A55E53"/>
    <w:rsid w:val="00A561B2"/>
    <w:rsid w:val="00A56359"/>
    <w:rsid w:val="00A56427"/>
    <w:rsid w:val="00A56479"/>
    <w:rsid w:val="00A56541"/>
    <w:rsid w:val="00A5664A"/>
    <w:rsid w:val="00A566EC"/>
    <w:rsid w:val="00A56708"/>
    <w:rsid w:val="00A567EF"/>
    <w:rsid w:val="00A56AF7"/>
    <w:rsid w:val="00A56B63"/>
    <w:rsid w:val="00A56CF7"/>
    <w:rsid w:val="00A56DF3"/>
    <w:rsid w:val="00A56FB4"/>
    <w:rsid w:val="00A56FEF"/>
    <w:rsid w:val="00A5702F"/>
    <w:rsid w:val="00A57293"/>
    <w:rsid w:val="00A572D3"/>
    <w:rsid w:val="00A5745C"/>
    <w:rsid w:val="00A575B0"/>
    <w:rsid w:val="00A577F9"/>
    <w:rsid w:val="00A57829"/>
    <w:rsid w:val="00A5786D"/>
    <w:rsid w:val="00A579D9"/>
    <w:rsid w:val="00A57A0D"/>
    <w:rsid w:val="00A57A77"/>
    <w:rsid w:val="00A57AA0"/>
    <w:rsid w:val="00A57B04"/>
    <w:rsid w:val="00A57CDF"/>
    <w:rsid w:val="00A57E86"/>
    <w:rsid w:val="00A57ED8"/>
    <w:rsid w:val="00A60165"/>
    <w:rsid w:val="00A602E0"/>
    <w:rsid w:val="00A603E4"/>
    <w:rsid w:val="00A60402"/>
    <w:rsid w:val="00A605A2"/>
    <w:rsid w:val="00A609A6"/>
    <w:rsid w:val="00A60C21"/>
    <w:rsid w:val="00A611E5"/>
    <w:rsid w:val="00A613AA"/>
    <w:rsid w:val="00A61420"/>
    <w:rsid w:val="00A616B3"/>
    <w:rsid w:val="00A6195D"/>
    <w:rsid w:val="00A61C6E"/>
    <w:rsid w:val="00A61FB7"/>
    <w:rsid w:val="00A622A9"/>
    <w:rsid w:val="00A626D2"/>
    <w:rsid w:val="00A62946"/>
    <w:rsid w:val="00A62C0E"/>
    <w:rsid w:val="00A62C65"/>
    <w:rsid w:val="00A62CB9"/>
    <w:rsid w:val="00A6340B"/>
    <w:rsid w:val="00A63575"/>
    <w:rsid w:val="00A635F1"/>
    <w:rsid w:val="00A63AD8"/>
    <w:rsid w:val="00A63AE7"/>
    <w:rsid w:val="00A63EE9"/>
    <w:rsid w:val="00A6403B"/>
    <w:rsid w:val="00A6457B"/>
    <w:rsid w:val="00A645D1"/>
    <w:rsid w:val="00A6482F"/>
    <w:rsid w:val="00A64C1E"/>
    <w:rsid w:val="00A64E07"/>
    <w:rsid w:val="00A64E8D"/>
    <w:rsid w:val="00A64F12"/>
    <w:rsid w:val="00A6576F"/>
    <w:rsid w:val="00A657D7"/>
    <w:rsid w:val="00A65815"/>
    <w:rsid w:val="00A6582C"/>
    <w:rsid w:val="00A65948"/>
    <w:rsid w:val="00A65BC6"/>
    <w:rsid w:val="00A66277"/>
    <w:rsid w:val="00A666D6"/>
    <w:rsid w:val="00A6677F"/>
    <w:rsid w:val="00A667F5"/>
    <w:rsid w:val="00A6695A"/>
    <w:rsid w:val="00A66C72"/>
    <w:rsid w:val="00A66D52"/>
    <w:rsid w:val="00A66DFD"/>
    <w:rsid w:val="00A66E11"/>
    <w:rsid w:val="00A66F51"/>
    <w:rsid w:val="00A6724B"/>
    <w:rsid w:val="00A67279"/>
    <w:rsid w:val="00A675C3"/>
    <w:rsid w:val="00A67AFA"/>
    <w:rsid w:val="00A67B3A"/>
    <w:rsid w:val="00A67C86"/>
    <w:rsid w:val="00A67D0C"/>
    <w:rsid w:val="00A70016"/>
    <w:rsid w:val="00A70099"/>
    <w:rsid w:val="00A70120"/>
    <w:rsid w:val="00A7015B"/>
    <w:rsid w:val="00A70525"/>
    <w:rsid w:val="00A70747"/>
    <w:rsid w:val="00A70AC4"/>
    <w:rsid w:val="00A70BF5"/>
    <w:rsid w:val="00A71048"/>
    <w:rsid w:val="00A71629"/>
    <w:rsid w:val="00A71718"/>
    <w:rsid w:val="00A71832"/>
    <w:rsid w:val="00A71950"/>
    <w:rsid w:val="00A71958"/>
    <w:rsid w:val="00A719EC"/>
    <w:rsid w:val="00A71B78"/>
    <w:rsid w:val="00A71D9C"/>
    <w:rsid w:val="00A722D9"/>
    <w:rsid w:val="00A72368"/>
    <w:rsid w:val="00A725F1"/>
    <w:rsid w:val="00A72626"/>
    <w:rsid w:val="00A7267D"/>
    <w:rsid w:val="00A727F2"/>
    <w:rsid w:val="00A7297A"/>
    <w:rsid w:val="00A729DB"/>
    <w:rsid w:val="00A72CC7"/>
    <w:rsid w:val="00A72D0D"/>
    <w:rsid w:val="00A72D12"/>
    <w:rsid w:val="00A72E7D"/>
    <w:rsid w:val="00A72EC2"/>
    <w:rsid w:val="00A73282"/>
    <w:rsid w:val="00A73515"/>
    <w:rsid w:val="00A7364F"/>
    <w:rsid w:val="00A73797"/>
    <w:rsid w:val="00A7380E"/>
    <w:rsid w:val="00A73899"/>
    <w:rsid w:val="00A73A31"/>
    <w:rsid w:val="00A73A52"/>
    <w:rsid w:val="00A73A90"/>
    <w:rsid w:val="00A73A92"/>
    <w:rsid w:val="00A73C07"/>
    <w:rsid w:val="00A741DB"/>
    <w:rsid w:val="00A741F6"/>
    <w:rsid w:val="00A742CB"/>
    <w:rsid w:val="00A743D3"/>
    <w:rsid w:val="00A7445F"/>
    <w:rsid w:val="00A745AB"/>
    <w:rsid w:val="00A74AAD"/>
    <w:rsid w:val="00A7534C"/>
    <w:rsid w:val="00A7535F"/>
    <w:rsid w:val="00A753CE"/>
    <w:rsid w:val="00A754CD"/>
    <w:rsid w:val="00A755E1"/>
    <w:rsid w:val="00A756AD"/>
    <w:rsid w:val="00A75710"/>
    <w:rsid w:val="00A75776"/>
    <w:rsid w:val="00A75859"/>
    <w:rsid w:val="00A75C3A"/>
    <w:rsid w:val="00A75CCA"/>
    <w:rsid w:val="00A75EA8"/>
    <w:rsid w:val="00A7646F"/>
    <w:rsid w:val="00A7654D"/>
    <w:rsid w:val="00A76579"/>
    <w:rsid w:val="00A76582"/>
    <w:rsid w:val="00A76791"/>
    <w:rsid w:val="00A76A26"/>
    <w:rsid w:val="00A76FC8"/>
    <w:rsid w:val="00A770BD"/>
    <w:rsid w:val="00A77148"/>
    <w:rsid w:val="00A774DC"/>
    <w:rsid w:val="00A7799A"/>
    <w:rsid w:val="00A8001E"/>
    <w:rsid w:val="00A800DA"/>
    <w:rsid w:val="00A80286"/>
    <w:rsid w:val="00A8086A"/>
    <w:rsid w:val="00A80882"/>
    <w:rsid w:val="00A809A7"/>
    <w:rsid w:val="00A80A56"/>
    <w:rsid w:val="00A80A7D"/>
    <w:rsid w:val="00A80C0A"/>
    <w:rsid w:val="00A8118A"/>
    <w:rsid w:val="00A8122D"/>
    <w:rsid w:val="00A81432"/>
    <w:rsid w:val="00A8178F"/>
    <w:rsid w:val="00A817DE"/>
    <w:rsid w:val="00A818C8"/>
    <w:rsid w:val="00A81950"/>
    <w:rsid w:val="00A81CD3"/>
    <w:rsid w:val="00A81CD7"/>
    <w:rsid w:val="00A82163"/>
    <w:rsid w:val="00A82295"/>
    <w:rsid w:val="00A822DF"/>
    <w:rsid w:val="00A82393"/>
    <w:rsid w:val="00A823B8"/>
    <w:rsid w:val="00A82795"/>
    <w:rsid w:val="00A82A72"/>
    <w:rsid w:val="00A82A95"/>
    <w:rsid w:val="00A82AD7"/>
    <w:rsid w:val="00A82C15"/>
    <w:rsid w:val="00A82C8D"/>
    <w:rsid w:val="00A82CE9"/>
    <w:rsid w:val="00A82D13"/>
    <w:rsid w:val="00A82D61"/>
    <w:rsid w:val="00A82F85"/>
    <w:rsid w:val="00A83273"/>
    <w:rsid w:val="00A8329C"/>
    <w:rsid w:val="00A83467"/>
    <w:rsid w:val="00A83692"/>
    <w:rsid w:val="00A83936"/>
    <w:rsid w:val="00A83A59"/>
    <w:rsid w:val="00A83E74"/>
    <w:rsid w:val="00A84456"/>
    <w:rsid w:val="00A8459B"/>
    <w:rsid w:val="00A845A0"/>
    <w:rsid w:val="00A84BEB"/>
    <w:rsid w:val="00A84C3B"/>
    <w:rsid w:val="00A84E6D"/>
    <w:rsid w:val="00A84E80"/>
    <w:rsid w:val="00A85079"/>
    <w:rsid w:val="00A85195"/>
    <w:rsid w:val="00A85512"/>
    <w:rsid w:val="00A85531"/>
    <w:rsid w:val="00A8561F"/>
    <w:rsid w:val="00A8564A"/>
    <w:rsid w:val="00A859E6"/>
    <w:rsid w:val="00A8634C"/>
    <w:rsid w:val="00A865AC"/>
    <w:rsid w:val="00A867AE"/>
    <w:rsid w:val="00A86A8D"/>
    <w:rsid w:val="00A86C3E"/>
    <w:rsid w:val="00A86F86"/>
    <w:rsid w:val="00A86FBB"/>
    <w:rsid w:val="00A87000"/>
    <w:rsid w:val="00A871CF"/>
    <w:rsid w:val="00A871F3"/>
    <w:rsid w:val="00A87244"/>
    <w:rsid w:val="00A8725B"/>
    <w:rsid w:val="00A8759E"/>
    <w:rsid w:val="00A87669"/>
    <w:rsid w:val="00A87895"/>
    <w:rsid w:val="00A87FDE"/>
    <w:rsid w:val="00A87FF0"/>
    <w:rsid w:val="00A9004D"/>
    <w:rsid w:val="00A90243"/>
    <w:rsid w:val="00A90CAE"/>
    <w:rsid w:val="00A90DD0"/>
    <w:rsid w:val="00A90EAB"/>
    <w:rsid w:val="00A90FCF"/>
    <w:rsid w:val="00A91214"/>
    <w:rsid w:val="00A9124B"/>
    <w:rsid w:val="00A9126A"/>
    <w:rsid w:val="00A915C1"/>
    <w:rsid w:val="00A9179C"/>
    <w:rsid w:val="00A91FA6"/>
    <w:rsid w:val="00A920DF"/>
    <w:rsid w:val="00A923C6"/>
    <w:rsid w:val="00A925EF"/>
    <w:rsid w:val="00A929E6"/>
    <w:rsid w:val="00A92B30"/>
    <w:rsid w:val="00A933E7"/>
    <w:rsid w:val="00A941FE"/>
    <w:rsid w:val="00A94263"/>
    <w:rsid w:val="00A94531"/>
    <w:rsid w:val="00A946B0"/>
    <w:rsid w:val="00A947AC"/>
    <w:rsid w:val="00A94844"/>
    <w:rsid w:val="00A94952"/>
    <w:rsid w:val="00A94972"/>
    <w:rsid w:val="00A94A5F"/>
    <w:rsid w:val="00A94C1B"/>
    <w:rsid w:val="00A94FA1"/>
    <w:rsid w:val="00A953C8"/>
    <w:rsid w:val="00A953D0"/>
    <w:rsid w:val="00A95451"/>
    <w:rsid w:val="00A955A7"/>
    <w:rsid w:val="00A9577C"/>
    <w:rsid w:val="00A9578D"/>
    <w:rsid w:val="00A95920"/>
    <w:rsid w:val="00A95C39"/>
    <w:rsid w:val="00A95C88"/>
    <w:rsid w:val="00A95E98"/>
    <w:rsid w:val="00A9613B"/>
    <w:rsid w:val="00A961F7"/>
    <w:rsid w:val="00A96234"/>
    <w:rsid w:val="00A964D8"/>
    <w:rsid w:val="00A96527"/>
    <w:rsid w:val="00A965FC"/>
    <w:rsid w:val="00A96AA1"/>
    <w:rsid w:val="00A96B92"/>
    <w:rsid w:val="00A96BF9"/>
    <w:rsid w:val="00A96C59"/>
    <w:rsid w:val="00A97295"/>
    <w:rsid w:val="00A973C6"/>
    <w:rsid w:val="00A97669"/>
    <w:rsid w:val="00A977F7"/>
    <w:rsid w:val="00A97935"/>
    <w:rsid w:val="00A97BB0"/>
    <w:rsid w:val="00AA03FE"/>
    <w:rsid w:val="00AA0524"/>
    <w:rsid w:val="00AA0A9F"/>
    <w:rsid w:val="00AA0CCA"/>
    <w:rsid w:val="00AA14AD"/>
    <w:rsid w:val="00AA15BB"/>
    <w:rsid w:val="00AA1602"/>
    <w:rsid w:val="00AA1A12"/>
    <w:rsid w:val="00AA1D8E"/>
    <w:rsid w:val="00AA2053"/>
    <w:rsid w:val="00AA2170"/>
    <w:rsid w:val="00AA21DB"/>
    <w:rsid w:val="00AA24B0"/>
    <w:rsid w:val="00AA24E5"/>
    <w:rsid w:val="00AA24F7"/>
    <w:rsid w:val="00AA28FD"/>
    <w:rsid w:val="00AA2978"/>
    <w:rsid w:val="00AA2B11"/>
    <w:rsid w:val="00AA2DD6"/>
    <w:rsid w:val="00AA303B"/>
    <w:rsid w:val="00AA30BD"/>
    <w:rsid w:val="00AA31C8"/>
    <w:rsid w:val="00AA35C0"/>
    <w:rsid w:val="00AA3B7F"/>
    <w:rsid w:val="00AA3BDE"/>
    <w:rsid w:val="00AA3E24"/>
    <w:rsid w:val="00AA3EC9"/>
    <w:rsid w:val="00AA421C"/>
    <w:rsid w:val="00AA48E3"/>
    <w:rsid w:val="00AA4A58"/>
    <w:rsid w:val="00AA525D"/>
    <w:rsid w:val="00AA52A7"/>
    <w:rsid w:val="00AA55FD"/>
    <w:rsid w:val="00AA5785"/>
    <w:rsid w:val="00AA5858"/>
    <w:rsid w:val="00AA5B34"/>
    <w:rsid w:val="00AA5EAC"/>
    <w:rsid w:val="00AA606C"/>
    <w:rsid w:val="00AA6209"/>
    <w:rsid w:val="00AA66C8"/>
    <w:rsid w:val="00AA6BBB"/>
    <w:rsid w:val="00AA6BF1"/>
    <w:rsid w:val="00AA6BFC"/>
    <w:rsid w:val="00AA6C2C"/>
    <w:rsid w:val="00AA6C54"/>
    <w:rsid w:val="00AA6CB0"/>
    <w:rsid w:val="00AA6D12"/>
    <w:rsid w:val="00AA6F0C"/>
    <w:rsid w:val="00AA6F44"/>
    <w:rsid w:val="00AA7581"/>
    <w:rsid w:val="00AA759E"/>
    <w:rsid w:val="00AA7633"/>
    <w:rsid w:val="00AA767A"/>
    <w:rsid w:val="00AA7758"/>
    <w:rsid w:val="00AA77E2"/>
    <w:rsid w:val="00AA7AB9"/>
    <w:rsid w:val="00AA7EC5"/>
    <w:rsid w:val="00AA7F6D"/>
    <w:rsid w:val="00AB03CC"/>
    <w:rsid w:val="00AB0444"/>
    <w:rsid w:val="00AB0491"/>
    <w:rsid w:val="00AB052D"/>
    <w:rsid w:val="00AB058A"/>
    <w:rsid w:val="00AB05DC"/>
    <w:rsid w:val="00AB06A6"/>
    <w:rsid w:val="00AB0B4B"/>
    <w:rsid w:val="00AB0C3A"/>
    <w:rsid w:val="00AB1125"/>
    <w:rsid w:val="00AB16C1"/>
    <w:rsid w:val="00AB1910"/>
    <w:rsid w:val="00AB1A70"/>
    <w:rsid w:val="00AB1E7C"/>
    <w:rsid w:val="00AB20D1"/>
    <w:rsid w:val="00AB2187"/>
    <w:rsid w:val="00AB240F"/>
    <w:rsid w:val="00AB266B"/>
    <w:rsid w:val="00AB2BFA"/>
    <w:rsid w:val="00AB2C27"/>
    <w:rsid w:val="00AB2E9F"/>
    <w:rsid w:val="00AB2F7D"/>
    <w:rsid w:val="00AB320D"/>
    <w:rsid w:val="00AB327E"/>
    <w:rsid w:val="00AB35F6"/>
    <w:rsid w:val="00AB3770"/>
    <w:rsid w:val="00AB3B42"/>
    <w:rsid w:val="00AB3BE1"/>
    <w:rsid w:val="00AB3D95"/>
    <w:rsid w:val="00AB3E0D"/>
    <w:rsid w:val="00AB3E35"/>
    <w:rsid w:val="00AB3FDC"/>
    <w:rsid w:val="00AB4291"/>
    <w:rsid w:val="00AB485B"/>
    <w:rsid w:val="00AB4D63"/>
    <w:rsid w:val="00AB4DB2"/>
    <w:rsid w:val="00AB5415"/>
    <w:rsid w:val="00AB54BF"/>
    <w:rsid w:val="00AB57BF"/>
    <w:rsid w:val="00AB5853"/>
    <w:rsid w:val="00AB5941"/>
    <w:rsid w:val="00AB59B7"/>
    <w:rsid w:val="00AB5DC5"/>
    <w:rsid w:val="00AB5E3B"/>
    <w:rsid w:val="00AB5E93"/>
    <w:rsid w:val="00AB603C"/>
    <w:rsid w:val="00AB60F9"/>
    <w:rsid w:val="00AB628A"/>
    <w:rsid w:val="00AB6450"/>
    <w:rsid w:val="00AB6476"/>
    <w:rsid w:val="00AB65E5"/>
    <w:rsid w:val="00AB6726"/>
    <w:rsid w:val="00AB6932"/>
    <w:rsid w:val="00AB6B22"/>
    <w:rsid w:val="00AB6CE9"/>
    <w:rsid w:val="00AB6D0B"/>
    <w:rsid w:val="00AB7008"/>
    <w:rsid w:val="00AB70A2"/>
    <w:rsid w:val="00AB7267"/>
    <w:rsid w:val="00AB745F"/>
    <w:rsid w:val="00AB763C"/>
    <w:rsid w:val="00AB77E8"/>
    <w:rsid w:val="00AB78FF"/>
    <w:rsid w:val="00AB7A2E"/>
    <w:rsid w:val="00AB7C02"/>
    <w:rsid w:val="00AB7C31"/>
    <w:rsid w:val="00AB7E36"/>
    <w:rsid w:val="00AB7E52"/>
    <w:rsid w:val="00AB7F11"/>
    <w:rsid w:val="00AC0066"/>
    <w:rsid w:val="00AC006D"/>
    <w:rsid w:val="00AC00B3"/>
    <w:rsid w:val="00AC0271"/>
    <w:rsid w:val="00AC02A8"/>
    <w:rsid w:val="00AC0345"/>
    <w:rsid w:val="00AC05A7"/>
    <w:rsid w:val="00AC09A4"/>
    <w:rsid w:val="00AC09AC"/>
    <w:rsid w:val="00AC0B05"/>
    <w:rsid w:val="00AC0F00"/>
    <w:rsid w:val="00AC1349"/>
    <w:rsid w:val="00AC1386"/>
    <w:rsid w:val="00AC1495"/>
    <w:rsid w:val="00AC15BB"/>
    <w:rsid w:val="00AC165F"/>
    <w:rsid w:val="00AC17FF"/>
    <w:rsid w:val="00AC1CB8"/>
    <w:rsid w:val="00AC21C5"/>
    <w:rsid w:val="00AC2551"/>
    <w:rsid w:val="00AC256D"/>
    <w:rsid w:val="00AC2601"/>
    <w:rsid w:val="00AC2642"/>
    <w:rsid w:val="00AC290F"/>
    <w:rsid w:val="00AC2BA5"/>
    <w:rsid w:val="00AC2CD1"/>
    <w:rsid w:val="00AC2CFF"/>
    <w:rsid w:val="00AC2D15"/>
    <w:rsid w:val="00AC2E73"/>
    <w:rsid w:val="00AC2EF3"/>
    <w:rsid w:val="00AC2F63"/>
    <w:rsid w:val="00AC3495"/>
    <w:rsid w:val="00AC361A"/>
    <w:rsid w:val="00AC41C5"/>
    <w:rsid w:val="00AC43F5"/>
    <w:rsid w:val="00AC4449"/>
    <w:rsid w:val="00AC4862"/>
    <w:rsid w:val="00AC49A9"/>
    <w:rsid w:val="00AC4B56"/>
    <w:rsid w:val="00AC51D2"/>
    <w:rsid w:val="00AC533D"/>
    <w:rsid w:val="00AC53FC"/>
    <w:rsid w:val="00AC5538"/>
    <w:rsid w:val="00AC56E9"/>
    <w:rsid w:val="00AC57BF"/>
    <w:rsid w:val="00AC5845"/>
    <w:rsid w:val="00AC5B81"/>
    <w:rsid w:val="00AC5D3F"/>
    <w:rsid w:val="00AC5E93"/>
    <w:rsid w:val="00AC5FB0"/>
    <w:rsid w:val="00AC5FFA"/>
    <w:rsid w:val="00AC64C0"/>
    <w:rsid w:val="00AC652A"/>
    <w:rsid w:val="00AC6665"/>
    <w:rsid w:val="00AC6707"/>
    <w:rsid w:val="00AC6827"/>
    <w:rsid w:val="00AC688C"/>
    <w:rsid w:val="00AC69F7"/>
    <w:rsid w:val="00AC6A1D"/>
    <w:rsid w:val="00AC6BA4"/>
    <w:rsid w:val="00AC6D05"/>
    <w:rsid w:val="00AC6EE7"/>
    <w:rsid w:val="00AC71D5"/>
    <w:rsid w:val="00AC72CE"/>
    <w:rsid w:val="00AC761E"/>
    <w:rsid w:val="00AC77C2"/>
    <w:rsid w:val="00AC7C6D"/>
    <w:rsid w:val="00AD0162"/>
    <w:rsid w:val="00AD025C"/>
    <w:rsid w:val="00AD057C"/>
    <w:rsid w:val="00AD0A29"/>
    <w:rsid w:val="00AD0B33"/>
    <w:rsid w:val="00AD0B8F"/>
    <w:rsid w:val="00AD0D93"/>
    <w:rsid w:val="00AD0FF4"/>
    <w:rsid w:val="00AD117E"/>
    <w:rsid w:val="00AD17B9"/>
    <w:rsid w:val="00AD1807"/>
    <w:rsid w:val="00AD18A7"/>
    <w:rsid w:val="00AD1C66"/>
    <w:rsid w:val="00AD1EA0"/>
    <w:rsid w:val="00AD1F11"/>
    <w:rsid w:val="00AD1FF4"/>
    <w:rsid w:val="00AD20DA"/>
    <w:rsid w:val="00AD2170"/>
    <w:rsid w:val="00AD22FC"/>
    <w:rsid w:val="00AD24EF"/>
    <w:rsid w:val="00AD2535"/>
    <w:rsid w:val="00AD25A6"/>
    <w:rsid w:val="00AD26BF"/>
    <w:rsid w:val="00AD2969"/>
    <w:rsid w:val="00AD2CC1"/>
    <w:rsid w:val="00AD2CEA"/>
    <w:rsid w:val="00AD2F93"/>
    <w:rsid w:val="00AD3276"/>
    <w:rsid w:val="00AD32FD"/>
    <w:rsid w:val="00AD3831"/>
    <w:rsid w:val="00AD3A1F"/>
    <w:rsid w:val="00AD3C0C"/>
    <w:rsid w:val="00AD3D51"/>
    <w:rsid w:val="00AD3E36"/>
    <w:rsid w:val="00AD4336"/>
    <w:rsid w:val="00AD4483"/>
    <w:rsid w:val="00AD47D4"/>
    <w:rsid w:val="00AD484C"/>
    <w:rsid w:val="00AD48EF"/>
    <w:rsid w:val="00AD4A11"/>
    <w:rsid w:val="00AD4AFA"/>
    <w:rsid w:val="00AD4B8F"/>
    <w:rsid w:val="00AD4D19"/>
    <w:rsid w:val="00AD4D24"/>
    <w:rsid w:val="00AD4DB4"/>
    <w:rsid w:val="00AD4E9E"/>
    <w:rsid w:val="00AD5043"/>
    <w:rsid w:val="00AD5266"/>
    <w:rsid w:val="00AD52F5"/>
    <w:rsid w:val="00AD53F9"/>
    <w:rsid w:val="00AD5735"/>
    <w:rsid w:val="00AD58E3"/>
    <w:rsid w:val="00AD5962"/>
    <w:rsid w:val="00AD59D7"/>
    <w:rsid w:val="00AD59E0"/>
    <w:rsid w:val="00AD5A24"/>
    <w:rsid w:val="00AD5A3B"/>
    <w:rsid w:val="00AD5AF3"/>
    <w:rsid w:val="00AD5C63"/>
    <w:rsid w:val="00AD601A"/>
    <w:rsid w:val="00AD624B"/>
    <w:rsid w:val="00AD6440"/>
    <w:rsid w:val="00AD6B0D"/>
    <w:rsid w:val="00AD6C8C"/>
    <w:rsid w:val="00AD6DE7"/>
    <w:rsid w:val="00AD708F"/>
    <w:rsid w:val="00AD7149"/>
    <w:rsid w:val="00AD7233"/>
    <w:rsid w:val="00AD73E6"/>
    <w:rsid w:val="00AD74EB"/>
    <w:rsid w:val="00AD753E"/>
    <w:rsid w:val="00AD75F6"/>
    <w:rsid w:val="00AD78C9"/>
    <w:rsid w:val="00AD78F8"/>
    <w:rsid w:val="00AD7985"/>
    <w:rsid w:val="00AD7A56"/>
    <w:rsid w:val="00AD7B88"/>
    <w:rsid w:val="00AD7B9F"/>
    <w:rsid w:val="00AD7C3D"/>
    <w:rsid w:val="00AD7D5F"/>
    <w:rsid w:val="00AE00CA"/>
    <w:rsid w:val="00AE026F"/>
    <w:rsid w:val="00AE02BD"/>
    <w:rsid w:val="00AE092F"/>
    <w:rsid w:val="00AE0A6C"/>
    <w:rsid w:val="00AE0DA0"/>
    <w:rsid w:val="00AE1043"/>
    <w:rsid w:val="00AE12FB"/>
    <w:rsid w:val="00AE134C"/>
    <w:rsid w:val="00AE1492"/>
    <w:rsid w:val="00AE1579"/>
    <w:rsid w:val="00AE1898"/>
    <w:rsid w:val="00AE1940"/>
    <w:rsid w:val="00AE1977"/>
    <w:rsid w:val="00AE1AC2"/>
    <w:rsid w:val="00AE1C83"/>
    <w:rsid w:val="00AE1D79"/>
    <w:rsid w:val="00AE1DAC"/>
    <w:rsid w:val="00AE1F9A"/>
    <w:rsid w:val="00AE2271"/>
    <w:rsid w:val="00AE2584"/>
    <w:rsid w:val="00AE2801"/>
    <w:rsid w:val="00AE28F0"/>
    <w:rsid w:val="00AE2D62"/>
    <w:rsid w:val="00AE2F5D"/>
    <w:rsid w:val="00AE3175"/>
    <w:rsid w:val="00AE34FC"/>
    <w:rsid w:val="00AE3552"/>
    <w:rsid w:val="00AE3685"/>
    <w:rsid w:val="00AE3ABC"/>
    <w:rsid w:val="00AE3C4D"/>
    <w:rsid w:val="00AE3D26"/>
    <w:rsid w:val="00AE4052"/>
    <w:rsid w:val="00AE4287"/>
    <w:rsid w:val="00AE42D6"/>
    <w:rsid w:val="00AE44C4"/>
    <w:rsid w:val="00AE45FF"/>
    <w:rsid w:val="00AE4637"/>
    <w:rsid w:val="00AE4664"/>
    <w:rsid w:val="00AE46B4"/>
    <w:rsid w:val="00AE4B21"/>
    <w:rsid w:val="00AE4CEE"/>
    <w:rsid w:val="00AE4FD6"/>
    <w:rsid w:val="00AE51A9"/>
    <w:rsid w:val="00AE5238"/>
    <w:rsid w:val="00AE528C"/>
    <w:rsid w:val="00AE5F6A"/>
    <w:rsid w:val="00AE6137"/>
    <w:rsid w:val="00AE6284"/>
    <w:rsid w:val="00AE63CB"/>
    <w:rsid w:val="00AE64AA"/>
    <w:rsid w:val="00AE65B0"/>
    <w:rsid w:val="00AE66A8"/>
    <w:rsid w:val="00AE685B"/>
    <w:rsid w:val="00AE6C34"/>
    <w:rsid w:val="00AE6DBA"/>
    <w:rsid w:val="00AE7348"/>
    <w:rsid w:val="00AE74D5"/>
    <w:rsid w:val="00AE7A6E"/>
    <w:rsid w:val="00AE7B1F"/>
    <w:rsid w:val="00AE7D2B"/>
    <w:rsid w:val="00AE7F90"/>
    <w:rsid w:val="00AF0001"/>
    <w:rsid w:val="00AF01C7"/>
    <w:rsid w:val="00AF0288"/>
    <w:rsid w:val="00AF06A5"/>
    <w:rsid w:val="00AF0A2C"/>
    <w:rsid w:val="00AF0B5D"/>
    <w:rsid w:val="00AF0BF8"/>
    <w:rsid w:val="00AF0D06"/>
    <w:rsid w:val="00AF0D37"/>
    <w:rsid w:val="00AF0ED2"/>
    <w:rsid w:val="00AF1006"/>
    <w:rsid w:val="00AF12EE"/>
    <w:rsid w:val="00AF19E9"/>
    <w:rsid w:val="00AF2981"/>
    <w:rsid w:val="00AF2988"/>
    <w:rsid w:val="00AF2E54"/>
    <w:rsid w:val="00AF320B"/>
    <w:rsid w:val="00AF327B"/>
    <w:rsid w:val="00AF330B"/>
    <w:rsid w:val="00AF35D2"/>
    <w:rsid w:val="00AF35F0"/>
    <w:rsid w:val="00AF35FF"/>
    <w:rsid w:val="00AF385B"/>
    <w:rsid w:val="00AF3B89"/>
    <w:rsid w:val="00AF3D04"/>
    <w:rsid w:val="00AF3DA4"/>
    <w:rsid w:val="00AF4034"/>
    <w:rsid w:val="00AF46FB"/>
    <w:rsid w:val="00AF4723"/>
    <w:rsid w:val="00AF498B"/>
    <w:rsid w:val="00AF4BB4"/>
    <w:rsid w:val="00AF5097"/>
    <w:rsid w:val="00AF541F"/>
    <w:rsid w:val="00AF5487"/>
    <w:rsid w:val="00AF54A5"/>
    <w:rsid w:val="00AF550D"/>
    <w:rsid w:val="00AF56BB"/>
    <w:rsid w:val="00AF5BDE"/>
    <w:rsid w:val="00AF5CB4"/>
    <w:rsid w:val="00AF5DF9"/>
    <w:rsid w:val="00AF60A5"/>
    <w:rsid w:val="00AF614D"/>
    <w:rsid w:val="00AF6331"/>
    <w:rsid w:val="00AF6335"/>
    <w:rsid w:val="00AF645A"/>
    <w:rsid w:val="00AF679E"/>
    <w:rsid w:val="00AF6ACD"/>
    <w:rsid w:val="00AF6DC7"/>
    <w:rsid w:val="00AF7334"/>
    <w:rsid w:val="00AF7505"/>
    <w:rsid w:val="00AF7513"/>
    <w:rsid w:val="00AF7999"/>
    <w:rsid w:val="00AF7C34"/>
    <w:rsid w:val="00AF7E84"/>
    <w:rsid w:val="00B00123"/>
    <w:rsid w:val="00B004C2"/>
    <w:rsid w:val="00B00740"/>
    <w:rsid w:val="00B007E9"/>
    <w:rsid w:val="00B009E9"/>
    <w:rsid w:val="00B01098"/>
    <w:rsid w:val="00B013BE"/>
    <w:rsid w:val="00B01594"/>
    <w:rsid w:val="00B01D63"/>
    <w:rsid w:val="00B01FC7"/>
    <w:rsid w:val="00B01FCE"/>
    <w:rsid w:val="00B0207B"/>
    <w:rsid w:val="00B0214B"/>
    <w:rsid w:val="00B024A2"/>
    <w:rsid w:val="00B025DA"/>
    <w:rsid w:val="00B025F6"/>
    <w:rsid w:val="00B028FF"/>
    <w:rsid w:val="00B02A68"/>
    <w:rsid w:val="00B02B86"/>
    <w:rsid w:val="00B02CD5"/>
    <w:rsid w:val="00B02D70"/>
    <w:rsid w:val="00B02DA0"/>
    <w:rsid w:val="00B02E60"/>
    <w:rsid w:val="00B030B7"/>
    <w:rsid w:val="00B03193"/>
    <w:rsid w:val="00B03297"/>
    <w:rsid w:val="00B035F0"/>
    <w:rsid w:val="00B03624"/>
    <w:rsid w:val="00B03791"/>
    <w:rsid w:val="00B037E3"/>
    <w:rsid w:val="00B03943"/>
    <w:rsid w:val="00B03953"/>
    <w:rsid w:val="00B03B5B"/>
    <w:rsid w:val="00B03D01"/>
    <w:rsid w:val="00B03F3A"/>
    <w:rsid w:val="00B04091"/>
    <w:rsid w:val="00B0469C"/>
    <w:rsid w:val="00B046E8"/>
    <w:rsid w:val="00B04A91"/>
    <w:rsid w:val="00B04C4A"/>
    <w:rsid w:val="00B04F26"/>
    <w:rsid w:val="00B05197"/>
    <w:rsid w:val="00B052B3"/>
    <w:rsid w:val="00B05337"/>
    <w:rsid w:val="00B05573"/>
    <w:rsid w:val="00B05699"/>
    <w:rsid w:val="00B0575F"/>
    <w:rsid w:val="00B058CC"/>
    <w:rsid w:val="00B05909"/>
    <w:rsid w:val="00B05A1A"/>
    <w:rsid w:val="00B05C7C"/>
    <w:rsid w:val="00B05E41"/>
    <w:rsid w:val="00B06047"/>
    <w:rsid w:val="00B0610A"/>
    <w:rsid w:val="00B064A4"/>
    <w:rsid w:val="00B065BF"/>
    <w:rsid w:val="00B06678"/>
    <w:rsid w:val="00B06841"/>
    <w:rsid w:val="00B0698F"/>
    <w:rsid w:val="00B069E6"/>
    <w:rsid w:val="00B06B0D"/>
    <w:rsid w:val="00B06B90"/>
    <w:rsid w:val="00B06ECF"/>
    <w:rsid w:val="00B0708F"/>
    <w:rsid w:val="00B0729E"/>
    <w:rsid w:val="00B07390"/>
    <w:rsid w:val="00B0740C"/>
    <w:rsid w:val="00B07586"/>
    <w:rsid w:val="00B079B5"/>
    <w:rsid w:val="00B07A04"/>
    <w:rsid w:val="00B10041"/>
    <w:rsid w:val="00B102D0"/>
    <w:rsid w:val="00B1032D"/>
    <w:rsid w:val="00B10462"/>
    <w:rsid w:val="00B10673"/>
    <w:rsid w:val="00B10801"/>
    <w:rsid w:val="00B10AEC"/>
    <w:rsid w:val="00B10CB7"/>
    <w:rsid w:val="00B10CDF"/>
    <w:rsid w:val="00B11222"/>
    <w:rsid w:val="00B1124F"/>
    <w:rsid w:val="00B1130C"/>
    <w:rsid w:val="00B115DC"/>
    <w:rsid w:val="00B1185D"/>
    <w:rsid w:val="00B118DB"/>
    <w:rsid w:val="00B11949"/>
    <w:rsid w:val="00B1195E"/>
    <w:rsid w:val="00B11A77"/>
    <w:rsid w:val="00B11B22"/>
    <w:rsid w:val="00B11D93"/>
    <w:rsid w:val="00B11EB5"/>
    <w:rsid w:val="00B121F9"/>
    <w:rsid w:val="00B12484"/>
    <w:rsid w:val="00B12516"/>
    <w:rsid w:val="00B12538"/>
    <w:rsid w:val="00B12903"/>
    <w:rsid w:val="00B12D72"/>
    <w:rsid w:val="00B12F19"/>
    <w:rsid w:val="00B131F8"/>
    <w:rsid w:val="00B132D9"/>
    <w:rsid w:val="00B1376E"/>
    <w:rsid w:val="00B13CB7"/>
    <w:rsid w:val="00B13D25"/>
    <w:rsid w:val="00B13E45"/>
    <w:rsid w:val="00B13EB9"/>
    <w:rsid w:val="00B1422C"/>
    <w:rsid w:val="00B142B0"/>
    <w:rsid w:val="00B1438A"/>
    <w:rsid w:val="00B1438C"/>
    <w:rsid w:val="00B14899"/>
    <w:rsid w:val="00B14B2C"/>
    <w:rsid w:val="00B14B62"/>
    <w:rsid w:val="00B14BEC"/>
    <w:rsid w:val="00B14CC7"/>
    <w:rsid w:val="00B1503B"/>
    <w:rsid w:val="00B150DD"/>
    <w:rsid w:val="00B15174"/>
    <w:rsid w:val="00B1551F"/>
    <w:rsid w:val="00B155A4"/>
    <w:rsid w:val="00B15B0A"/>
    <w:rsid w:val="00B15C0A"/>
    <w:rsid w:val="00B15F7E"/>
    <w:rsid w:val="00B16569"/>
    <w:rsid w:val="00B16D7D"/>
    <w:rsid w:val="00B16DF8"/>
    <w:rsid w:val="00B16EBE"/>
    <w:rsid w:val="00B16FB9"/>
    <w:rsid w:val="00B16FED"/>
    <w:rsid w:val="00B17086"/>
    <w:rsid w:val="00B1718E"/>
    <w:rsid w:val="00B17191"/>
    <w:rsid w:val="00B171EB"/>
    <w:rsid w:val="00B174DF"/>
    <w:rsid w:val="00B1779C"/>
    <w:rsid w:val="00B178A1"/>
    <w:rsid w:val="00B179C7"/>
    <w:rsid w:val="00B17B05"/>
    <w:rsid w:val="00B17CA2"/>
    <w:rsid w:val="00B17CA5"/>
    <w:rsid w:val="00B17EC3"/>
    <w:rsid w:val="00B200F8"/>
    <w:rsid w:val="00B2012E"/>
    <w:rsid w:val="00B20275"/>
    <w:rsid w:val="00B203CD"/>
    <w:rsid w:val="00B20478"/>
    <w:rsid w:val="00B20536"/>
    <w:rsid w:val="00B20781"/>
    <w:rsid w:val="00B20BF6"/>
    <w:rsid w:val="00B20F91"/>
    <w:rsid w:val="00B2108E"/>
    <w:rsid w:val="00B21373"/>
    <w:rsid w:val="00B21392"/>
    <w:rsid w:val="00B215D0"/>
    <w:rsid w:val="00B2186F"/>
    <w:rsid w:val="00B21A39"/>
    <w:rsid w:val="00B21A7D"/>
    <w:rsid w:val="00B21AAB"/>
    <w:rsid w:val="00B21C30"/>
    <w:rsid w:val="00B21D35"/>
    <w:rsid w:val="00B2219A"/>
    <w:rsid w:val="00B22205"/>
    <w:rsid w:val="00B22207"/>
    <w:rsid w:val="00B22354"/>
    <w:rsid w:val="00B22452"/>
    <w:rsid w:val="00B229EB"/>
    <w:rsid w:val="00B22B34"/>
    <w:rsid w:val="00B22C82"/>
    <w:rsid w:val="00B22E68"/>
    <w:rsid w:val="00B22FFA"/>
    <w:rsid w:val="00B2321E"/>
    <w:rsid w:val="00B23330"/>
    <w:rsid w:val="00B234CD"/>
    <w:rsid w:val="00B2355F"/>
    <w:rsid w:val="00B23677"/>
    <w:rsid w:val="00B236C3"/>
    <w:rsid w:val="00B23CAA"/>
    <w:rsid w:val="00B2410D"/>
    <w:rsid w:val="00B24130"/>
    <w:rsid w:val="00B2422E"/>
    <w:rsid w:val="00B2426B"/>
    <w:rsid w:val="00B24353"/>
    <w:rsid w:val="00B2442C"/>
    <w:rsid w:val="00B245C0"/>
    <w:rsid w:val="00B2480C"/>
    <w:rsid w:val="00B24975"/>
    <w:rsid w:val="00B24ACB"/>
    <w:rsid w:val="00B250E0"/>
    <w:rsid w:val="00B251C8"/>
    <w:rsid w:val="00B25500"/>
    <w:rsid w:val="00B255B0"/>
    <w:rsid w:val="00B2581A"/>
    <w:rsid w:val="00B25823"/>
    <w:rsid w:val="00B258F7"/>
    <w:rsid w:val="00B25A47"/>
    <w:rsid w:val="00B25F75"/>
    <w:rsid w:val="00B26038"/>
    <w:rsid w:val="00B26074"/>
    <w:rsid w:val="00B26390"/>
    <w:rsid w:val="00B264B5"/>
    <w:rsid w:val="00B26514"/>
    <w:rsid w:val="00B26C14"/>
    <w:rsid w:val="00B26C25"/>
    <w:rsid w:val="00B26FCF"/>
    <w:rsid w:val="00B27195"/>
    <w:rsid w:val="00B27AF1"/>
    <w:rsid w:val="00B27CAA"/>
    <w:rsid w:val="00B27CB1"/>
    <w:rsid w:val="00B3000C"/>
    <w:rsid w:val="00B301F2"/>
    <w:rsid w:val="00B3036C"/>
    <w:rsid w:val="00B30503"/>
    <w:rsid w:val="00B30797"/>
    <w:rsid w:val="00B307EA"/>
    <w:rsid w:val="00B307FB"/>
    <w:rsid w:val="00B3085F"/>
    <w:rsid w:val="00B30B94"/>
    <w:rsid w:val="00B30BC3"/>
    <w:rsid w:val="00B30CE1"/>
    <w:rsid w:val="00B30FB8"/>
    <w:rsid w:val="00B31774"/>
    <w:rsid w:val="00B31AD4"/>
    <w:rsid w:val="00B31D8D"/>
    <w:rsid w:val="00B3255A"/>
    <w:rsid w:val="00B325DA"/>
    <w:rsid w:val="00B32638"/>
    <w:rsid w:val="00B328BD"/>
    <w:rsid w:val="00B329B4"/>
    <w:rsid w:val="00B32A1D"/>
    <w:rsid w:val="00B32B5A"/>
    <w:rsid w:val="00B32BC9"/>
    <w:rsid w:val="00B32F1E"/>
    <w:rsid w:val="00B3327E"/>
    <w:rsid w:val="00B33345"/>
    <w:rsid w:val="00B333EF"/>
    <w:rsid w:val="00B3353F"/>
    <w:rsid w:val="00B335C1"/>
    <w:rsid w:val="00B33784"/>
    <w:rsid w:val="00B33887"/>
    <w:rsid w:val="00B33C4A"/>
    <w:rsid w:val="00B33F69"/>
    <w:rsid w:val="00B341CE"/>
    <w:rsid w:val="00B3436D"/>
    <w:rsid w:val="00B344F4"/>
    <w:rsid w:val="00B3467A"/>
    <w:rsid w:val="00B34735"/>
    <w:rsid w:val="00B34843"/>
    <w:rsid w:val="00B34A1C"/>
    <w:rsid w:val="00B34A72"/>
    <w:rsid w:val="00B34B4F"/>
    <w:rsid w:val="00B34BB0"/>
    <w:rsid w:val="00B34ECC"/>
    <w:rsid w:val="00B35071"/>
    <w:rsid w:val="00B35090"/>
    <w:rsid w:val="00B35161"/>
    <w:rsid w:val="00B35298"/>
    <w:rsid w:val="00B3555E"/>
    <w:rsid w:val="00B35AB1"/>
    <w:rsid w:val="00B35B91"/>
    <w:rsid w:val="00B35C6B"/>
    <w:rsid w:val="00B35E54"/>
    <w:rsid w:val="00B363A5"/>
    <w:rsid w:val="00B365B1"/>
    <w:rsid w:val="00B36971"/>
    <w:rsid w:val="00B36DFD"/>
    <w:rsid w:val="00B37BED"/>
    <w:rsid w:val="00B37DB2"/>
    <w:rsid w:val="00B37F0D"/>
    <w:rsid w:val="00B37FA6"/>
    <w:rsid w:val="00B37FB3"/>
    <w:rsid w:val="00B400CC"/>
    <w:rsid w:val="00B400E1"/>
    <w:rsid w:val="00B40161"/>
    <w:rsid w:val="00B40345"/>
    <w:rsid w:val="00B403FF"/>
    <w:rsid w:val="00B406BE"/>
    <w:rsid w:val="00B40732"/>
    <w:rsid w:val="00B40B91"/>
    <w:rsid w:val="00B40C4C"/>
    <w:rsid w:val="00B40CB2"/>
    <w:rsid w:val="00B40DF8"/>
    <w:rsid w:val="00B41140"/>
    <w:rsid w:val="00B41303"/>
    <w:rsid w:val="00B41889"/>
    <w:rsid w:val="00B41D33"/>
    <w:rsid w:val="00B41E89"/>
    <w:rsid w:val="00B41F42"/>
    <w:rsid w:val="00B41FE2"/>
    <w:rsid w:val="00B4210A"/>
    <w:rsid w:val="00B421A9"/>
    <w:rsid w:val="00B42338"/>
    <w:rsid w:val="00B424B4"/>
    <w:rsid w:val="00B424C2"/>
    <w:rsid w:val="00B4251A"/>
    <w:rsid w:val="00B42B1A"/>
    <w:rsid w:val="00B42C01"/>
    <w:rsid w:val="00B42C64"/>
    <w:rsid w:val="00B42D7A"/>
    <w:rsid w:val="00B42E13"/>
    <w:rsid w:val="00B42E93"/>
    <w:rsid w:val="00B42FF6"/>
    <w:rsid w:val="00B43314"/>
    <w:rsid w:val="00B43381"/>
    <w:rsid w:val="00B43690"/>
    <w:rsid w:val="00B43C41"/>
    <w:rsid w:val="00B43D52"/>
    <w:rsid w:val="00B43E33"/>
    <w:rsid w:val="00B43F95"/>
    <w:rsid w:val="00B44215"/>
    <w:rsid w:val="00B447C1"/>
    <w:rsid w:val="00B448C8"/>
    <w:rsid w:val="00B44A51"/>
    <w:rsid w:val="00B44B29"/>
    <w:rsid w:val="00B44C00"/>
    <w:rsid w:val="00B45095"/>
    <w:rsid w:val="00B450D4"/>
    <w:rsid w:val="00B456A2"/>
    <w:rsid w:val="00B45803"/>
    <w:rsid w:val="00B459D2"/>
    <w:rsid w:val="00B45B72"/>
    <w:rsid w:val="00B45BBD"/>
    <w:rsid w:val="00B45E03"/>
    <w:rsid w:val="00B46317"/>
    <w:rsid w:val="00B464A3"/>
    <w:rsid w:val="00B468CA"/>
    <w:rsid w:val="00B46B7D"/>
    <w:rsid w:val="00B46DA2"/>
    <w:rsid w:val="00B46DFE"/>
    <w:rsid w:val="00B46EBA"/>
    <w:rsid w:val="00B4719C"/>
    <w:rsid w:val="00B473BB"/>
    <w:rsid w:val="00B4783D"/>
    <w:rsid w:val="00B479B4"/>
    <w:rsid w:val="00B47AAA"/>
    <w:rsid w:val="00B47D39"/>
    <w:rsid w:val="00B47F5D"/>
    <w:rsid w:val="00B503D9"/>
    <w:rsid w:val="00B50531"/>
    <w:rsid w:val="00B50631"/>
    <w:rsid w:val="00B506AA"/>
    <w:rsid w:val="00B5070E"/>
    <w:rsid w:val="00B509B9"/>
    <w:rsid w:val="00B50E36"/>
    <w:rsid w:val="00B50F25"/>
    <w:rsid w:val="00B51199"/>
    <w:rsid w:val="00B511BB"/>
    <w:rsid w:val="00B5149E"/>
    <w:rsid w:val="00B519F7"/>
    <w:rsid w:val="00B51A4C"/>
    <w:rsid w:val="00B51FAB"/>
    <w:rsid w:val="00B520C5"/>
    <w:rsid w:val="00B522BC"/>
    <w:rsid w:val="00B526CC"/>
    <w:rsid w:val="00B52814"/>
    <w:rsid w:val="00B529E4"/>
    <w:rsid w:val="00B52AA6"/>
    <w:rsid w:val="00B534DC"/>
    <w:rsid w:val="00B53FDE"/>
    <w:rsid w:val="00B5406A"/>
    <w:rsid w:val="00B54195"/>
    <w:rsid w:val="00B5420E"/>
    <w:rsid w:val="00B54276"/>
    <w:rsid w:val="00B543FA"/>
    <w:rsid w:val="00B54518"/>
    <w:rsid w:val="00B547E0"/>
    <w:rsid w:val="00B54856"/>
    <w:rsid w:val="00B54A2E"/>
    <w:rsid w:val="00B54A9F"/>
    <w:rsid w:val="00B54F73"/>
    <w:rsid w:val="00B55022"/>
    <w:rsid w:val="00B552AC"/>
    <w:rsid w:val="00B554B1"/>
    <w:rsid w:val="00B55573"/>
    <w:rsid w:val="00B55578"/>
    <w:rsid w:val="00B5563C"/>
    <w:rsid w:val="00B55827"/>
    <w:rsid w:val="00B558EA"/>
    <w:rsid w:val="00B5598C"/>
    <w:rsid w:val="00B559BC"/>
    <w:rsid w:val="00B559CD"/>
    <w:rsid w:val="00B55B0F"/>
    <w:rsid w:val="00B55B72"/>
    <w:rsid w:val="00B55BAB"/>
    <w:rsid w:val="00B565B5"/>
    <w:rsid w:val="00B56792"/>
    <w:rsid w:val="00B56901"/>
    <w:rsid w:val="00B5698F"/>
    <w:rsid w:val="00B56A65"/>
    <w:rsid w:val="00B56D9F"/>
    <w:rsid w:val="00B56F9E"/>
    <w:rsid w:val="00B57087"/>
    <w:rsid w:val="00B57338"/>
    <w:rsid w:val="00B57367"/>
    <w:rsid w:val="00B57403"/>
    <w:rsid w:val="00B574CE"/>
    <w:rsid w:val="00B57908"/>
    <w:rsid w:val="00B579B0"/>
    <w:rsid w:val="00B57EC7"/>
    <w:rsid w:val="00B57FB5"/>
    <w:rsid w:val="00B6017D"/>
    <w:rsid w:val="00B604C9"/>
    <w:rsid w:val="00B604D1"/>
    <w:rsid w:val="00B60CF7"/>
    <w:rsid w:val="00B60E84"/>
    <w:rsid w:val="00B60EAD"/>
    <w:rsid w:val="00B60F38"/>
    <w:rsid w:val="00B60FDC"/>
    <w:rsid w:val="00B6179C"/>
    <w:rsid w:val="00B620E3"/>
    <w:rsid w:val="00B6217D"/>
    <w:rsid w:val="00B623E7"/>
    <w:rsid w:val="00B62C6F"/>
    <w:rsid w:val="00B62E4A"/>
    <w:rsid w:val="00B63171"/>
    <w:rsid w:val="00B6328D"/>
    <w:rsid w:val="00B6333F"/>
    <w:rsid w:val="00B63351"/>
    <w:rsid w:val="00B63486"/>
    <w:rsid w:val="00B634C8"/>
    <w:rsid w:val="00B63579"/>
    <w:rsid w:val="00B6367B"/>
    <w:rsid w:val="00B637E5"/>
    <w:rsid w:val="00B63870"/>
    <w:rsid w:val="00B638A5"/>
    <w:rsid w:val="00B63A81"/>
    <w:rsid w:val="00B63AE4"/>
    <w:rsid w:val="00B63DA4"/>
    <w:rsid w:val="00B63E3C"/>
    <w:rsid w:val="00B64273"/>
    <w:rsid w:val="00B6450E"/>
    <w:rsid w:val="00B64A3B"/>
    <w:rsid w:val="00B64ABF"/>
    <w:rsid w:val="00B64B94"/>
    <w:rsid w:val="00B64D20"/>
    <w:rsid w:val="00B64DA9"/>
    <w:rsid w:val="00B653D8"/>
    <w:rsid w:val="00B653E7"/>
    <w:rsid w:val="00B653F8"/>
    <w:rsid w:val="00B654A5"/>
    <w:rsid w:val="00B656B7"/>
    <w:rsid w:val="00B656BB"/>
    <w:rsid w:val="00B65978"/>
    <w:rsid w:val="00B65A0C"/>
    <w:rsid w:val="00B65BD4"/>
    <w:rsid w:val="00B65D18"/>
    <w:rsid w:val="00B65DA0"/>
    <w:rsid w:val="00B65DF2"/>
    <w:rsid w:val="00B65E6D"/>
    <w:rsid w:val="00B65F0B"/>
    <w:rsid w:val="00B65FC8"/>
    <w:rsid w:val="00B660C3"/>
    <w:rsid w:val="00B66173"/>
    <w:rsid w:val="00B66453"/>
    <w:rsid w:val="00B665D9"/>
    <w:rsid w:val="00B66AEC"/>
    <w:rsid w:val="00B66CC1"/>
    <w:rsid w:val="00B66CDF"/>
    <w:rsid w:val="00B66DAC"/>
    <w:rsid w:val="00B6724B"/>
    <w:rsid w:val="00B672FF"/>
    <w:rsid w:val="00B6731B"/>
    <w:rsid w:val="00B673A8"/>
    <w:rsid w:val="00B673DE"/>
    <w:rsid w:val="00B67693"/>
    <w:rsid w:val="00B676CB"/>
    <w:rsid w:val="00B679D2"/>
    <w:rsid w:val="00B67F10"/>
    <w:rsid w:val="00B70037"/>
    <w:rsid w:val="00B70436"/>
    <w:rsid w:val="00B70459"/>
    <w:rsid w:val="00B704BA"/>
    <w:rsid w:val="00B70A6D"/>
    <w:rsid w:val="00B70DEE"/>
    <w:rsid w:val="00B710A0"/>
    <w:rsid w:val="00B7111D"/>
    <w:rsid w:val="00B71444"/>
    <w:rsid w:val="00B71677"/>
    <w:rsid w:val="00B7170F"/>
    <w:rsid w:val="00B71935"/>
    <w:rsid w:val="00B71A09"/>
    <w:rsid w:val="00B71BF3"/>
    <w:rsid w:val="00B72114"/>
    <w:rsid w:val="00B72588"/>
    <w:rsid w:val="00B728CD"/>
    <w:rsid w:val="00B729A2"/>
    <w:rsid w:val="00B732A9"/>
    <w:rsid w:val="00B73420"/>
    <w:rsid w:val="00B73482"/>
    <w:rsid w:val="00B734B4"/>
    <w:rsid w:val="00B73714"/>
    <w:rsid w:val="00B73BB3"/>
    <w:rsid w:val="00B73D43"/>
    <w:rsid w:val="00B73E39"/>
    <w:rsid w:val="00B73ED1"/>
    <w:rsid w:val="00B740D5"/>
    <w:rsid w:val="00B74341"/>
    <w:rsid w:val="00B744F8"/>
    <w:rsid w:val="00B7467F"/>
    <w:rsid w:val="00B746BF"/>
    <w:rsid w:val="00B7473F"/>
    <w:rsid w:val="00B74B1D"/>
    <w:rsid w:val="00B74C19"/>
    <w:rsid w:val="00B74CAA"/>
    <w:rsid w:val="00B74D06"/>
    <w:rsid w:val="00B74E0C"/>
    <w:rsid w:val="00B74E69"/>
    <w:rsid w:val="00B75276"/>
    <w:rsid w:val="00B7561C"/>
    <w:rsid w:val="00B75852"/>
    <w:rsid w:val="00B75898"/>
    <w:rsid w:val="00B75A48"/>
    <w:rsid w:val="00B75CF1"/>
    <w:rsid w:val="00B75DF7"/>
    <w:rsid w:val="00B7619B"/>
    <w:rsid w:val="00B763E4"/>
    <w:rsid w:val="00B764AE"/>
    <w:rsid w:val="00B766CE"/>
    <w:rsid w:val="00B76763"/>
    <w:rsid w:val="00B774F8"/>
    <w:rsid w:val="00B775D8"/>
    <w:rsid w:val="00B777C0"/>
    <w:rsid w:val="00B779B9"/>
    <w:rsid w:val="00B779D7"/>
    <w:rsid w:val="00B77D6A"/>
    <w:rsid w:val="00B77EA9"/>
    <w:rsid w:val="00B80486"/>
    <w:rsid w:val="00B80493"/>
    <w:rsid w:val="00B8091A"/>
    <w:rsid w:val="00B80A44"/>
    <w:rsid w:val="00B80AC7"/>
    <w:rsid w:val="00B80B5C"/>
    <w:rsid w:val="00B80B8B"/>
    <w:rsid w:val="00B80BAD"/>
    <w:rsid w:val="00B80FD6"/>
    <w:rsid w:val="00B810E9"/>
    <w:rsid w:val="00B81153"/>
    <w:rsid w:val="00B811F1"/>
    <w:rsid w:val="00B81245"/>
    <w:rsid w:val="00B81311"/>
    <w:rsid w:val="00B816B9"/>
    <w:rsid w:val="00B818E3"/>
    <w:rsid w:val="00B81A93"/>
    <w:rsid w:val="00B81BB6"/>
    <w:rsid w:val="00B81FA3"/>
    <w:rsid w:val="00B82017"/>
    <w:rsid w:val="00B82054"/>
    <w:rsid w:val="00B8234D"/>
    <w:rsid w:val="00B82551"/>
    <w:rsid w:val="00B8255A"/>
    <w:rsid w:val="00B8256E"/>
    <w:rsid w:val="00B826E2"/>
    <w:rsid w:val="00B82A1F"/>
    <w:rsid w:val="00B83107"/>
    <w:rsid w:val="00B83161"/>
    <w:rsid w:val="00B83C2C"/>
    <w:rsid w:val="00B83D91"/>
    <w:rsid w:val="00B83F5F"/>
    <w:rsid w:val="00B840FB"/>
    <w:rsid w:val="00B84184"/>
    <w:rsid w:val="00B846F9"/>
    <w:rsid w:val="00B847AD"/>
    <w:rsid w:val="00B84918"/>
    <w:rsid w:val="00B84A05"/>
    <w:rsid w:val="00B84A13"/>
    <w:rsid w:val="00B84B37"/>
    <w:rsid w:val="00B84E97"/>
    <w:rsid w:val="00B84EE0"/>
    <w:rsid w:val="00B85035"/>
    <w:rsid w:val="00B854FF"/>
    <w:rsid w:val="00B855A8"/>
    <w:rsid w:val="00B855E6"/>
    <w:rsid w:val="00B85741"/>
    <w:rsid w:val="00B85C45"/>
    <w:rsid w:val="00B85CA1"/>
    <w:rsid w:val="00B85DD1"/>
    <w:rsid w:val="00B864E5"/>
    <w:rsid w:val="00B866FF"/>
    <w:rsid w:val="00B8699B"/>
    <w:rsid w:val="00B869CB"/>
    <w:rsid w:val="00B86E64"/>
    <w:rsid w:val="00B86E7A"/>
    <w:rsid w:val="00B86F65"/>
    <w:rsid w:val="00B86F8C"/>
    <w:rsid w:val="00B870D3"/>
    <w:rsid w:val="00B871E8"/>
    <w:rsid w:val="00B8722E"/>
    <w:rsid w:val="00B876B6"/>
    <w:rsid w:val="00B878A7"/>
    <w:rsid w:val="00B87A7D"/>
    <w:rsid w:val="00B87AB4"/>
    <w:rsid w:val="00B87C75"/>
    <w:rsid w:val="00B87DB9"/>
    <w:rsid w:val="00B87EC7"/>
    <w:rsid w:val="00B87F1C"/>
    <w:rsid w:val="00B90406"/>
    <w:rsid w:val="00B9055F"/>
    <w:rsid w:val="00B905DC"/>
    <w:rsid w:val="00B907C0"/>
    <w:rsid w:val="00B90858"/>
    <w:rsid w:val="00B90A79"/>
    <w:rsid w:val="00B90A82"/>
    <w:rsid w:val="00B90C5C"/>
    <w:rsid w:val="00B90E60"/>
    <w:rsid w:val="00B913DB"/>
    <w:rsid w:val="00B9144A"/>
    <w:rsid w:val="00B917AB"/>
    <w:rsid w:val="00B9185A"/>
    <w:rsid w:val="00B919C0"/>
    <w:rsid w:val="00B919C6"/>
    <w:rsid w:val="00B91A41"/>
    <w:rsid w:val="00B91E27"/>
    <w:rsid w:val="00B91E47"/>
    <w:rsid w:val="00B920B2"/>
    <w:rsid w:val="00B92165"/>
    <w:rsid w:val="00B92328"/>
    <w:rsid w:val="00B9250F"/>
    <w:rsid w:val="00B92521"/>
    <w:rsid w:val="00B925BE"/>
    <w:rsid w:val="00B925DA"/>
    <w:rsid w:val="00B92738"/>
    <w:rsid w:val="00B92988"/>
    <w:rsid w:val="00B92D28"/>
    <w:rsid w:val="00B92D3B"/>
    <w:rsid w:val="00B92DCE"/>
    <w:rsid w:val="00B92E0E"/>
    <w:rsid w:val="00B932E8"/>
    <w:rsid w:val="00B936D7"/>
    <w:rsid w:val="00B93743"/>
    <w:rsid w:val="00B938F3"/>
    <w:rsid w:val="00B939E8"/>
    <w:rsid w:val="00B93C03"/>
    <w:rsid w:val="00B93C85"/>
    <w:rsid w:val="00B93E6F"/>
    <w:rsid w:val="00B941B6"/>
    <w:rsid w:val="00B94393"/>
    <w:rsid w:val="00B944BB"/>
    <w:rsid w:val="00B944F8"/>
    <w:rsid w:val="00B946A7"/>
    <w:rsid w:val="00B94768"/>
    <w:rsid w:val="00B951F2"/>
    <w:rsid w:val="00B95607"/>
    <w:rsid w:val="00B9591A"/>
    <w:rsid w:val="00B959C4"/>
    <w:rsid w:val="00B95A53"/>
    <w:rsid w:val="00B95A58"/>
    <w:rsid w:val="00B95C26"/>
    <w:rsid w:val="00B95F1F"/>
    <w:rsid w:val="00B9603A"/>
    <w:rsid w:val="00B9627A"/>
    <w:rsid w:val="00B9644B"/>
    <w:rsid w:val="00B9644E"/>
    <w:rsid w:val="00B96474"/>
    <w:rsid w:val="00B96924"/>
    <w:rsid w:val="00B96F9D"/>
    <w:rsid w:val="00B970F8"/>
    <w:rsid w:val="00B975A0"/>
    <w:rsid w:val="00B97605"/>
    <w:rsid w:val="00B97904"/>
    <w:rsid w:val="00B9793C"/>
    <w:rsid w:val="00B97A3C"/>
    <w:rsid w:val="00B97B0F"/>
    <w:rsid w:val="00B97D81"/>
    <w:rsid w:val="00B97E4C"/>
    <w:rsid w:val="00B97E4D"/>
    <w:rsid w:val="00B97EB7"/>
    <w:rsid w:val="00BA010C"/>
    <w:rsid w:val="00BA01CF"/>
    <w:rsid w:val="00BA02D6"/>
    <w:rsid w:val="00BA03C8"/>
    <w:rsid w:val="00BA046F"/>
    <w:rsid w:val="00BA0526"/>
    <w:rsid w:val="00BA05D2"/>
    <w:rsid w:val="00BA08D7"/>
    <w:rsid w:val="00BA0F84"/>
    <w:rsid w:val="00BA10A7"/>
    <w:rsid w:val="00BA15FC"/>
    <w:rsid w:val="00BA178C"/>
    <w:rsid w:val="00BA1875"/>
    <w:rsid w:val="00BA19FA"/>
    <w:rsid w:val="00BA1B10"/>
    <w:rsid w:val="00BA1B96"/>
    <w:rsid w:val="00BA1D95"/>
    <w:rsid w:val="00BA1E1F"/>
    <w:rsid w:val="00BA1E41"/>
    <w:rsid w:val="00BA20C5"/>
    <w:rsid w:val="00BA219F"/>
    <w:rsid w:val="00BA221B"/>
    <w:rsid w:val="00BA2379"/>
    <w:rsid w:val="00BA2385"/>
    <w:rsid w:val="00BA23DA"/>
    <w:rsid w:val="00BA2481"/>
    <w:rsid w:val="00BA25F4"/>
    <w:rsid w:val="00BA2671"/>
    <w:rsid w:val="00BA281F"/>
    <w:rsid w:val="00BA2874"/>
    <w:rsid w:val="00BA2892"/>
    <w:rsid w:val="00BA2CB1"/>
    <w:rsid w:val="00BA2DB1"/>
    <w:rsid w:val="00BA3012"/>
    <w:rsid w:val="00BA3297"/>
    <w:rsid w:val="00BA36CB"/>
    <w:rsid w:val="00BA39EF"/>
    <w:rsid w:val="00BA3ED2"/>
    <w:rsid w:val="00BA40D7"/>
    <w:rsid w:val="00BA41E5"/>
    <w:rsid w:val="00BA43D6"/>
    <w:rsid w:val="00BA476E"/>
    <w:rsid w:val="00BA48AD"/>
    <w:rsid w:val="00BA4901"/>
    <w:rsid w:val="00BA4BF2"/>
    <w:rsid w:val="00BA4DC5"/>
    <w:rsid w:val="00BA516B"/>
    <w:rsid w:val="00BA526F"/>
    <w:rsid w:val="00BA5350"/>
    <w:rsid w:val="00BA5354"/>
    <w:rsid w:val="00BA5583"/>
    <w:rsid w:val="00BA56C4"/>
    <w:rsid w:val="00BA57ED"/>
    <w:rsid w:val="00BA58DE"/>
    <w:rsid w:val="00BA5A26"/>
    <w:rsid w:val="00BA5B59"/>
    <w:rsid w:val="00BA5BBC"/>
    <w:rsid w:val="00BA5D90"/>
    <w:rsid w:val="00BA60F2"/>
    <w:rsid w:val="00BA644A"/>
    <w:rsid w:val="00BA644C"/>
    <w:rsid w:val="00BA667C"/>
    <w:rsid w:val="00BA6E8D"/>
    <w:rsid w:val="00BA745C"/>
    <w:rsid w:val="00BA7576"/>
    <w:rsid w:val="00BA7609"/>
    <w:rsid w:val="00BA7711"/>
    <w:rsid w:val="00BA7748"/>
    <w:rsid w:val="00BA7DA4"/>
    <w:rsid w:val="00BA7E35"/>
    <w:rsid w:val="00BA7E97"/>
    <w:rsid w:val="00BA7ECA"/>
    <w:rsid w:val="00BB0060"/>
    <w:rsid w:val="00BB025D"/>
    <w:rsid w:val="00BB02FB"/>
    <w:rsid w:val="00BB0332"/>
    <w:rsid w:val="00BB05EA"/>
    <w:rsid w:val="00BB083D"/>
    <w:rsid w:val="00BB0B30"/>
    <w:rsid w:val="00BB0F6E"/>
    <w:rsid w:val="00BB10C9"/>
    <w:rsid w:val="00BB1452"/>
    <w:rsid w:val="00BB1516"/>
    <w:rsid w:val="00BB179D"/>
    <w:rsid w:val="00BB180D"/>
    <w:rsid w:val="00BB1B19"/>
    <w:rsid w:val="00BB1BE4"/>
    <w:rsid w:val="00BB1BE6"/>
    <w:rsid w:val="00BB1ED4"/>
    <w:rsid w:val="00BB1EDE"/>
    <w:rsid w:val="00BB1F1A"/>
    <w:rsid w:val="00BB2022"/>
    <w:rsid w:val="00BB21BB"/>
    <w:rsid w:val="00BB22AC"/>
    <w:rsid w:val="00BB26D6"/>
    <w:rsid w:val="00BB2AD5"/>
    <w:rsid w:val="00BB2C2C"/>
    <w:rsid w:val="00BB2DE5"/>
    <w:rsid w:val="00BB2E00"/>
    <w:rsid w:val="00BB3650"/>
    <w:rsid w:val="00BB3677"/>
    <w:rsid w:val="00BB373E"/>
    <w:rsid w:val="00BB380A"/>
    <w:rsid w:val="00BB38CC"/>
    <w:rsid w:val="00BB3A4B"/>
    <w:rsid w:val="00BB3AEC"/>
    <w:rsid w:val="00BB3EA8"/>
    <w:rsid w:val="00BB4807"/>
    <w:rsid w:val="00BB48CF"/>
    <w:rsid w:val="00BB49CB"/>
    <w:rsid w:val="00BB4A68"/>
    <w:rsid w:val="00BB4B0A"/>
    <w:rsid w:val="00BB4F33"/>
    <w:rsid w:val="00BB501B"/>
    <w:rsid w:val="00BB501D"/>
    <w:rsid w:val="00BB5325"/>
    <w:rsid w:val="00BB556A"/>
    <w:rsid w:val="00BB57C0"/>
    <w:rsid w:val="00BB582D"/>
    <w:rsid w:val="00BB5B5A"/>
    <w:rsid w:val="00BB5BE6"/>
    <w:rsid w:val="00BB5E18"/>
    <w:rsid w:val="00BB5E71"/>
    <w:rsid w:val="00BB5F4B"/>
    <w:rsid w:val="00BB6020"/>
    <w:rsid w:val="00BB60EA"/>
    <w:rsid w:val="00BB631A"/>
    <w:rsid w:val="00BB6371"/>
    <w:rsid w:val="00BB6994"/>
    <w:rsid w:val="00BB6DD6"/>
    <w:rsid w:val="00BB6F43"/>
    <w:rsid w:val="00BB7063"/>
    <w:rsid w:val="00BB70A9"/>
    <w:rsid w:val="00BB72E4"/>
    <w:rsid w:val="00BB772B"/>
    <w:rsid w:val="00BB773B"/>
    <w:rsid w:val="00BB7A3E"/>
    <w:rsid w:val="00BB7AB9"/>
    <w:rsid w:val="00BB7ADE"/>
    <w:rsid w:val="00BB7DB1"/>
    <w:rsid w:val="00BB7E56"/>
    <w:rsid w:val="00BB7ED8"/>
    <w:rsid w:val="00BB7F0E"/>
    <w:rsid w:val="00BC0071"/>
    <w:rsid w:val="00BC0154"/>
    <w:rsid w:val="00BC04F2"/>
    <w:rsid w:val="00BC075C"/>
    <w:rsid w:val="00BC0762"/>
    <w:rsid w:val="00BC0A55"/>
    <w:rsid w:val="00BC0C31"/>
    <w:rsid w:val="00BC0D89"/>
    <w:rsid w:val="00BC1164"/>
    <w:rsid w:val="00BC119D"/>
    <w:rsid w:val="00BC126C"/>
    <w:rsid w:val="00BC135A"/>
    <w:rsid w:val="00BC1600"/>
    <w:rsid w:val="00BC1778"/>
    <w:rsid w:val="00BC17C3"/>
    <w:rsid w:val="00BC1CD9"/>
    <w:rsid w:val="00BC1E62"/>
    <w:rsid w:val="00BC1E9C"/>
    <w:rsid w:val="00BC233C"/>
    <w:rsid w:val="00BC24C1"/>
    <w:rsid w:val="00BC25BE"/>
    <w:rsid w:val="00BC268D"/>
    <w:rsid w:val="00BC273C"/>
    <w:rsid w:val="00BC2A20"/>
    <w:rsid w:val="00BC2BA5"/>
    <w:rsid w:val="00BC2D0C"/>
    <w:rsid w:val="00BC2D13"/>
    <w:rsid w:val="00BC2D53"/>
    <w:rsid w:val="00BC2DC1"/>
    <w:rsid w:val="00BC2FB4"/>
    <w:rsid w:val="00BC309E"/>
    <w:rsid w:val="00BC32A4"/>
    <w:rsid w:val="00BC3559"/>
    <w:rsid w:val="00BC3597"/>
    <w:rsid w:val="00BC3621"/>
    <w:rsid w:val="00BC3721"/>
    <w:rsid w:val="00BC3891"/>
    <w:rsid w:val="00BC3D30"/>
    <w:rsid w:val="00BC3E18"/>
    <w:rsid w:val="00BC3F49"/>
    <w:rsid w:val="00BC4342"/>
    <w:rsid w:val="00BC43C4"/>
    <w:rsid w:val="00BC4469"/>
    <w:rsid w:val="00BC4654"/>
    <w:rsid w:val="00BC4887"/>
    <w:rsid w:val="00BC4C02"/>
    <w:rsid w:val="00BC4CC9"/>
    <w:rsid w:val="00BC4DBD"/>
    <w:rsid w:val="00BC4DDC"/>
    <w:rsid w:val="00BC4E33"/>
    <w:rsid w:val="00BC4EC5"/>
    <w:rsid w:val="00BC5212"/>
    <w:rsid w:val="00BC5228"/>
    <w:rsid w:val="00BC5263"/>
    <w:rsid w:val="00BC538C"/>
    <w:rsid w:val="00BC54BD"/>
    <w:rsid w:val="00BC5626"/>
    <w:rsid w:val="00BC566A"/>
    <w:rsid w:val="00BC5700"/>
    <w:rsid w:val="00BC5C58"/>
    <w:rsid w:val="00BC5D4D"/>
    <w:rsid w:val="00BC5DA3"/>
    <w:rsid w:val="00BC5EDD"/>
    <w:rsid w:val="00BC5FE7"/>
    <w:rsid w:val="00BC5FF4"/>
    <w:rsid w:val="00BC622D"/>
    <w:rsid w:val="00BC6A83"/>
    <w:rsid w:val="00BC6BBC"/>
    <w:rsid w:val="00BC6C86"/>
    <w:rsid w:val="00BC6CD2"/>
    <w:rsid w:val="00BC6F63"/>
    <w:rsid w:val="00BC704E"/>
    <w:rsid w:val="00BC723C"/>
    <w:rsid w:val="00BC7480"/>
    <w:rsid w:val="00BC7522"/>
    <w:rsid w:val="00BC7773"/>
    <w:rsid w:val="00BC79AD"/>
    <w:rsid w:val="00BC7C6D"/>
    <w:rsid w:val="00BC7C8A"/>
    <w:rsid w:val="00BC7E70"/>
    <w:rsid w:val="00BD04F9"/>
    <w:rsid w:val="00BD0C24"/>
    <w:rsid w:val="00BD0E5D"/>
    <w:rsid w:val="00BD10B7"/>
    <w:rsid w:val="00BD117F"/>
    <w:rsid w:val="00BD1631"/>
    <w:rsid w:val="00BD1675"/>
    <w:rsid w:val="00BD1A85"/>
    <w:rsid w:val="00BD1CD2"/>
    <w:rsid w:val="00BD1FAD"/>
    <w:rsid w:val="00BD200C"/>
    <w:rsid w:val="00BD216D"/>
    <w:rsid w:val="00BD219C"/>
    <w:rsid w:val="00BD22FF"/>
    <w:rsid w:val="00BD25A5"/>
    <w:rsid w:val="00BD2820"/>
    <w:rsid w:val="00BD291D"/>
    <w:rsid w:val="00BD2AFC"/>
    <w:rsid w:val="00BD2CAC"/>
    <w:rsid w:val="00BD2EEB"/>
    <w:rsid w:val="00BD319B"/>
    <w:rsid w:val="00BD337B"/>
    <w:rsid w:val="00BD38B0"/>
    <w:rsid w:val="00BD3A7B"/>
    <w:rsid w:val="00BD3BCB"/>
    <w:rsid w:val="00BD3EB7"/>
    <w:rsid w:val="00BD3F28"/>
    <w:rsid w:val="00BD4137"/>
    <w:rsid w:val="00BD454D"/>
    <w:rsid w:val="00BD4890"/>
    <w:rsid w:val="00BD4CE3"/>
    <w:rsid w:val="00BD4F0E"/>
    <w:rsid w:val="00BD50B2"/>
    <w:rsid w:val="00BD5467"/>
    <w:rsid w:val="00BD5627"/>
    <w:rsid w:val="00BD5630"/>
    <w:rsid w:val="00BD57AA"/>
    <w:rsid w:val="00BD586D"/>
    <w:rsid w:val="00BD5978"/>
    <w:rsid w:val="00BD5BC7"/>
    <w:rsid w:val="00BD5C36"/>
    <w:rsid w:val="00BD5D1A"/>
    <w:rsid w:val="00BD5DF7"/>
    <w:rsid w:val="00BD5F66"/>
    <w:rsid w:val="00BD6236"/>
    <w:rsid w:val="00BD6388"/>
    <w:rsid w:val="00BD6576"/>
    <w:rsid w:val="00BD659A"/>
    <w:rsid w:val="00BD6844"/>
    <w:rsid w:val="00BD6B1C"/>
    <w:rsid w:val="00BD6BF0"/>
    <w:rsid w:val="00BD6DD1"/>
    <w:rsid w:val="00BD71D8"/>
    <w:rsid w:val="00BD71F2"/>
    <w:rsid w:val="00BD7426"/>
    <w:rsid w:val="00BD751C"/>
    <w:rsid w:val="00BD765F"/>
    <w:rsid w:val="00BD76F7"/>
    <w:rsid w:val="00BD784A"/>
    <w:rsid w:val="00BD7973"/>
    <w:rsid w:val="00BD7ABC"/>
    <w:rsid w:val="00BD7B3F"/>
    <w:rsid w:val="00BD7E80"/>
    <w:rsid w:val="00BE01C7"/>
    <w:rsid w:val="00BE06FA"/>
    <w:rsid w:val="00BE091F"/>
    <w:rsid w:val="00BE0947"/>
    <w:rsid w:val="00BE0970"/>
    <w:rsid w:val="00BE0E5E"/>
    <w:rsid w:val="00BE0F9D"/>
    <w:rsid w:val="00BE1480"/>
    <w:rsid w:val="00BE1616"/>
    <w:rsid w:val="00BE17AF"/>
    <w:rsid w:val="00BE19AC"/>
    <w:rsid w:val="00BE1A40"/>
    <w:rsid w:val="00BE1C58"/>
    <w:rsid w:val="00BE1EB5"/>
    <w:rsid w:val="00BE241E"/>
    <w:rsid w:val="00BE252F"/>
    <w:rsid w:val="00BE2542"/>
    <w:rsid w:val="00BE2697"/>
    <w:rsid w:val="00BE29F6"/>
    <w:rsid w:val="00BE2D69"/>
    <w:rsid w:val="00BE2E99"/>
    <w:rsid w:val="00BE2F03"/>
    <w:rsid w:val="00BE2F06"/>
    <w:rsid w:val="00BE32AA"/>
    <w:rsid w:val="00BE3379"/>
    <w:rsid w:val="00BE33B8"/>
    <w:rsid w:val="00BE348A"/>
    <w:rsid w:val="00BE348F"/>
    <w:rsid w:val="00BE3875"/>
    <w:rsid w:val="00BE39C4"/>
    <w:rsid w:val="00BE3BB9"/>
    <w:rsid w:val="00BE3DC3"/>
    <w:rsid w:val="00BE40B9"/>
    <w:rsid w:val="00BE415F"/>
    <w:rsid w:val="00BE41C9"/>
    <w:rsid w:val="00BE433D"/>
    <w:rsid w:val="00BE4CEB"/>
    <w:rsid w:val="00BE4FCA"/>
    <w:rsid w:val="00BE51AD"/>
    <w:rsid w:val="00BE52F3"/>
    <w:rsid w:val="00BE547D"/>
    <w:rsid w:val="00BE568C"/>
    <w:rsid w:val="00BE5798"/>
    <w:rsid w:val="00BE5890"/>
    <w:rsid w:val="00BE58AC"/>
    <w:rsid w:val="00BE592A"/>
    <w:rsid w:val="00BE5C27"/>
    <w:rsid w:val="00BE5EA6"/>
    <w:rsid w:val="00BE5F64"/>
    <w:rsid w:val="00BE6683"/>
    <w:rsid w:val="00BE66EF"/>
    <w:rsid w:val="00BE6AA9"/>
    <w:rsid w:val="00BE6D6A"/>
    <w:rsid w:val="00BE7184"/>
    <w:rsid w:val="00BE76F2"/>
    <w:rsid w:val="00BE77AA"/>
    <w:rsid w:val="00BE77E2"/>
    <w:rsid w:val="00BE7858"/>
    <w:rsid w:val="00BE798E"/>
    <w:rsid w:val="00BE79B6"/>
    <w:rsid w:val="00BE7AC2"/>
    <w:rsid w:val="00BE7B3C"/>
    <w:rsid w:val="00BE7CFC"/>
    <w:rsid w:val="00BE7E5C"/>
    <w:rsid w:val="00BE7F9B"/>
    <w:rsid w:val="00BE7FB7"/>
    <w:rsid w:val="00BF01AC"/>
    <w:rsid w:val="00BF024B"/>
    <w:rsid w:val="00BF0337"/>
    <w:rsid w:val="00BF0528"/>
    <w:rsid w:val="00BF05E4"/>
    <w:rsid w:val="00BF0776"/>
    <w:rsid w:val="00BF09FE"/>
    <w:rsid w:val="00BF0B58"/>
    <w:rsid w:val="00BF0CB6"/>
    <w:rsid w:val="00BF0D0D"/>
    <w:rsid w:val="00BF0DE5"/>
    <w:rsid w:val="00BF114A"/>
    <w:rsid w:val="00BF130A"/>
    <w:rsid w:val="00BF16CC"/>
    <w:rsid w:val="00BF18BD"/>
    <w:rsid w:val="00BF1BD6"/>
    <w:rsid w:val="00BF1D81"/>
    <w:rsid w:val="00BF1DA0"/>
    <w:rsid w:val="00BF1DC6"/>
    <w:rsid w:val="00BF1F72"/>
    <w:rsid w:val="00BF1FDF"/>
    <w:rsid w:val="00BF207F"/>
    <w:rsid w:val="00BF269C"/>
    <w:rsid w:val="00BF2AF7"/>
    <w:rsid w:val="00BF2BE2"/>
    <w:rsid w:val="00BF30EC"/>
    <w:rsid w:val="00BF3359"/>
    <w:rsid w:val="00BF341C"/>
    <w:rsid w:val="00BF3564"/>
    <w:rsid w:val="00BF365C"/>
    <w:rsid w:val="00BF3816"/>
    <w:rsid w:val="00BF3822"/>
    <w:rsid w:val="00BF38A0"/>
    <w:rsid w:val="00BF3D47"/>
    <w:rsid w:val="00BF407D"/>
    <w:rsid w:val="00BF43C5"/>
    <w:rsid w:val="00BF4620"/>
    <w:rsid w:val="00BF498E"/>
    <w:rsid w:val="00BF4AD8"/>
    <w:rsid w:val="00BF4EB7"/>
    <w:rsid w:val="00BF5046"/>
    <w:rsid w:val="00BF5086"/>
    <w:rsid w:val="00BF53BC"/>
    <w:rsid w:val="00BF5671"/>
    <w:rsid w:val="00BF5B48"/>
    <w:rsid w:val="00BF5C85"/>
    <w:rsid w:val="00BF5E35"/>
    <w:rsid w:val="00BF6165"/>
    <w:rsid w:val="00BF6328"/>
    <w:rsid w:val="00BF6332"/>
    <w:rsid w:val="00BF66FF"/>
    <w:rsid w:val="00BF673B"/>
    <w:rsid w:val="00BF68EE"/>
    <w:rsid w:val="00BF6BD4"/>
    <w:rsid w:val="00BF6C11"/>
    <w:rsid w:val="00BF6C60"/>
    <w:rsid w:val="00BF7100"/>
    <w:rsid w:val="00BF710A"/>
    <w:rsid w:val="00BF75F6"/>
    <w:rsid w:val="00BF7916"/>
    <w:rsid w:val="00BF79E9"/>
    <w:rsid w:val="00BF7BEE"/>
    <w:rsid w:val="00BF7CFB"/>
    <w:rsid w:val="00BF7D4A"/>
    <w:rsid w:val="00C0024A"/>
    <w:rsid w:val="00C002F3"/>
    <w:rsid w:val="00C0033C"/>
    <w:rsid w:val="00C003AD"/>
    <w:rsid w:val="00C00623"/>
    <w:rsid w:val="00C00624"/>
    <w:rsid w:val="00C00641"/>
    <w:rsid w:val="00C00ACF"/>
    <w:rsid w:val="00C00DB4"/>
    <w:rsid w:val="00C00E45"/>
    <w:rsid w:val="00C01310"/>
    <w:rsid w:val="00C0146B"/>
    <w:rsid w:val="00C014D7"/>
    <w:rsid w:val="00C015C3"/>
    <w:rsid w:val="00C015FF"/>
    <w:rsid w:val="00C01714"/>
    <w:rsid w:val="00C018DD"/>
    <w:rsid w:val="00C019A7"/>
    <w:rsid w:val="00C01AE8"/>
    <w:rsid w:val="00C01D5D"/>
    <w:rsid w:val="00C01DFA"/>
    <w:rsid w:val="00C022CF"/>
    <w:rsid w:val="00C0278C"/>
    <w:rsid w:val="00C0282D"/>
    <w:rsid w:val="00C02E9D"/>
    <w:rsid w:val="00C02F66"/>
    <w:rsid w:val="00C030D7"/>
    <w:rsid w:val="00C034EC"/>
    <w:rsid w:val="00C03501"/>
    <w:rsid w:val="00C03AC5"/>
    <w:rsid w:val="00C03AD5"/>
    <w:rsid w:val="00C04022"/>
    <w:rsid w:val="00C0452F"/>
    <w:rsid w:val="00C048EE"/>
    <w:rsid w:val="00C04A0E"/>
    <w:rsid w:val="00C04B98"/>
    <w:rsid w:val="00C04F11"/>
    <w:rsid w:val="00C04F79"/>
    <w:rsid w:val="00C04FB8"/>
    <w:rsid w:val="00C051A6"/>
    <w:rsid w:val="00C05552"/>
    <w:rsid w:val="00C057CB"/>
    <w:rsid w:val="00C05828"/>
    <w:rsid w:val="00C05854"/>
    <w:rsid w:val="00C059DA"/>
    <w:rsid w:val="00C05A45"/>
    <w:rsid w:val="00C05C30"/>
    <w:rsid w:val="00C05E0B"/>
    <w:rsid w:val="00C05F31"/>
    <w:rsid w:val="00C065AB"/>
    <w:rsid w:val="00C065E4"/>
    <w:rsid w:val="00C06701"/>
    <w:rsid w:val="00C06810"/>
    <w:rsid w:val="00C06BE5"/>
    <w:rsid w:val="00C0719B"/>
    <w:rsid w:val="00C0721B"/>
    <w:rsid w:val="00C072F2"/>
    <w:rsid w:val="00C0740D"/>
    <w:rsid w:val="00C07410"/>
    <w:rsid w:val="00C0755D"/>
    <w:rsid w:val="00C07594"/>
    <w:rsid w:val="00C07AC9"/>
    <w:rsid w:val="00C07C95"/>
    <w:rsid w:val="00C07EC9"/>
    <w:rsid w:val="00C1025D"/>
    <w:rsid w:val="00C102B2"/>
    <w:rsid w:val="00C102DF"/>
    <w:rsid w:val="00C1044F"/>
    <w:rsid w:val="00C1046D"/>
    <w:rsid w:val="00C106DC"/>
    <w:rsid w:val="00C10854"/>
    <w:rsid w:val="00C10B16"/>
    <w:rsid w:val="00C10C3B"/>
    <w:rsid w:val="00C10C55"/>
    <w:rsid w:val="00C10CF7"/>
    <w:rsid w:val="00C112A0"/>
    <w:rsid w:val="00C1138C"/>
    <w:rsid w:val="00C114B2"/>
    <w:rsid w:val="00C11592"/>
    <w:rsid w:val="00C11A22"/>
    <w:rsid w:val="00C11BC4"/>
    <w:rsid w:val="00C120C4"/>
    <w:rsid w:val="00C121C2"/>
    <w:rsid w:val="00C122A7"/>
    <w:rsid w:val="00C123D6"/>
    <w:rsid w:val="00C123E3"/>
    <w:rsid w:val="00C12478"/>
    <w:rsid w:val="00C1247F"/>
    <w:rsid w:val="00C1248F"/>
    <w:rsid w:val="00C125D4"/>
    <w:rsid w:val="00C1265D"/>
    <w:rsid w:val="00C126E2"/>
    <w:rsid w:val="00C12994"/>
    <w:rsid w:val="00C12D02"/>
    <w:rsid w:val="00C12F2C"/>
    <w:rsid w:val="00C131C6"/>
    <w:rsid w:val="00C13413"/>
    <w:rsid w:val="00C134F2"/>
    <w:rsid w:val="00C1363C"/>
    <w:rsid w:val="00C13647"/>
    <w:rsid w:val="00C137EB"/>
    <w:rsid w:val="00C13B0F"/>
    <w:rsid w:val="00C13B23"/>
    <w:rsid w:val="00C13CD9"/>
    <w:rsid w:val="00C1403D"/>
    <w:rsid w:val="00C14818"/>
    <w:rsid w:val="00C148A7"/>
    <w:rsid w:val="00C14951"/>
    <w:rsid w:val="00C14AA6"/>
    <w:rsid w:val="00C14ABD"/>
    <w:rsid w:val="00C14B23"/>
    <w:rsid w:val="00C14F34"/>
    <w:rsid w:val="00C14F81"/>
    <w:rsid w:val="00C1546D"/>
    <w:rsid w:val="00C15869"/>
    <w:rsid w:val="00C159C6"/>
    <w:rsid w:val="00C15B2C"/>
    <w:rsid w:val="00C160A1"/>
    <w:rsid w:val="00C16130"/>
    <w:rsid w:val="00C163AB"/>
    <w:rsid w:val="00C1641E"/>
    <w:rsid w:val="00C16581"/>
    <w:rsid w:val="00C165DB"/>
    <w:rsid w:val="00C16843"/>
    <w:rsid w:val="00C16936"/>
    <w:rsid w:val="00C16A6A"/>
    <w:rsid w:val="00C16CD0"/>
    <w:rsid w:val="00C16D66"/>
    <w:rsid w:val="00C16DA9"/>
    <w:rsid w:val="00C16E01"/>
    <w:rsid w:val="00C16E66"/>
    <w:rsid w:val="00C16F43"/>
    <w:rsid w:val="00C17098"/>
    <w:rsid w:val="00C17443"/>
    <w:rsid w:val="00C1746B"/>
    <w:rsid w:val="00C17485"/>
    <w:rsid w:val="00C1751D"/>
    <w:rsid w:val="00C176C5"/>
    <w:rsid w:val="00C178AA"/>
    <w:rsid w:val="00C17B11"/>
    <w:rsid w:val="00C17CBC"/>
    <w:rsid w:val="00C200D9"/>
    <w:rsid w:val="00C2023B"/>
    <w:rsid w:val="00C20488"/>
    <w:rsid w:val="00C205A5"/>
    <w:rsid w:val="00C206BA"/>
    <w:rsid w:val="00C20A22"/>
    <w:rsid w:val="00C20B32"/>
    <w:rsid w:val="00C20D82"/>
    <w:rsid w:val="00C218F7"/>
    <w:rsid w:val="00C21A63"/>
    <w:rsid w:val="00C21AEE"/>
    <w:rsid w:val="00C21B1E"/>
    <w:rsid w:val="00C21DF4"/>
    <w:rsid w:val="00C22164"/>
    <w:rsid w:val="00C224CA"/>
    <w:rsid w:val="00C226EA"/>
    <w:rsid w:val="00C226EC"/>
    <w:rsid w:val="00C2290B"/>
    <w:rsid w:val="00C2292D"/>
    <w:rsid w:val="00C22B04"/>
    <w:rsid w:val="00C22EC2"/>
    <w:rsid w:val="00C22F08"/>
    <w:rsid w:val="00C23660"/>
    <w:rsid w:val="00C2379D"/>
    <w:rsid w:val="00C2389C"/>
    <w:rsid w:val="00C23995"/>
    <w:rsid w:val="00C23A53"/>
    <w:rsid w:val="00C23B77"/>
    <w:rsid w:val="00C23C21"/>
    <w:rsid w:val="00C23CF3"/>
    <w:rsid w:val="00C23D44"/>
    <w:rsid w:val="00C24000"/>
    <w:rsid w:val="00C2412F"/>
    <w:rsid w:val="00C24173"/>
    <w:rsid w:val="00C241A0"/>
    <w:rsid w:val="00C24591"/>
    <w:rsid w:val="00C24970"/>
    <w:rsid w:val="00C24CCE"/>
    <w:rsid w:val="00C24D19"/>
    <w:rsid w:val="00C24F88"/>
    <w:rsid w:val="00C25001"/>
    <w:rsid w:val="00C250E4"/>
    <w:rsid w:val="00C25198"/>
    <w:rsid w:val="00C25410"/>
    <w:rsid w:val="00C25AE4"/>
    <w:rsid w:val="00C25B48"/>
    <w:rsid w:val="00C25CA1"/>
    <w:rsid w:val="00C2609B"/>
    <w:rsid w:val="00C261D0"/>
    <w:rsid w:val="00C262ED"/>
    <w:rsid w:val="00C2646F"/>
    <w:rsid w:val="00C26B9B"/>
    <w:rsid w:val="00C26D7D"/>
    <w:rsid w:val="00C26FCC"/>
    <w:rsid w:val="00C27297"/>
    <w:rsid w:val="00C2748A"/>
    <w:rsid w:val="00C277FE"/>
    <w:rsid w:val="00C27852"/>
    <w:rsid w:val="00C278B7"/>
    <w:rsid w:val="00C27B78"/>
    <w:rsid w:val="00C27F31"/>
    <w:rsid w:val="00C27F56"/>
    <w:rsid w:val="00C301D8"/>
    <w:rsid w:val="00C30289"/>
    <w:rsid w:val="00C30321"/>
    <w:rsid w:val="00C30387"/>
    <w:rsid w:val="00C3038A"/>
    <w:rsid w:val="00C3057E"/>
    <w:rsid w:val="00C30670"/>
    <w:rsid w:val="00C307C4"/>
    <w:rsid w:val="00C307DA"/>
    <w:rsid w:val="00C3098F"/>
    <w:rsid w:val="00C30B8C"/>
    <w:rsid w:val="00C30C83"/>
    <w:rsid w:val="00C31041"/>
    <w:rsid w:val="00C31227"/>
    <w:rsid w:val="00C3133A"/>
    <w:rsid w:val="00C3136C"/>
    <w:rsid w:val="00C313CE"/>
    <w:rsid w:val="00C31B8E"/>
    <w:rsid w:val="00C31E05"/>
    <w:rsid w:val="00C32133"/>
    <w:rsid w:val="00C32238"/>
    <w:rsid w:val="00C3243E"/>
    <w:rsid w:val="00C32564"/>
    <w:rsid w:val="00C325C7"/>
    <w:rsid w:val="00C32947"/>
    <w:rsid w:val="00C32A10"/>
    <w:rsid w:val="00C335BA"/>
    <w:rsid w:val="00C33851"/>
    <w:rsid w:val="00C33950"/>
    <w:rsid w:val="00C33B0A"/>
    <w:rsid w:val="00C33F7E"/>
    <w:rsid w:val="00C340C6"/>
    <w:rsid w:val="00C34189"/>
    <w:rsid w:val="00C34762"/>
    <w:rsid w:val="00C34A1B"/>
    <w:rsid w:val="00C34A6A"/>
    <w:rsid w:val="00C34E77"/>
    <w:rsid w:val="00C34EE6"/>
    <w:rsid w:val="00C34F0C"/>
    <w:rsid w:val="00C358DE"/>
    <w:rsid w:val="00C35A16"/>
    <w:rsid w:val="00C35B67"/>
    <w:rsid w:val="00C35D30"/>
    <w:rsid w:val="00C35D93"/>
    <w:rsid w:val="00C35DE6"/>
    <w:rsid w:val="00C35E3D"/>
    <w:rsid w:val="00C3620A"/>
    <w:rsid w:val="00C36763"/>
    <w:rsid w:val="00C36800"/>
    <w:rsid w:val="00C36919"/>
    <w:rsid w:val="00C36D7C"/>
    <w:rsid w:val="00C36E4E"/>
    <w:rsid w:val="00C36F14"/>
    <w:rsid w:val="00C372A1"/>
    <w:rsid w:val="00C37481"/>
    <w:rsid w:val="00C3781B"/>
    <w:rsid w:val="00C40283"/>
    <w:rsid w:val="00C40406"/>
    <w:rsid w:val="00C404F2"/>
    <w:rsid w:val="00C405A6"/>
    <w:rsid w:val="00C4065F"/>
    <w:rsid w:val="00C40A4E"/>
    <w:rsid w:val="00C40C46"/>
    <w:rsid w:val="00C40EC9"/>
    <w:rsid w:val="00C40EE7"/>
    <w:rsid w:val="00C4102A"/>
    <w:rsid w:val="00C41203"/>
    <w:rsid w:val="00C41BF4"/>
    <w:rsid w:val="00C41C0F"/>
    <w:rsid w:val="00C41CCD"/>
    <w:rsid w:val="00C41DB5"/>
    <w:rsid w:val="00C41E2A"/>
    <w:rsid w:val="00C41FE9"/>
    <w:rsid w:val="00C42188"/>
    <w:rsid w:val="00C4234D"/>
    <w:rsid w:val="00C426C2"/>
    <w:rsid w:val="00C42733"/>
    <w:rsid w:val="00C42A57"/>
    <w:rsid w:val="00C42A7C"/>
    <w:rsid w:val="00C42B9F"/>
    <w:rsid w:val="00C42D36"/>
    <w:rsid w:val="00C42EF8"/>
    <w:rsid w:val="00C431F8"/>
    <w:rsid w:val="00C433C6"/>
    <w:rsid w:val="00C43583"/>
    <w:rsid w:val="00C4372C"/>
    <w:rsid w:val="00C44023"/>
    <w:rsid w:val="00C4420A"/>
    <w:rsid w:val="00C44233"/>
    <w:rsid w:val="00C443D0"/>
    <w:rsid w:val="00C44592"/>
    <w:rsid w:val="00C445C0"/>
    <w:rsid w:val="00C4479E"/>
    <w:rsid w:val="00C447F2"/>
    <w:rsid w:val="00C449AB"/>
    <w:rsid w:val="00C44E94"/>
    <w:rsid w:val="00C44F69"/>
    <w:rsid w:val="00C45057"/>
    <w:rsid w:val="00C452F6"/>
    <w:rsid w:val="00C4534F"/>
    <w:rsid w:val="00C4546A"/>
    <w:rsid w:val="00C45625"/>
    <w:rsid w:val="00C459E7"/>
    <w:rsid w:val="00C45E30"/>
    <w:rsid w:val="00C45E79"/>
    <w:rsid w:val="00C46A81"/>
    <w:rsid w:val="00C46AA6"/>
    <w:rsid w:val="00C46B09"/>
    <w:rsid w:val="00C46E42"/>
    <w:rsid w:val="00C46E92"/>
    <w:rsid w:val="00C471AA"/>
    <w:rsid w:val="00C4725F"/>
    <w:rsid w:val="00C4732D"/>
    <w:rsid w:val="00C47AC1"/>
    <w:rsid w:val="00C47D9C"/>
    <w:rsid w:val="00C47DF3"/>
    <w:rsid w:val="00C500C9"/>
    <w:rsid w:val="00C507A3"/>
    <w:rsid w:val="00C50909"/>
    <w:rsid w:val="00C50A38"/>
    <w:rsid w:val="00C50B36"/>
    <w:rsid w:val="00C50BC5"/>
    <w:rsid w:val="00C50BFD"/>
    <w:rsid w:val="00C50CDF"/>
    <w:rsid w:val="00C50D8E"/>
    <w:rsid w:val="00C50F04"/>
    <w:rsid w:val="00C5100D"/>
    <w:rsid w:val="00C515CF"/>
    <w:rsid w:val="00C51A46"/>
    <w:rsid w:val="00C51A81"/>
    <w:rsid w:val="00C51B27"/>
    <w:rsid w:val="00C51D73"/>
    <w:rsid w:val="00C52166"/>
    <w:rsid w:val="00C52456"/>
    <w:rsid w:val="00C52552"/>
    <w:rsid w:val="00C52669"/>
    <w:rsid w:val="00C526C1"/>
    <w:rsid w:val="00C527B6"/>
    <w:rsid w:val="00C52873"/>
    <w:rsid w:val="00C52931"/>
    <w:rsid w:val="00C529D7"/>
    <w:rsid w:val="00C52A56"/>
    <w:rsid w:val="00C52B6E"/>
    <w:rsid w:val="00C52D89"/>
    <w:rsid w:val="00C52F48"/>
    <w:rsid w:val="00C530C2"/>
    <w:rsid w:val="00C5320F"/>
    <w:rsid w:val="00C532D5"/>
    <w:rsid w:val="00C535EF"/>
    <w:rsid w:val="00C536FA"/>
    <w:rsid w:val="00C539C1"/>
    <w:rsid w:val="00C53BC5"/>
    <w:rsid w:val="00C53C40"/>
    <w:rsid w:val="00C54167"/>
    <w:rsid w:val="00C5432F"/>
    <w:rsid w:val="00C5433A"/>
    <w:rsid w:val="00C5453D"/>
    <w:rsid w:val="00C54553"/>
    <w:rsid w:val="00C545AA"/>
    <w:rsid w:val="00C547A0"/>
    <w:rsid w:val="00C549B1"/>
    <w:rsid w:val="00C54B09"/>
    <w:rsid w:val="00C54BB9"/>
    <w:rsid w:val="00C54C83"/>
    <w:rsid w:val="00C54CB9"/>
    <w:rsid w:val="00C54EA9"/>
    <w:rsid w:val="00C551F5"/>
    <w:rsid w:val="00C55498"/>
    <w:rsid w:val="00C55503"/>
    <w:rsid w:val="00C556A6"/>
    <w:rsid w:val="00C558F2"/>
    <w:rsid w:val="00C55B6A"/>
    <w:rsid w:val="00C55D12"/>
    <w:rsid w:val="00C55F32"/>
    <w:rsid w:val="00C56009"/>
    <w:rsid w:val="00C5618A"/>
    <w:rsid w:val="00C56720"/>
    <w:rsid w:val="00C56B50"/>
    <w:rsid w:val="00C56B95"/>
    <w:rsid w:val="00C56E89"/>
    <w:rsid w:val="00C570F1"/>
    <w:rsid w:val="00C5749A"/>
    <w:rsid w:val="00C57843"/>
    <w:rsid w:val="00C5792B"/>
    <w:rsid w:val="00C57959"/>
    <w:rsid w:val="00C6019A"/>
    <w:rsid w:val="00C6025E"/>
    <w:rsid w:val="00C605E4"/>
    <w:rsid w:val="00C6091D"/>
    <w:rsid w:val="00C60CF4"/>
    <w:rsid w:val="00C610DD"/>
    <w:rsid w:val="00C611B2"/>
    <w:rsid w:val="00C61293"/>
    <w:rsid w:val="00C612B1"/>
    <w:rsid w:val="00C615D7"/>
    <w:rsid w:val="00C61643"/>
    <w:rsid w:val="00C6191F"/>
    <w:rsid w:val="00C61A90"/>
    <w:rsid w:val="00C61BE0"/>
    <w:rsid w:val="00C61EAB"/>
    <w:rsid w:val="00C61ED4"/>
    <w:rsid w:val="00C62010"/>
    <w:rsid w:val="00C6242E"/>
    <w:rsid w:val="00C627DC"/>
    <w:rsid w:val="00C62833"/>
    <w:rsid w:val="00C62B58"/>
    <w:rsid w:val="00C62BCF"/>
    <w:rsid w:val="00C62BD2"/>
    <w:rsid w:val="00C62D29"/>
    <w:rsid w:val="00C62E78"/>
    <w:rsid w:val="00C62EB2"/>
    <w:rsid w:val="00C63143"/>
    <w:rsid w:val="00C63215"/>
    <w:rsid w:val="00C6345B"/>
    <w:rsid w:val="00C636BB"/>
    <w:rsid w:val="00C63715"/>
    <w:rsid w:val="00C63CF0"/>
    <w:rsid w:val="00C63DF3"/>
    <w:rsid w:val="00C63E07"/>
    <w:rsid w:val="00C6468E"/>
    <w:rsid w:val="00C64B02"/>
    <w:rsid w:val="00C64BD0"/>
    <w:rsid w:val="00C64DA3"/>
    <w:rsid w:val="00C65109"/>
    <w:rsid w:val="00C6571C"/>
    <w:rsid w:val="00C6571E"/>
    <w:rsid w:val="00C657A8"/>
    <w:rsid w:val="00C65956"/>
    <w:rsid w:val="00C65A09"/>
    <w:rsid w:val="00C65CD7"/>
    <w:rsid w:val="00C660D3"/>
    <w:rsid w:val="00C661ED"/>
    <w:rsid w:val="00C663F5"/>
    <w:rsid w:val="00C664F5"/>
    <w:rsid w:val="00C6654E"/>
    <w:rsid w:val="00C666F2"/>
    <w:rsid w:val="00C66990"/>
    <w:rsid w:val="00C66E1B"/>
    <w:rsid w:val="00C66ED6"/>
    <w:rsid w:val="00C66F4D"/>
    <w:rsid w:val="00C670B5"/>
    <w:rsid w:val="00C6716F"/>
    <w:rsid w:val="00C671C4"/>
    <w:rsid w:val="00C6749B"/>
    <w:rsid w:val="00C679DB"/>
    <w:rsid w:val="00C67BA5"/>
    <w:rsid w:val="00C67C9A"/>
    <w:rsid w:val="00C67F7C"/>
    <w:rsid w:val="00C7011C"/>
    <w:rsid w:val="00C70130"/>
    <w:rsid w:val="00C703A6"/>
    <w:rsid w:val="00C7043D"/>
    <w:rsid w:val="00C70668"/>
    <w:rsid w:val="00C70845"/>
    <w:rsid w:val="00C708F8"/>
    <w:rsid w:val="00C70C46"/>
    <w:rsid w:val="00C70E7B"/>
    <w:rsid w:val="00C70EE5"/>
    <w:rsid w:val="00C71270"/>
    <w:rsid w:val="00C712FD"/>
    <w:rsid w:val="00C71665"/>
    <w:rsid w:val="00C7185D"/>
    <w:rsid w:val="00C718E1"/>
    <w:rsid w:val="00C71A20"/>
    <w:rsid w:val="00C71A78"/>
    <w:rsid w:val="00C71A99"/>
    <w:rsid w:val="00C71AEA"/>
    <w:rsid w:val="00C71BA7"/>
    <w:rsid w:val="00C71BEE"/>
    <w:rsid w:val="00C71C98"/>
    <w:rsid w:val="00C71DC4"/>
    <w:rsid w:val="00C71FBD"/>
    <w:rsid w:val="00C721A5"/>
    <w:rsid w:val="00C7255F"/>
    <w:rsid w:val="00C72EAA"/>
    <w:rsid w:val="00C72F2C"/>
    <w:rsid w:val="00C72F5C"/>
    <w:rsid w:val="00C7301C"/>
    <w:rsid w:val="00C73213"/>
    <w:rsid w:val="00C734E6"/>
    <w:rsid w:val="00C7395F"/>
    <w:rsid w:val="00C73A71"/>
    <w:rsid w:val="00C73D29"/>
    <w:rsid w:val="00C73F18"/>
    <w:rsid w:val="00C73F83"/>
    <w:rsid w:val="00C7400D"/>
    <w:rsid w:val="00C740B3"/>
    <w:rsid w:val="00C740EB"/>
    <w:rsid w:val="00C7427C"/>
    <w:rsid w:val="00C7438E"/>
    <w:rsid w:val="00C745D5"/>
    <w:rsid w:val="00C7496E"/>
    <w:rsid w:val="00C74AF0"/>
    <w:rsid w:val="00C74B90"/>
    <w:rsid w:val="00C74CF4"/>
    <w:rsid w:val="00C74FC7"/>
    <w:rsid w:val="00C75039"/>
    <w:rsid w:val="00C7518B"/>
    <w:rsid w:val="00C751C7"/>
    <w:rsid w:val="00C754CE"/>
    <w:rsid w:val="00C75635"/>
    <w:rsid w:val="00C75AEF"/>
    <w:rsid w:val="00C75D6A"/>
    <w:rsid w:val="00C75F0B"/>
    <w:rsid w:val="00C75F89"/>
    <w:rsid w:val="00C76134"/>
    <w:rsid w:val="00C76193"/>
    <w:rsid w:val="00C76260"/>
    <w:rsid w:val="00C765D3"/>
    <w:rsid w:val="00C76787"/>
    <w:rsid w:val="00C76837"/>
    <w:rsid w:val="00C76A33"/>
    <w:rsid w:val="00C76A36"/>
    <w:rsid w:val="00C76C3F"/>
    <w:rsid w:val="00C76CBA"/>
    <w:rsid w:val="00C7705E"/>
    <w:rsid w:val="00C7714F"/>
    <w:rsid w:val="00C77215"/>
    <w:rsid w:val="00C7728F"/>
    <w:rsid w:val="00C77326"/>
    <w:rsid w:val="00C775D8"/>
    <w:rsid w:val="00C779CC"/>
    <w:rsid w:val="00C77BFF"/>
    <w:rsid w:val="00C77EE8"/>
    <w:rsid w:val="00C80044"/>
    <w:rsid w:val="00C80402"/>
    <w:rsid w:val="00C80616"/>
    <w:rsid w:val="00C80642"/>
    <w:rsid w:val="00C80807"/>
    <w:rsid w:val="00C8083C"/>
    <w:rsid w:val="00C809A7"/>
    <w:rsid w:val="00C80E91"/>
    <w:rsid w:val="00C8119A"/>
    <w:rsid w:val="00C81461"/>
    <w:rsid w:val="00C815B0"/>
    <w:rsid w:val="00C81790"/>
    <w:rsid w:val="00C817DD"/>
    <w:rsid w:val="00C81B0C"/>
    <w:rsid w:val="00C81B2F"/>
    <w:rsid w:val="00C8207B"/>
    <w:rsid w:val="00C82099"/>
    <w:rsid w:val="00C82410"/>
    <w:rsid w:val="00C8267A"/>
    <w:rsid w:val="00C82A95"/>
    <w:rsid w:val="00C82D0F"/>
    <w:rsid w:val="00C82DEC"/>
    <w:rsid w:val="00C83071"/>
    <w:rsid w:val="00C83399"/>
    <w:rsid w:val="00C835CD"/>
    <w:rsid w:val="00C83675"/>
    <w:rsid w:val="00C836D7"/>
    <w:rsid w:val="00C8374F"/>
    <w:rsid w:val="00C83801"/>
    <w:rsid w:val="00C83CAC"/>
    <w:rsid w:val="00C83E92"/>
    <w:rsid w:val="00C840A9"/>
    <w:rsid w:val="00C84223"/>
    <w:rsid w:val="00C84840"/>
    <w:rsid w:val="00C848AA"/>
    <w:rsid w:val="00C84B12"/>
    <w:rsid w:val="00C84B9B"/>
    <w:rsid w:val="00C84D17"/>
    <w:rsid w:val="00C84DAC"/>
    <w:rsid w:val="00C84EE4"/>
    <w:rsid w:val="00C8540F"/>
    <w:rsid w:val="00C8547D"/>
    <w:rsid w:val="00C854CB"/>
    <w:rsid w:val="00C854E9"/>
    <w:rsid w:val="00C855E5"/>
    <w:rsid w:val="00C85813"/>
    <w:rsid w:val="00C858A8"/>
    <w:rsid w:val="00C85D72"/>
    <w:rsid w:val="00C85DA1"/>
    <w:rsid w:val="00C85EF1"/>
    <w:rsid w:val="00C86316"/>
    <w:rsid w:val="00C864E8"/>
    <w:rsid w:val="00C86622"/>
    <w:rsid w:val="00C86A25"/>
    <w:rsid w:val="00C871AD"/>
    <w:rsid w:val="00C8736D"/>
    <w:rsid w:val="00C876B6"/>
    <w:rsid w:val="00C877F3"/>
    <w:rsid w:val="00C87A7E"/>
    <w:rsid w:val="00C87B7A"/>
    <w:rsid w:val="00C87D07"/>
    <w:rsid w:val="00C9015E"/>
    <w:rsid w:val="00C902CF"/>
    <w:rsid w:val="00C9055E"/>
    <w:rsid w:val="00C907C1"/>
    <w:rsid w:val="00C90936"/>
    <w:rsid w:val="00C90C29"/>
    <w:rsid w:val="00C9117E"/>
    <w:rsid w:val="00C91197"/>
    <w:rsid w:val="00C91227"/>
    <w:rsid w:val="00C9122D"/>
    <w:rsid w:val="00C91290"/>
    <w:rsid w:val="00C91878"/>
    <w:rsid w:val="00C91B83"/>
    <w:rsid w:val="00C91CE8"/>
    <w:rsid w:val="00C91E07"/>
    <w:rsid w:val="00C91E8F"/>
    <w:rsid w:val="00C91FC3"/>
    <w:rsid w:val="00C92071"/>
    <w:rsid w:val="00C92133"/>
    <w:rsid w:val="00C921C9"/>
    <w:rsid w:val="00C92358"/>
    <w:rsid w:val="00C924AD"/>
    <w:rsid w:val="00C929A9"/>
    <w:rsid w:val="00C92A45"/>
    <w:rsid w:val="00C92B25"/>
    <w:rsid w:val="00C930DD"/>
    <w:rsid w:val="00C931E5"/>
    <w:rsid w:val="00C9339B"/>
    <w:rsid w:val="00C934CF"/>
    <w:rsid w:val="00C9358A"/>
    <w:rsid w:val="00C93641"/>
    <w:rsid w:val="00C937CF"/>
    <w:rsid w:val="00C93909"/>
    <w:rsid w:val="00C9393A"/>
    <w:rsid w:val="00C939EF"/>
    <w:rsid w:val="00C93F06"/>
    <w:rsid w:val="00C93FFF"/>
    <w:rsid w:val="00C94198"/>
    <w:rsid w:val="00C9419B"/>
    <w:rsid w:val="00C948F8"/>
    <w:rsid w:val="00C94F31"/>
    <w:rsid w:val="00C94F33"/>
    <w:rsid w:val="00C94F3E"/>
    <w:rsid w:val="00C94F48"/>
    <w:rsid w:val="00C94FE9"/>
    <w:rsid w:val="00C952AB"/>
    <w:rsid w:val="00C952AE"/>
    <w:rsid w:val="00C953B1"/>
    <w:rsid w:val="00C95715"/>
    <w:rsid w:val="00C9596D"/>
    <w:rsid w:val="00C95A9C"/>
    <w:rsid w:val="00C95F32"/>
    <w:rsid w:val="00C96558"/>
    <w:rsid w:val="00C96963"/>
    <w:rsid w:val="00C96C9C"/>
    <w:rsid w:val="00C96F2A"/>
    <w:rsid w:val="00C9706E"/>
    <w:rsid w:val="00C97375"/>
    <w:rsid w:val="00C97C27"/>
    <w:rsid w:val="00C97F26"/>
    <w:rsid w:val="00CA02BE"/>
    <w:rsid w:val="00CA06F4"/>
    <w:rsid w:val="00CA0A35"/>
    <w:rsid w:val="00CA0CFA"/>
    <w:rsid w:val="00CA0F10"/>
    <w:rsid w:val="00CA1057"/>
    <w:rsid w:val="00CA1188"/>
    <w:rsid w:val="00CA1402"/>
    <w:rsid w:val="00CA1497"/>
    <w:rsid w:val="00CA14EE"/>
    <w:rsid w:val="00CA15BC"/>
    <w:rsid w:val="00CA15CE"/>
    <w:rsid w:val="00CA15FA"/>
    <w:rsid w:val="00CA1645"/>
    <w:rsid w:val="00CA1699"/>
    <w:rsid w:val="00CA1866"/>
    <w:rsid w:val="00CA186C"/>
    <w:rsid w:val="00CA2843"/>
    <w:rsid w:val="00CA2A97"/>
    <w:rsid w:val="00CA2AF7"/>
    <w:rsid w:val="00CA2B33"/>
    <w:rsid w:val="00CA2B63"/>
    <w:rsid w:val="00CA2CAA"/>
    <w:rsid w:val="00CA3569"/>
    <w:rsid w:val="00CA3830"/>
    <w:rsid w:val="00CA39EE"/>
    <w:rsid w:val="00CA4038"/>
    <w:rsid w:val="00CA4268"/>
    <w:rsid w:val="00CA4324"/>
    <w:rsid w:val="00CA449B"/>
    <w:rsid w:val="00CA44F1"/>
    <w:rsid w:val="00CA468A"/>
    <w:rsid w:val="00CA4783"/>
    <w:rsid w:val="00CA4A8E"/>
    <w:rsid w:val="00CA4B69"/>
    <w:rsid w:val="00CA4BF3"/>
    <w:rsid w:val="00CA5020"/>
    <w:rsid w:val="00CA517A"/>
    <w:rsid w:val="00CA51A8"/>
    <w:rsid w:val="00CA51B8"/>
    <w:rsid w:val="00CA54EA"/>
    <w:rsid w:val="00CA55C4"/>
    <w:rsid w:val="00CA56DC"/>
    <w:rsid w:val="00CA56DD"/>
    <w:rsid w:val="00CA588B"/>
    <w:rsid w:val="00CA5AB7"/>
    <w:rsid w:val="00CA5DFB"/>
    <w:rsid w:val="00CA6124"/>
    <w:rsid w:val="00CA6469"/>
    <w:rsid w:val="00CA6483"/>
    <w:rsid w:val="00CA6525"/>
    <w:rsid w:val="00CA6AB3"/>
    <w:rsid w:val="00CA6AF9"/>
    <w:rsid w:val="00CA6C14"/>
    <w:rsid w:val="00CA6D5B"/>
    <w:rsid w:val="00CA6F66"/>
    <w:rsid w:val="00CA6FB6"/>
    <w:rsid w:val="00CA756C"/>
    <w:rsid w:val="00CA7D7C"/>
    <w:rsid w:val="00CB020F"/>
    <w:rsid w:val="00CB0225"/>
    <w:rsid w:val="00CB0466"/>
    <w:rsid w:val="00CB05C6"/>
    <w:rsid w:val="00CB0730"/>
    <w:rsid w:val="00CB0796"/>
    <w:rsid w:val="00CB0797"/>
    <w:rsid w:val="00CB083D"/>
    <w:rsid w:val="00CB0855"/>
    <w:rsid w:val="00CB0A07"/>
    <w:rsid w:val="00CB0BC3"/>
    <w:rsid w:val="00CB0D1C"/>
    <w:rsid w:val="00CB0DE3"/>
    <w:rsid w:val="00CB13D0"/>
    <w:rsid w:val="00CB1584"/>
    <w:rsid w:val="00CB1B93"/>
    <w:rsid w:val="00CB1BD2"/>
    <w:rsid w:val="00CB1ED2"/>
    <w:rsid w:val="00CB1EF5"/>
    <w:rsid w:val="00CB1F3C"/>
    <w:rsid w:val="00CB2157"/>
    <w:rsid w:val="00CB226B"/>
    <w:rsid w:val="00CB2424"/>
    <w:rsid w:val="00CB2696"/>
    <w:rsid w:val="00CB291E"/>
    <w:rsid w:val="00CB2BF1"/>
    <w:rsid w:val="00CB2CE6"/>
    <w:rsid w:val="00CB2CEF"/>
    <w:rsid w:val="00CB2ED6"/>
    <w:rsid w:val="00CB30D6"/>
    <w:rsid w:val="00CB34B1"/>
    <w:rsid w:val="00CB34FE"/>
    <w:rsid w:val="00CB363C"/>
    <w:rsid w:val="00CB39A4"/>
    <w:rsid w:val="00CB3ACD"/>
    <w:rsid w:val="00CB3D69"/>
    <w:rsid w:val="00CB3DBB"/>
    <w:rsid w:val="00CB3E49"/>
    <w:rsid w:val="00CB3EBA"/>
    <w:rsid w:val="00CB4058"/>
    <w:rsid w:val="00CB444E"/>
    <w:rsid w:val="00CB4D19"/>
    <w:rsid w:val="00CB4F11"/>
    <w:rsid w:val="00CB5105"/>
    <w:rsid w:val="00CB541A"/>
    <w:rsid w:val="00CB5557"/>
    <w:rsid w:val="00CB5715"/>
    <w:rsid w:val="00CB57AF"/>
    <w:rsid w:val="00CB57B4"/>
    <w:rsid w:val="00CB58B1"/>
    <w:rsid w:val="00CB5C0C"/>
    <w:rsid w:val="00CB5E39"/>
    <w:rsid w:val="00CB60A7"/>
    <w:rsid w:val="00CB60FA"/>
    <w:rsid w:val="00CB6156"/>
    <w:rsid w:val="00CB6268"/>
    <w:rsid w:val="00CB631D"/>
    <w:rsid w:val="00CB64A1"/>
    <w:rsid w:val="00CB6925"/>
    <w:rsid w:val="00CB6E0E"/>
    <w:rsid w:val="00CB74DC"/>
    <w:rsid w:val="00CB7549"/>
    <w:rsid w:val="00CB776F"/>
    <w:rsid w:val="00CB7CCF"/>
    <w:rsid w:val="00CB7E5A"/>
    <w:rsid w:val="00CC0362"/>
    <w:rsid w:val="00CC0789"/>
    <w:rsid w:val="00CC07EF"/>
    <w:rsid w:val="00CC08E2"/>
    <w:rsid w:val="00CC0C46"/>
    <w:rsid w:val="00CC0DD1"/>
    <w:rsid w:val="00CC0EE2"/>
    <w:rsid w:val="00CC0EE8"/>
    <w:rsid w:val="00CC11B8"/>
    <w:rsid w:val="00CC12BC"/>
    <w:rsid w:val="00CC1407"/>
    <w:rsid w:val="00CC14D1"/>
    <w:rsid w:val="00CC16FD"/>
    <w:rsid w:val="00CC186B"/>
    <w:rsid w:val="00CC18F3"/>
    <w:rsid w:val="00CC19C3"/>
    <w:rsid w:val="00CC1B06"/>
    <w:rsid w:val="00CC20BC"/>
    <w:rsid w:val="00CC2195"/>
    <w:rsid w:val="00CC22B2"/>
    <w:rsid w:val="00CC2416"/>
    <w:rsid w:val="00CC2418"/>
    <w:rsid w:val="00CC252E"/>
    <w:rsid w:val="00CC2844"/>
    <w:rsid w:val="00CC2A39"/>
    <w:rsid w:val="00CC2AF7"/>
    <w:rsid w:val="00CC2C2D"/>
    <w:rsid w:val="00CC2CD2"/>
    <w:rsid w:val="00CC311F"/>
    <w:rsid w:val="00CC3144"/>
    <w:rsid w:val="00CC32C7"/>
    <w:rsid w:val="00CC32D6"/>
    <w:rsid w:val="00CC340A"/>
    <w:rsid w:val="00CC356F"/>
    <w:rsid w:val="00CC3656"/>
    <w:rsid w:val="00CC36C7"/>
    <w:rsid w:val="00CC3BE2"/>
    <w:rsid w:val="00CC3D63"/>
    <w:rsid w:val="00CC3E5E"/>
    <w:rsid w:val="00CC3EFE"/>
    <w:rsid w:val="00CC3F82"/>
    <w:rsid w:val="00CC4454"/>
    <w:rsid w:val="00CC445C"/>
    <w:rsid w:val="00CC461B"/>
    <w:rsid w:val="00CC486B"/>
    <w:rsid w:val="00CC4DA7"/>
    <w:rsid w:val="00CC4E21"/>
    <w:rsid w:val="00CC4FAE"/>
    <w:rsid w:val="00CC540A"/>
    <w:rsid w:val="00CC54B1"/>
    <w:rsid w:val="00CC5720"/>
    <w:rsid w:val="00CC58DE"/>
    <w:rsid w:val="00CC5A03"/>
    <w:rsid w:val="00CC5A75"/>
    <w:rsid w:val="00CC5CB5"/>
    <w:rsid w:val="00CC5E74"/>
    <w:rsid w:val="00CC6185"/>
    <w:rsid w:val="00CC632F"/>
    <w:rsid w:val="00CC64DB"/>
    <w:rsid w:val="00CC66BC"/>
    <w:rsid w:val="00CC686A"/>
    <w:rsid w:val="00CC69DA"/>
    <w:rsid w:val="00CC6B18"/>
    <w:rsid w:val="00CC6C55"/>
    <w:rsid w:val="00CC6C83"/>
    <w:rsid w:val="00CC7406"/>
    <w:rsid w:val="00CC748E"/>
    <w:rsid w:val="00CC75BD"/>
    <w:rsid w:val="00CC7802"/>
    <w:rsid w:val="00CC78AE"/>
    <w:rsid w:val="00CC7C36"/>
    <w:rsid w:val="00CC7C83"/>
    <w:rsid w:val="00CC7CE6"/>
    <w:rsid w:val="00CC7DD1"/>
    <w:rsid w:val="00CC7DF2"/>
    <w:rsid w:val="00CC7E36"/>
    <w:rsid w:val="00CD0169"/>
    <w:rsid w:val="00CD018D"/>
    <w:rsid w:val="00CD032A"/>
    <w:rsid w:val="00CD03CD"/>
    <w:rsid w:val="00CD040E"/>
    <w:rsid w:val="00CD052E"/>
    <w:rsid w:val="00CD079A"/>
    <w:rsid w:val="00CD07AF"/>
    <w:rsid w:val="00CD0939"/>
    <w:rsid w:val="00CD0983"/>
    <w:rsid w:val="00CD0A05"/>
    <w:rsid w:val="00CD0A66"/>
    <w:rsid w:val="00CD0ABD"/>
    <w:rsid w:val="00CD0C4B"/>
    <w:rsid w:val="00CD0D0F"/>
    <w:rsid w:val="00CD0F47"/>
    <w:rsid w:val="00CD0FA2"/>
    <w:rsid w:val="00CD0FD9"/>
    <w:rsid w:val="00CD10D1"/>
    <w:rsid w:val="00CD11A6"/>
    <w:rsid w:val="00CD125F"/>
    <w:rsid w:val="00CD138A"/>
    <w:rsid w:val="00CD14C3"/>
    <w:rsid w:val="00CD1573"/>
    <w:rsid w:val="00CD1917"/>
    <w:rsid w:val="00CD1B59"/>
    <w:rsid w:val="00CD1C7A"/>
    <w:rsid w:val="00CD1D24"/>
    <w:rsid w:val="00CD1E85"/>
    <w:rsid w:val="00CD1EB5"/>
    <w:rsid w:val="00CD1EEE"/>
    <w:rsid w:val="00CD2220"/>
    <w:rsid w:val="00CD22E1"/>
    <w:rsid w:val="00CD2303"/>
    <w:rsid w:val="00CD23D7"/>
    <w:rsid w:val="00CD2745"/>
    <w:rsid w:val="00CD29FA"/>
    <w:rsid w:val="00CD2BE2"/>
    <w:rsid w:val="00CD2ED8"/>
    <w:rsid w:val="00CD30A8"/>
    <w:rsid w:val="00CD319F"/>
    <w:rsid w:val="00CD3208"/>
    <w:rsid w:val="00CD383D"/>
    <w:rsid w:val="00CD3A57"/>
    <w:rsid w:val="00CD3B05"/>
    <w:rsid w:val="00CD3BBA"/>
    <w:rsid w:val="00CD3BD6"/>
    <w:rsid w:val="00CD3DED"/>
    <w:rsid w:val="00CD3E0C"/>
    <w:rsid w:val="00CD41C6"/>
    <w:rsid w:val="00CD4218"/>
    <w:rsid w:val="00CD4485"/>
    <w:rsid w:val="00CD478B"/>
    <w:rsid w:val="00CD4DFD"/>
    <w:rsid w:val="00CD5101"/>
    <w:rsid w:val="00CD5123"/>
    <w:rsid w:val="00CD5234"/>
    <w:rsid w:val="00CD536E"/>
    <w:rsid w:val="00CD53A3"/>
    <w:rsid w:val="00CD5551"/>
    <w:rsid w:val="00CD558F"/>
    <w:rsid w:val="00CD5820"/>
    <w:rsid w:val="00CD5984"/>
    <w:rsid w:val="00CD5F31"/>
    <w:rsid w:val="00CD609E"/>
    <w:rsid w:val="00CD63D5"/>
    <w:rsid w:val="00CD6639"/>
    <w:rsid w:val="00CD667F"/>
    <w:rsid w:val="00CD6C19"/>
    <w:rsid w:val="00CD6CA7"/>
    <w:rsid w:val="00CD6D0F"/>
    <w:rsid w:val="00CD6D2C"/>
    <w:rsid w:val="00CD6DF6"/>
    <w:rsid w:val="00CD6FAC"/>
    <w:rsid w:val="00CD7195"/>
    <w:rsid w:val="00CD71B9"/>
    <w:rsid w:val="00CD72B7"/>
    <w:rsid w:val="00CD72F9"/>
    <w:rsid w:val="00CD7613"/>
    <w:rsid w:val="00CD78DE"/>
    <w:rsid w:val="00CE02D8"/>
    <w:rsid w:val="00CE053E"/>
    <w:rsid w:val="00CE05F3"/>
    <w:rsid w:val="00CE07E1"/>
    <w:rsid w:val="00CE081F"/>
    <w:rsid w:val="00CE0945"/>
    <w:rsid w:val="00CE1507"/>
    <w:rsid w:val="00CE1796"/>
    <w:rsid w:val="00CE18D9"/>
    <w:rsid w:val="00CE1CE7"/>
    <w:rsid w:val="00CE2266"/>
    <w:rsid w:val="00CE23E3"/>
    <w:rsid w:val="00CE24A7"/>
    <w:rsid w:val="00CE24E5"/>
    <w:rsid w:val="00CE2562"/>
    <w:rsid w:val="00CE2765"/>
    <w:rsid w:val="00CE2D2D"/>
    <w:rsid w:val="00CE2D70"/>
    <w:rsid w:val="00CE2ECC"/>
    <w:rsid w:val="00CE35AF"/>
    <w:rsid w:val="00CE36D2"/>
    <w:rsid w:val="00CE36FF"/>
    <w:rsid w:val="00CE389B"/>
    <w:rsid w:val="00CE3A13"/>
    <w:rsid w:val="00CE3A5B"/>
    <w:rsid w:val="00CE3AFE"/>
    <w:rsid w:val="00CE3C72"/>
    <w:rsid w:val="00CE3C74"/>
    <w:rsid w:val="00CE3F6D"/>
    <w:rsid w:val="00CE4001"/>
    <w:rsid w:val="00CE40D2"/>
    <w:rsid w:val="00CE43D8"/>
    <w:rsid w:val="00CE43EF"/>
    <w:rsid w:val="00CE468B"/>
    <w:rsid w:val="00CE4D7E"/>
    <w:rsid w:val="00CE4EA9"/>
    <w:rsid w:val="00CE4F35"/>
    <w:rsid w:val="00CE4F46"/>
    <w:rsid w:val="00CE5041"/>
    <w:rsid w:val="00CE5491"/>
    <w:rsid w:val="00CE54A0"/>
    <w:rsid w:val="00CE54D3"/>
    <w:rsid w:val="00CE54F9"/>
    <w:rsid w:val="00CE5AA8"/>
    <w:rsid w:val="00CE5C07"/>
    <w:rsid w:val="00CE5DFE"/>
    <w:rsid w:val="00CE6115"/>
    <w:rsid w:val="00CE6211"/>
    <w:rsid w:val="00CE638C"/>
    <w:rsid w:val="00CE68BC"/>
    <w:rsid w:val="00CE6959"/>
    <w:rsid w:val="00CE6969"/>
    <w:rsid w:val="00CE6A2B"/>
    <w:rsid w:val="00CE6A9F"/>
    <w:rsid w:val="00CE6DB7"/>
    <w:rsid w:val="00CE70C0"/>
    <w:rsid w:val="00CE7118"/>
    <w:rsid w:val="00CE7621"/>
    <w:rsid w:val="00CE77D1"/>
    <w:rsid w:val="00CE7960"/>
    <w:rsid w:val="00CE7EB8"/>
    <w:rsid w:val="00CE7FBC"/>
    <w:rsid w:val="00CF011C"/>
    <w:rsid w:val="00CF0274"/>
    <w:rsid w:val="00CF0293"/>
    <w:rsid w:val="00CF02BB"/>
    <w:rsid w:val="00CF03F9"/>
    <w:rsid w:val="00CF0607"/>
    <w:rsid w:val="00CF0872"/>
    <w:rsid w:val="00CF08F7"/>
    <w:rsid w:val="00CF09EC"/>
    <w:rsid w:val="00CF0A1C"/>
    <w:rsid w:val="00CF16E0"/>
    <w:rsid w:val="00CF1C03"/>
    <w:rsid w:val="00CF1F08"/>
    <w:rsid w:val="00CF1FC5"/>
    <w:rsid w:val="00CF2216"/>
    <w:rsid w:val="00CF2306"/>
    <w:rsid w:val="00CF231E"/>
    <w:rsid w:val="00CF236A"/>
    <w:rsid w:val="00CF24A9"/>
    <w:rsid w:val="00CF2563"/>
    <w:rsid w:val="00CF2569"/>
    <w:rsid w:val="00CF2607"/>
    <w:rsid w:val="00CF29BB"/>
    <w:rsid w:val="00CF29C8"/>
    <w:rsid w:val="00CF2CA8"/>
    <w:rsid w:val="00CF2D5E"/>
    <w:rsid w:val="00CF2EAA"/>
    <w:rsid w:val="00CF2FE7"/>
    <w:rsid w:val="00CF34FB"/>
    <w:rsid w:val="00CF3594"/>
    <w:rsid w:val="00CF35A4"/>
    <w:rsid w:val="00CF3754"/>
    <w:rsid w:val="00CF3BB7"/>
    <w:rsid w:val="00CF3C45"/>
    <w:rsid w:val="00CF3CA3"/>
    <w:rsid w:val="00CF3CFC"/>
    <w:rsid w:val="00CF3E4B"/>
    <w:rsid w:val="00CF4228"/>
    <w:rsid w:val="00CF434B"/>
    <w:rsid w:val="00CF439F"/>
    <w:rsid w:val="00CF43FA"/>
    <w:rsid w:val="00CF445A"/>
    <w:rsid w:val="00CF445E"/>
    <w:rsid w:val="00CF476A"/>
    <w:rsid w:val="00CF487F"/>
    <w:rsid w:val="00CF4AB3"/>
    <w:rsid w:val="00CF4C58"/>
    <w:rsid w:val="00CF5155"/>
    <w:rsid w:val="00CF51C9"/>
    <w:rsid w:val="00CF51EC"/>
    <w:rsid w:val="00CF52FD"/>
    <w:rsid w:val="00CF5348"/>
    <w:rsid w:val="00CF550A"/>
    <w:rsid w:val="00CF5691"/>
    <w:rsid w:val="00CF5AB9"/>
    <w:rsid w:val="00CF5DFB"/>
    <w:rsid w:val="00CF5E79"/>
    <w:rsid w:val="00CF5FBB"/>
    <w:rsid w:val="00CF6610"/>
    <w:rsid w:val="00CF693D"/>
    <w:rsid w:val="00CF6AE1"/>
    <w:rsid w:val="00CF6BF3"/>
    <w:rsid w:val="00CF6F84"/>
    <w:rsid w:val="00CF6FD6"/>
    <w:rsid w:val="00CF74FF"/>
    <w:rsid w:val="00CF752C"/>
    <w:rsid w:val="00CF7662"/>
    <w:rsid w:val="00CF76C4"/>
    <w:rsid w:val="00CF773A"/>
    <w:rsid w:val="00CF79D7"/>
    <w:rsid w:val="00D004BD"/>
    <w:rsid w:val="00D00715"/>
    <w:rsid w:val="00D00777"/>
    <w:rsid w:val="00D01288"/>
    <w:rsid w:val="00D0138E"/>
    <w:rsid w:val="00D01570"/>
    <w:rsid w:val="00D02115"/>
    <w:rsid w:val="00D02153"/>
    <w:rsid w:val="00D0241C"/>
    <w:rsid w:val="00D0246D"/>
    <w:rsid w:val="00D02494"/>
    <w:rsid w:val="00D027C2"/>
    <w:rsid w:val="00D02887"/>
    <w:rsid w:val="00D02D9A"/>
    <w:rsid w:val="00D02E5A"/>
    <w:rsid w:val="00D031C7"/>
    <w:rsid w:val="00D03565"/>
    <w:rsid w:val="00D0388C"/>
    <w:rsid w:val="00D040B4"/>
    <w:rsid w:val="00D041C3"/>
    <w:rsid w:val="00D042F4"/>
    <w:rsid w:val="00D04545"/>
    <w:rsid w:val="00D04676"/>
    <w:rsid w:val="00D04727"/>
    <w:rsid w:val="00D04786"/>
    <w:rsid w:val="00D04A6F"/>
    <w:rsid w:val="00D04BD7"/>
    <w:rsid w:val="00D051A5"/>
    <w:rsid w:val="00D0552C"/>
    <w:rsid w:val="00D05604"/>
    <w:rsid w:val="00D057BF"/>
    <w:rsid w:val="00D058A6"/>
    <w:rsid w:val="00D058E4"/>
    <w:rsid w:val="00D05B69"/>
    <w:rsid w:val="00D05D5B"/>
    <w:rsid w:val="00D0609D"/>
    <w:rsid w:val="00D060FB"/>
    <w:rsid w:val="00D064E3"/>
    <w:rsid w:val="00D064F2"/>
    <w:rsid w:val="00D06668"/>
    <w:rsid w:val="00D066B8"/>
    <w:rsid w:val="00D06906"/>
    <w:rsid w:val="00D06A1E"/>
    <w:rsid w:val="00D06B4F"/>
    <w:rsid w:val="00D06EBB"/>
    <w:rsid w:val="00D0723B"/>
    <w:rsid w:val="00D074F2"/>
    <w:rsid w:val="00D0753F"/>
    <w:rsid w:val="00D07855"/>
    <w:rsid w:val="00D07CAF"/>
    <w:rsid w:val="00D07D34"/>
    <w:rsid w:val="00D100E6"/>
    <w:rsid w:val="00D103BF"/>
    <w:rsid w:val="00D105B8"/>
    <w:rsid w:val="00D1071A"/>
    <w:rsid w:val="00D10869"/>
    <w:rsid w:val="00D10A98"/>
    <w:rsid w:val="00D10AE1"/>
    <w:rsid w:val="00D10CF5"/>
    <w:rsid w:val="00D10D8C"/>
    <w:rsid w:val="00D11386"/>
    <w:rsid w:val="00D11397"/>
    <w:rsid w:val="00D1161B"/>
    <w:rsid w:val="00D11B35"/>
    <w:rsid w:val="00D11C96"/>
    <w:rsid w:val="00D11F65"/>
    <w:rsid w:val="00D12184"/>
    <w:rsid w:val="00D121C3"/>
    <w:rsid w:val="00D12365"/>
    <w:rsid w:val="00D125BA"/>
    <w:rsid w:val="00D125F4"/>
    <w:rsid w:val="00D12737"/>
    <w:rsid w:val="00D12794"/>
    <w:rsid w:val="00D127A6"/>
    <w:rsid w:val="00D12805"/>
    <w:rsid w:val="00D12887"/>
    <w:rsid w:val="00D1293F"/>
    <w:rsid w:val="00D12AE6"/>
    <w:rsid w:val="00D12C5C"/>
    <w:rsid w:val="00D12DF0"/>
    <w:rsid w:val="00D1309E"/>
    <w:rsid w:val="00D1315D"/>
    <w:rsid w:val="00D13275"/>
    <w:rsid w:val="00D13446"/>
    <w:rsid w:val="00D13451"/>
    <w:rsid w:val="00D139D0"/>
    <w:rsid w:val="00D13A7A"/>
    <w:rsid w:val="00D13CF3"/>
    <w:rsid w:val="00D13F2D"/>
    <w:rsid w:val="00D13FAD"/>
    <w:rsid w:val="00D1473C"/>
    <w:rsid w:val="00D14B86"/>
    <w:rsid w:val="00D14C22"/>
    <w:rsid w:val="00D15361"/>
    <w:rsid w:val="00D15365"/>
    <w:rsid w:val="00D15539"/>
    <w:rsid w:val="00D15D61"/>
    <w:rsid w:val="00D15DBC"/>
    <w:rsid w:val="00D161DB"/>
    <w:rsid w:val="00D162C6"/>
    <w:rsid w:val="00D163C5"/>
    <w:rsid w:val="00D168E2"/>
    <w:rsid w:val="00D16938"/>
    <w:rsid w:val="00D16B76"/>
    <w:rsid w:val="00D16C74"/>
    <w:rsid w:val="00D16F95"/>
    <w:rsid w:val="00D17219"/>
    <w:rsid w:val="00D172D6"/>
    <w:rsid w:val="00D175E7"/>
    <w:rsid w:val="00D1795B"/>
    <w:rsid w:val="00D17977"/>
    <w:rsid w:val="00D17B16"/>
    <w:rsid w:val="00D2007D"/>
    <w:rsid w:val="00D202AD"/>
    <w:rsid w:val="00D206EF"/>
    <w:rsid w:val="00D20D51"/>
    <w:rsid w:val="00D20E33"/>
    <w:rsid w:val="00D21341"/>
    <w:rsid w:val="00D21ACC"/>
    <w:rsid w:val="00D21DB4"/>
    <w:rsid w:val="00D21E92"/>
    <w:rsid w:val="00D22053"/>
    <w:rsid w:val="00D220E0"/>
    <w:rsid w:val="00D22152"/>
    <w:rsid w:val="00D223F4"/>
    <w:rsid w:val="00D22484"/>
    <w:rsid w:val="00D22768"/>
    <w:rsid w:val="00D2315F"/>
    <w:rsid w:val="00D2340B"/>
    <w:rsid w:val="00D23578"/>
    <w:rsid w:val="00D23BFC"/>
    <w:rsid w:val="00D242C1"/>
    <w:rsid w:val="00D24385"/>
    <w:rsid w:val="00D243EA"/>
    <w:rsid w:val="00D24440"/>
    <w:rsid w:val="00D2496F"/>
    <w:rsid w:val="00D24A11"/>
    <w:rsid w:val="00D24A8F"/>
    <w:rsid w:val="00D24BA9"/>
    <w:rsid w:val="00D24CBA"/>
    <w:rsid w:val="00D25010"/>
    <w:rsid w:val="00D250A1"/>
    <w:rsid w:val="00D25217"/>
    <w:rsid w:val="00D252A4"/>
    <w:rsid w:val="00D252B0"/>
    <w:rsid w:val="00D2531F"/>
    <w:rsid w:val="00D2547B"/>
    <w:rsid w:val="00D255AC"/>
    <w:rsid w:val="00D255AE"/>
    <w:rsid w:val="00D25678"/>
    <w:rsid w:val="00D25C0D"/>
    <w:rsid w:val="00D25C13"/>
    <w:rsid w:val="00D26027"/>
    <w:rsid w:val="00D261B5"/>
    <w:rsid w:val="00D2622A"/>
    <w:rsid w:val="00D264FC"/>
    <w:rsid w:val="00D26500"/>
    <w:rsid w:val="00D266B0"/>
    <w:rsid w:val="00D267DA"/>
    <w:rsid w:val="00D26A48"/>
    <w:rsid w:val="00D26A7F"/>
    <w:rsid w:val="00D26AB2"/>
    <w:rsid w:val="00D26AE2"/>
    <w:rsid w:val="00D26B9E"/>
    <w:rsid w:val="00D26E37"/>
    <w:rsid w:val="00D26F0D"/>
    <w:rsid w:val="00D2704D"/>
    <w:rsid w:val="00D274C5"/>
    <w:rsid w:val="00D27A65"/>
    <w:rsid w:val="00D27B59"/>
    <w:rsid w:val="00D27E8C"/>
    <w:rsid w:val="00D27ECD"/>
    <w:rsid w:val="00D301A4"/>
    <w:rsid w:val="00D302B2"/>
    <w:rsid w:val="00D30543"/>
    <w:rsid w:val="00D305AA"/>
    <w:rsid w:val="00D30794"/>
    <w:rsid w:val="00D30A3A"/>
    <w:rsid w:val="00D30A60"/>
    <w:rsid w:val="00D30D65"/>
    <w:rsid w:val="00D30E20"/>
    <w:rsid w:val="00D30F47"/>
    <w:rsid w:val="00D31480"/>
    <w:rsid w:val="00D315E8"/>
    <w:rsid w:val="00D316A4"/>
    <w:rsid w:val="00D318C0"/>
    <w:rsid w:val="00D31E14"/>
    <w:rsid w:val="00D321EE"/>
    <w:rsid w:val="00D323C7"/>
    <w:rsid w:val="00D3288E"/>
    <w:rsid w:val="00D32890"/>
    <w:rsid w:val="00D32AE6"/>
    <w:rsid w:val="00D32CC5"/>
    <w:rsid w:val="00D32CDB"/>
    <w:rsid w:val="00D32D54"/>
    <w:rsid w:val="00D32EB2"/>
    <w:rsid w:val="00D331D2"/>
    <w:rsid w:val="00D333C5"/>
    <w:rsid w:val="00D334A7"/>
    <w:rsid w:val="00D334DE"/>
    <w:rsid w:val="00D336A3"/>
    <w:rsid w:val="00D3393B"/>
    <w:rsid w:val="00D339A6"/>
    <w:rsid w:val="00D339C8"/>
    <w:rsid w:val="00D33BD2"/>
    <w:rsid w:val="00D34261"/>
    <w:rsid w:val="00D34298"/>
    <w:rsid w:val="00D342E9"/>
    <w:rsid w:val="00D34412"/>
    <w:rsid w:val="00D3468F"/>
    <w:rsid w:val="00D34920"/>
    <w:rsid w:val="00D349C0"/>
    <w:rsid w:val="00D34CEA"/>
    <w:rsid w:val="00D35243"/>
    <w:rsid w:val="00D35534"/>
    <w:rsid w:val="00D357F1"/>
    <w:rsid w:val="00D357F3"/>
    <w:rsid w:val="00D3633A"/>
    <w:rsid w:val="00D36397"/>
    <w:rsid w:val="00D3644A"/>
    <w:rsid w:val="00D36792"/>
    <w:rsid w:val="00D367FE"/>
    <w:rsid w:val="00D368A1"/>
    <w:rsid w:val="00D36E16"/>
    <w:rsid w:val="00D36FEA"/>
    <w:rsid w:val="00D37017"/>
    <w:rsid w:val="00D371CD"/>
    <w:rsid w:val="00D37312"/>
    <w:rsid w:val="00D37468"/>
    <w:rsid w:val="00D3799A"/>
    <w:rsid w:val="00D37E54"/>
    <w:rsid w:val="00D40061"/>
    <w:rsid w:val="00D4009B"/>
    <w:rsid w:val="00D40168"/>
    <w:rsid w:val="00D401EA"/>
    <w:rsid w:val="00D402B6"/>
    <w:rsid w:val="00D40418"/>
    <w:rsid w:val="00D4043D"/>
    <w:rsid w:val="00D40547"/>
    <w:rsid w:val="00D4090B"/>
    <w:rsid w:val="00D40D70"/>
    <w:rsid w:val="00D4122E"/>
    <w:rsid w:val="00D41487"/>
    <w:rsid w:val="00D41999"/>
    <w:rsid w:val="00D41A80"/>
    <w:rsid w:val="00D41AB9"/>
    <w:rsid w:val="00D41C3B"/>
    <w:rsid w:val="00D41E2C"/>
    <w:rsid w:val="00D41FBE"/>
    <w:rsid w:val="00D41FC3"/>
    <w:rsid w:val="00D42251"/>
    <w:rsid w:val="00D42DA2"/>
    <w:rsid w:val="00D42EF4"/>
    <w:rsid w:val="00D4332D"/>
    <w:rsid w:val="00D43357"/>
    <w:rsid w:val="00D4335B"/>
    <w:rsid w:val="00D43479"/>
    <w:rsid w:val="00D4385C"/>
    <w:rsid w:val="00D43AC6"/>
    <w:rsid w:val="00D43B05"/>
    <w:rsid w:val="00D43D0F"/>
    <w:rsid w:val="00D440D6"/>
    <w:rsid w:val="00D44167"/>
    <w:rsid w:val="00D441A6"/>
    <w:rsid w:val="00D4420B"/>
    <w:rsid w:val="00D44694"/>
    <w:rsid w:val="00D447B5"/>
    <w:rsid w:val="00D44819"/>
    <w:rsid w:val="00D448C8"/>
    <w:rsid w:val="00D44959"/>
    <w:rsid w:val="00D44B3A"/>
    <w:rsid w:val="00D44C63"/>
    <w:rsid w:val="00D45077"/>
    <w:rsid w:val="00D455F1"/>
    <w:rsid w:val="00D4572A"/>
    <w:rsid w:val="00D45959"/>
    <w:rsid w:val="00D459CA"/>
    <w:rsid w:val="00D46570"/>
    <w:rsid w:val="00D4664B"/>
    <w:rsid w:val="00D4679A"/>
    <w:rsid w:val="00D468DA"/>
    <w:rsid w:val="00D46914"/>
    <w:rsid w:val="00D46928"/>
    <w:rsid w:val="00D46BCF"/>
    <w:rsid w:val="00D46FA5"/>
    <w:rsid w:val="00D47116"/>
    <w:rsid w:val="00D4712A"/>
    <w:rsid w:val="00D4720C"/>
    <w:rsid w:val="00D47300"/>
    <w:rsid w:val="00D4767E"/>
    <w:rsid w:val="00D476D1"/>
    <w:rsid w:val="00D476E6"/>
    <w:rsid w:val="00D47970"/>
    <w:rsid w:val="00D479D5"/>
    <w:rsid w:val="00D47B33"/>
    <w:rsid w:val="00D47C77"/>
    <w:rsid w:val="00D47C99"/>
    <w:rsid w:val="00D47ED4"/>
    <w:rsid w:val="00D47EF3"/>
    <w:rsid w:val="00D47F18"/>
    <w:rsid w:val="00D5001A"/>
    <w:rsid w:val="00D50591"/>
    <w:rsid w:val="00D505C7"/>
    <w:rsid w:val="00D50648"/>
    <w:rsid w:val="00D50FB3"/>
    <w:rsid w:val="00D5175B"/>
    <w:rsid w:val="00D51C6C"/>
    <w:rsid w:val="00D51C75"/>
    <w:rsid w:val="00D52325"/>
    <w:rsid w:val="00D52589"/>
    <w:rsid w:val="00D52711"/>
    <w:rsid w:val="00D52869"/>
    <w:rsid w:val="00D5288B"/>
    <w:rsid w:val="00D52AF8"/>
    <w:rsid w:val="00D52E68"/>
    <w:rsid w:val="00D53578"/>
    <w:rsid w:val="00D537B0"/>
    <w:rsid w:val="00D537FE"/>
    <w:rsid w:val="00D538B9"/>
    <w:rsid w:val="00D53A0C"/>
    <w:rsid w:val="00D53BA4"/>
    <w:rsid w:val="00D53CCE"/>
    <w:rsid w:val="00D53D6F"/>
    <w:rsid w:val="00D53E37"/>
    <w:rsid w:val="00D53E7B"/>
    <w:rsid w:val="00D53FB3"/>
    <w:rsid w:val="00D544B4"/>
    <w:rsid w:val="00D54564"/>
    <w:rsid w:val="00D545FA"/>
    <w:rsid w:val="00D54609"/>
    <w:rsid w:val="00D546D5"/>
    <w:rsid w:val="00D54706"/>
    <w:rsid w:val="00D5491B"/>
    <w:rsid w:val="00D54C32"/>
    <w:rsid w:val="00D54F12"/>
    <w:rsid w:val="00D5510E"/>
    <w:rsid w:val="00D55158"/>
    <w:rsid w:val="00D55186"/>
    <w:rsid w:val="00D55426"/>
    <w:rsid w:val="00D5566A"/>
    <w:rsid w:val="00D5566E"/>
    <w:rsid w:val="00D5572B"/>
    <w:rsid w:val="00D55A08"/>
    <w:rsid w:val="00D55C4A"/>
    <w:rsid w:val="00D55EF0"/>
    <w:rsid w:val="00D55F08"/>
    <w:rsid w:val="00D56055"/>
    <w:rsid w:val="00D562E3"/>
    <w:rsid w:val="00D563A6"/>
    <w:rsid w:val="00D5649A"/>
    <w:rsid w:val="00D566C7"/>
    <w:rsid w:val="00D567B1"/>
    <w:rsid w:val="00D567D7"/>
    <w:rsid w:val="00D56A3F"/>
    <w:rsid w:val="00D56C1B"/>
    <w:rsid w:val="00D571DF"/>
    <w:rsid w:val="00D572C4"/>
    <w:rsid w:val="00D57433"/>
    <w:rsid w:val="00D576CC"/>
    <w:rsid w:val="00D57ACE"/>
    <w:rsid w:val="00D57DAC"/>
    <w:rsid w:val="00D57F84"/>
    <w:rsid w:val="00D6039C"/>
    <w:rsid w:val="00D60601"/>
    <w:rsid w:val="00D6088A"/>
    <w:rsid w:val="00D60A04"/>
    <w:rsid w:val="00D60A9A"/>
    <w:rsid w:val="00D60DB0"/>
    <w:rsid w:val="00D60F6A"/>
    <w:rsid w:val="00D61040"/>
    <w:rsid w:val="00D610AD"/>
    <w:rsid w:val="00D616A8"/>
    <w:rsid w:val="00D617E3"/>
    <w:rsid w:val="00D6181D"/>
    <w:rsid w:val="00D61976"/>
    <w:rsid w:val="00D61AA9"/>
    <w:rsid w:val="00D61D15"/>
    <w:rsid w:val="00D61EAB"/>
    <w:rsid w:val="00D62015"/>
    <w:rsid w:val="00D620CB"/>
    <w:rsid w:val="00D62612"/>
    <w:rsid w:val="00D6275E"/>
    <w:rsid w:val="00D629CB"/>
    <w:rsid w:val="00D62CA6"/>
    <w:rsid w:val="00D62DDF"/>
    <w:rsid w:val="00D635ED"/>
    <w:rsid w:val="00D63798"/>
    <w:rsid w:val="00D63944"/>
    <w:rsid w:val="00D63994"/>
    <w:rsid w:val="00D63AFD"/>
    <w:rsid w:val="00D63B8B"/>
    <w:rsid w:val="00D63CC2"/>
    <w:rsid w:val="00D63D7A"/>
    <w:rsid w:val="00D63DE3"/>
    <w:rsid w:val="00D63ED8"/>
    <w:rsid w:val="00D63FB7"/>
    <w:rsid w:val="00D63FE0"/>
    <w:rsid w:val="00D6407E"/>
    <w:rsid w:val="00D64532"/>
    <w:rsid w:val="00D645A4"/>
    <w:rsid w:val="00D649FD"/>
    <w:rsid w:val="00D64B24"/>
    <w:rsid w:val="00D64B62"/>
    <w:rsid w:val="00D64BCA"/>
    <w:rsid w:val="00D64C9C"/>
    <w:rsid w:val="00D651B5"/>
    <w:rsid w:val="00D651FB"/>
    <w:rsid w:val="00D653DE"/>
    <w:rsid w:val="00D655AB"/>
    <w:rsid w:val="00D65672"/>
    <w:rsid w:val="00D6590A"/>
    <w:rsid w:val="00D65B59"/>
    <w:rsid w:val="00D65BAF"/>
    <w:rsid w:val="00D66775"/>
    <w:rsid w:val="00D668D3"/>
    <w:rsid w:val="00D66915"/>
    <w:rsid w:val="00D66927"/>
    <w:rsid w:val="00D66C92"/>
    <w:rsid w:val="00D670BA"/>
    <w:rsid w:val="00D671B8"/>
    <w:rsid w:val="00D67544"/>
    <w:rsid w:val="00D67638"/>
    <w:rsid w:val="00D676B8"/>
    <w:rsid w:val="00D67EE6"/>
    <w:rsid w:val="00D70169"/>
    <w:rsid w:val="00D701BF"/>
    <w:rsid w:val="00D702E9"/>
    <w:rsid w:val="00D705CB"/>
    <w:rsid w:val="00D7064B"/>
    <w:rsid w:val="00D70838"/>
    <w:rsid w:val="00D708BD"/>
    <w:rsid w:val="00D7096B"/>
    <w:rsid w:val="00D709B2"/>
    <w:rsid w:val="00D70E10"/>
    <w:rsid w:val="00D7101E"/>
    <w:rsid w:val="00D7135E"/>
    <w:rsid w:val="00D71389"/>
    <w:rsid w:val="00D716A9"/>
    <w:rsid w:val="00D71C2A"/>
    <w:rsid w:val="00D71C63"/>
    <w:rsid w:val="00D71E8F"/>
    <w:rsid w:val="00D72198"/>
    <w:rsid w:val="00D721E0"/>
    <w:rsid w:val="00D722DC"/>
    <w:rsid w:val="00D722ED"/>
    <w:rsid w:val="00D724D7"/>
    <w:rsid w:val="00D7264C"/>
    <w:rsid w:val="00D728E8"/>
    <w:rsid w:val="00D72966"/>
    <w:rsid w:val="00D7297B"/>
    <w:rsid w:val="00D729E3"/>
    <w:rsid w:val="00D72B2C"/>
    <w:rsid w:val="00D72EBB"/>
    <w:rsid w:val="00D72F87"/>
    <w:rsid w:val="00D731AE"/>
    <w:rsid w:val="00D73295"/>
    <w:rsid w:val="00D736B5"/>
    <w:rsid w:val="00D7386D"/>
    <w:rsid w:val="00D73D91"/>
    <w:rsid w:val="00D73E92"/>
    <w:rsid w:val="00D7422E"/>
    <w:rsid w:val="00D74258"/>
    <w:rsid w:val="00D74363"/>
    <w:rsid w:val="00D7443F"/>
    <w:rsid w:val="00D74651"/>
    <w:rsid w:val="00D74717"/>
    <w:rsid w:val="00D74889"/>
    <w:rsid w:val="00D749B3"/>
    <w:rsid w:val="00D74BD6"/>
    <w:rsid w:val="00D74C89"/>
    <w:rsid w:val="00D74E90"/>
    <w:rsid w:val="00D74FB9"/>
    <w:rsid w:val="00D75105"/>
    <w:rsid w:val="00D7559A"/>
    <w:rsid w:val="00D758BC"/>
    <w:rsid w:val="00D75D0E"/>
    <w:rsid w:val="00D75D65"/>
    <w:rsid w:val="00D7601E"/>
    <w:rsid w:val="00D760C8"/>
    <w:rsid w:val="00D7610B"/>
    <w:rsid w:val="00D76137"/>
    <w:rsid w:val="00D7614F"/>
    <w:rsid w:val="00D76335"/>
    <w:rsid w:val="00D766DA"/>
    <w:rsid w:val="00D767B3"/>
    <w:rsid w:val="00D767D0"/>
    <w:rsid w:val="00D769B9"/>
    <w:rsid w:val="00D769ED"/>
    <w:rsid w:val="00D76B6B"/>
    <w:rsid w:val="00D76FFE"/>
    <w:rsid w:val="00D771F9"/>
    <w:rsid w:val="00D773CC"/>
    <w:rsid w:val="00D776F0"/>
    <w:rsid w:val="00D778AE"/>
    <w:rsid w:val="00D779AF"/>
    <w:rsid w:val="00D77C90"/>
    <w:rsid w:val="00D802BE"/>
    <w:rsid w:val="00D803FD"/>
    <w:rsid w:val="00D8048C"/>
    <w:rsid w:val="00D804E3"/>
    <w:rsid w:val="00D80A64"/>
    <w:rsid w:val="00D80EE3"/>
    <w:rsid w:val="00D81025"/>
    <w:rsid w:val="00D8127F"/>
    <w:rsid w:val="00D81324"/>
    <w:rsid w:val="00D813FD"/>
    <w:rsid w:val="00D816FA"/>
    <w:rsid w:val="00D81715"/>
    <w:rsid w:val="00D819D7"/>
    <w:rsid w:val="00D81ED9"/>
    <w:rsid w:val="00D82318"/>
    <w:rsid w:val="00D82363"/>
    <w:rsid w:val="00D8288A"/>
    <w:rsid w:val="00D82AD0"/>
    <w:rsid w:val="00D82CCE"/>
    <w:rsid w:val="00D82FCC"/>
    <w:rsid w:val="00D82FFC"/>
    <w:rsid w:val="00D8354A"/>
    <w:rsid w:val="00D8379A"/>
    <w:rsid w:val="00D839ED"/>
    <w:rsid w:val="00D83B86"/>
    <w:rsid w:val="00D84138"/>
    <w:rsid w:val="00D84234"/>
    <w:rsid w:val="00D842C2"/>
    <w:rsid w:val="00D84357"/>
    <w:rsid w:val="00D843D8"/>
    <w:rsid w:val="00D84452"/>
    <w:rsid w:val="00D846AF"/>
    <w:rsid w:val="00D84A50"/>
    <w:rsid w:val="00D84BCC"/>
    <w:rsid w:val="00D84C10"/>
    <w:rsid w:val="00D84D76"/>
    <w:rsid w:val="00D852F8"/>
    <w:rsid w:val="00D853E7"/>
    <w:rsid w:val="00D85582"/>
    <w:rsid w:val="00D8569C"/>
    <w:rsid w:val="00D85A2C"/>
    <w:rsid w:val="00D85BBB"/>
    <w:rsid w:val="00D85D6E"/>
    <w:rsid w:val="00D8608A"/>
    <w:rsid w:val="00D861D0"/>
    <w:rsid w:val="00D861F4"/>
    <w:rsid w:val="00D86772"/>
    <w:rsid w:val="00D8682C"/>
    <w:rsid w:val="00D86A8F"/>
    <w:rsid w:val="00D86B28"/>
    <w:rsid w:val="00D86D6F"/>
    <w:rsid w:val="00D86E85"/>
    <w:rsid w:val="00D86F7A"/>
    <w:rsid w:val="00D86FF3"/>
    <w:rsid w:val="00D87173"/>
    <w:rsid w:val="00D871BE"/>
    <w:rsid w:val="00D87309"/>
    <w:rsid w:val="00D875C1"/>
    <w:rsid w:val="00D879A7"/>
    <w:rsid w:val="00D87C4D"/>
    <w:rsid w:val="00D87F38"/>
    <w:rsid w:val="00D87FD2"/>
    <w:rsid w:val="00D900F0"/>
    <w:rsid w:val="00D900F7"/>
    <w:rsid w:val="00D90AAA"/>
    <w:rsid w:val="00D90BDF"/>
    <w:rsid w:val="00D90C79"/>
    <w:rsid w:val="00D90C94"/>
    <w:rsid w:val="00D910F8"/>
    <w:rsid w:val="00D91314"/>
    <w:rsid w:val="00D91A43"/>
    <w:rsid w:val="00D91A4B"/>
    <w:rsid w:val="00D91BFD"/>
    <w:rsid w:val="00D91DE4"/>
    <w:rsid w:val="00D91EC1"/>
    <w:rsid w:val="00D91EDC"/>
    <w:rsid w:val="00D922A8"/>
    <w:rsid w:val="00D923BC"/>
    <w:rsid w:val="00D9262D"/>
    <w:rsid w:val="00D92709"/>
    <w:rsid w:val="00D927AD"/>
    <w:rsid w:val="00D928DA"/>
    <w:rsid w:val="00D92F72"/>
    <w:rsid w:val="00D93039"/>
    <w:rsid w:val="00D931CA"/>
    <w:rsid w:val="00D933E0"/>
    <w:rsid w:val="00D934C2"/>
    <w:rsid w:val="00D936C9"/>
    <w:rsid w:val="00D93A2C"/>
    <w:rsid w:val="00D93EB4"/>
    <w:rsid w:val="00D9403A"/>
    <w:rsid w:val="00D9425F"/>
    <w:rsid w:val="00D943C1"/>
    <w:rsid w:val="00D94706"/>
    <w:rsid w:val="00D947AD"/>
    <w:rsid w:val="00D94879"/>
    <w:rsid w:val="00D948A6"/>
    <w:rsid w:val="00D94CBB"/>
    <w:rsid w:val="00D95069"/>
    <w:rsid w:val="00D95375"/>
    <w:rsid w:val="00D9562B"/>
    <w:rsid w:val="00D959DF"/>
    <w:rsid w:val="00D959E0"/>
    <w:rsid w:val="00D95A5A"/>
    <w:rsid w:val="00D95ABE"/>
    <w:rsid w:val="00D95AFB"/>
    <w:rsid w:val="00D95C0B"/>
    <w:rsid w:val="00D95C35"/>
    <w:rsid w:val="00D95DFD"/>
    <w:rsid w:val="00D95F7F"/>
    <w:rsid w:val="00D962A5"/>
    <w:rsid w:val="00D96437"/>
    <w:rsid w:val="00D96455"/>
    <w:rsid w:val="00D964E4"/>
    <w:rsid w:val="00D96762"/>
    <w:rsid w:val="00D96DBB"/>
    <w:rsid w:val="00D96E12"/>
    <w:rsid w:val="00D96FCD"/>
    <w:rsid w:val="00D9739A"/>
    <w:rsid w:val="00D97493"/>
    <w:rsid w:val="00D9757B"/>
    <w:rsid w:val="00D97A43"/>
    <w:rsid w:val="00D97A66"/>
    <w:rsid w:val="00D97E27"/>
    <w:rsid w:val="00DA00F8"/>
    <w:rsid w:val="00DA01D8"/>
    <w:rsid w:val="00DA0405"/>
    <w:rsid w:val="00DA0559"/>
    <w:rsid w:val="00DA05B8"/>
    <w:rsid w:val="00DA071D"/>
    <w:rsid w:val="00DA08C1"/>
    <w:rsid w:val="00DA0ACC"/>
    <w:rsid w:val="00DA0B1B"/>
    <w:rsid w:val="00DA0C35"/>
    <w:rsid w:val="00DA0D20"/>
    <w:rsid w:val="00DA1061"/>
    <w:rsid w:val="00DA13D3"/>
    <w:rsid w:val="00DA13E4"/>
    <w:rsid w:val="00DA1623"/>
    <w:rsid w:val="00DA1C37"/>
    <w:rsid w:val="00DA1C59"/>
    <w:rsid w:val="00DA1F2E"/>
    <w:rsid w:val="00DA1FD0"/>
    <w:rsid w:val="00DA216D"/>
    <w:rsid w:val="00DA2416"/>
    <w:rsid w:val="00DA260C"/>
    <w:rsid w:val="00DA27A2"/>
    <w:rsid w:val="00DA286C"/>
    <w:rsid w:val="00DA293A"/>
    <w:rsid w:val="00DA2C96"/>
    <w:rsid w:val="00DA32E6"/>
    <w:rsid w:val="00DA33D7"/>
    <w:rsid w:val="00DA38B6"/>
    <w:rsid w:val="00DA3B52"/>
    <w:rsid w:val="00DA3BA8"/>
    <w:rsid w:val="00DA40A2"/>
    <w:rsid w:val="00DA4272"/>
    <w:rsid w:val="00DA435A"/>
    <w:rsid w:val="00DA47E1"/>
    <w:rsid w:val="00DA484E"/>
    <w:rsid w:val="00DA4965"/>
    <w:rsid w:val="00DA4B29"/>
    <w:rsid w:val="00DA4CC4"/>
    <w:rsid w:val="00DA4DDE"/>
    <w:rsid w:val="00DA522E"/>
    <w:rsid w:val="00DA5294"/>
    <w:rsid w:val="00DA538B"/>
    <w:rsid w:val="00DA5455"/>
    <w:rsid w:val="00DA5471"/>
    <w:rsid w:val="00DA5764"/>
    <w:rsid w:val="00DA583D"/>
    <w:rsid w:val="00DA5B89"/>
    <w:rsid w:val="00DA5C89"/>
    <w:rsid w:val="00DA5DF5"/>
    <w:rsid w:val="00DA5FD4"/>
    <w:rsid w:val="00DA60F5"/>
    <w:rsid w:val="00DA634C"/>
    <w:rsid w:val="00DA68F7"/>
    <w:rsid w:val="00DA6A99"/>
    <w:rsid w:val="00DA6A9B"/>
    <w:rsid w:val="00DA6AFF"/>
    <w:rsid w:val="00DA6FBD"/>
    <w:rsid w:val="00DA7004"/>
    <w:rsid w:val="00DA741B"/>
    <w:rsid w:val="00DA7679"/>
    <w:rsid w:val="00DA778D"/>
    <w:rsid w:val="00DA7999"/>
    <w:rsid w:val="00DA7B70"/>
    <w:rsid w:val="00DA7F2D"/>
    <w:rsid w:val="00DB0127"/>
    <w:rsid w:val="00DB0144"/>
    <w:rsid w:val="00DB0263"/>
    <w:rsid w:val="00DB05C2"/>
    <w:rsid w:val="00DB0666"/>
    <w:rsid w:val="00DB06EB"/>
    <w:rsid w:val="00DB0A52"/>
    <w:rsid w:val="00DB0C0C"/>
    <w:rsid w:val="00DB0D0C"/>
    <w:rsid w:val="00DB0F38"/>
    <w:rsid w:val="00DB0F42"/>
    <w:rsid w:val="00DB0FA8"/>
    <w:rsid w:val="00DB11A7"/>
    <w:rsid w:val="00DB1328"/>
    <w:rsid w:val="00DB16F2"/>
    <w:rsid w:val="00DB182B"/>
    <w:rsid w:val="00DB1B66"/>
    <w:rsid w:val="00DB1BBA"/>
    <w:rsid w:val="00DB1BD2"/>
    <w:rsid w:val="00DB1D52"/>
    <w:rsid w:val="00DB1DDB"/>
    <w:rsid w:val="00DB201D"/>
    <w:rsid w:val="00DB265F"/>
    <w:rsid w:val="00DB2755"/>
    <w:rsid w:val="00DB2768"/>
    <w:rsid w:val="00DB291E"/>
    <w:rsid w:val="00DB2C96"/>
    <w:rsid w:val="00DB30FC"/>
    <w:rsid w:val="00DB3131"/>
    <w:rsid w:val="00DB3149"/>
    <w:rsid w:val="00DB32C0"/>
    <w:rsid w:val="00DB33A8"/>
    <w:rsid w:val="00DB3479"/>
    <w:rsid w:val="00DB35C0"/>
    <w:rsid w:val="00DB3794"/>
    <w:rsid w:val="00DB38AC"/>
    <w:rsid w:val="00DB38E6"/>
    <w:rsid w:val="00DB39B2"/>
    <w:rsid w:val="00DB3ADF"/>
    <w:rsid w:val="00DB3DEB"/>
    <w:rsid w:val="00DB3E8D"/>
    <w:rsid w:val="00DB3EBB"/>
    <w:rsid w:val="00DB46A5"/>
    <w:rsid w:val="00DB4793"/>
    <w:rsid w:val="00DB47F5"/>
    <w:rsid w:val="00DB4838"/>
    <w:rsid w:val="00DB4D15"/>
    <w:rsid w:val="00DB4F56"/>
    <w:rsid w:val="00DB4F71"/>
    <w:rsid w:val="00DB50FE"/>
    <w:rsid w:val="00DB5136"/>
    <w:rsid w:val="00DB5224"/>
    <w:rsid w:val="00DB52B8"/>
    <w:rsid w:val="00DB559B"/>
    <w:rsid w:val="00DB5BAB"/>
    <w:rsid w:val="00DB5E2D"/>
    <w:rsid w:val="00DB5EB6"/>
    <w:rsid w:val="00DB631E"/>
    <w:rsid w:val="00DB64D5"/>
    <w:rsid w:val="00DB654F"/>
    <w:rsid w:val="00DB6833"/>
    <w:rsid w:val="00DB6886"/>
    <w:rsid w:val="00DB6B6E"/>
    <w:rsid w:val="00DB6D7C"/>
    <w:rsid w:val="00DB6E13"/>
    <w:rsid w:val="00DB7363"/>
    <w:rsid w:val="00DB749A"/>
    <w:rsid w:val="00DB7853"/>
    <w:rsid w:val="00DB7862"/>
    <w:rsid w:val="00DB7B09"/>
    <w:rsid w:val="00DB7CB5"/>
    <w:rsid w:val="00DB7D47"/>
    <w:rsid w:val="00DC0349"/>
    <w:rsid w:val="00DC081A"/>
    <w:rsid w:val="00DC091E"/>
    <w:rsid w:val="00DC098C"/>
    <w:rsid w:val="00DC0A46"/>
    <w:rsid w:val="00DC0AA4"/>
    <w:rsid w:val="00DC0B5C"/>
    <w:rsid w:val="00DC0BA7"/>
    <w:rsid w:val="00DC0C97"/>
    <w:rsid w:val="00DC137E"/>
    <w:rsid w:val="00DC157E"/>
    <w:rsid w:val="00DC161C"/>
    <w:rsid w:val="00DC16C6"/>
    <w:rsid w:val="00DC174E"/>
    <w:rsid w:val="00DC18C7"/>
    <w:rsid w:val="00DC1976"/>
    <w:rsid w:val="00DC1C5C"/>
    <w:rsid w:val="00DC1C9A"/>
    <w:rsid w:val="00DC22B0"/>
    <w:rsid w:val="00DC231A"/>
    <w:rsid w:val="00DC2499"/>
    <w:rsid w:val="00DC27C5"/>
    <w:rsid w:val="00DC28D6"/>
    <w:rsid w:val="00DC2B7D"/>
    <w:rsid w:val="00DC2C6B"/>
    <w:rsid w:val="00DC2E84"/>
    <w:rsid w:val="00DC2F03"/>
    <w:rsid w:val="00DC3180"/>
    <w:rsid w:val="00DC3333"/>
    <w:rsid w:val="00DC367E"/>
    <w:rsid w:val="00DC39A3"/>
    <w:rsid w:val="00DC3C2D"/>
    <w:rsid w:val="00DC41FA"/>
    <w:rsid w:val="00DC44B6"/>
    <w:rsid w:val="00DC44C3"/>
    <w:rsid w:val="00DC4567"/>
    <w:rsid w:val="00DC4594"/>
    <w:rsid w:val="00DC471F"/>
    <w:rsid w:val="00DC4776"/>
    <w:rsid w:val="00DC4820"/>
    <w:rsid w:val="00DC4B64"/>
    <w:rsid w:val="00DC4C5E"/>
    <w:rsid w:val="00DC4D31"/>
    <w:rsid w:val="00DC4F36"/>
    <w:rsid w:val="00DC5367"/>
    <w:rsid w:val="00DC53ED"/>
    <w:rsid w:val="00DC5470"/>
    <w:rsid w:val="00DC552B"/>
    <w:rsid w:val="00DC57E8"/>
    <w:rsid w:val="00DC5944"/>
    <w:rsid w:val="00DC5B21"/>
    <w:rsid w:val="00DC5D58"/>
    <w:rsid w:val="00DC613C"/>
    <w:rsid w:val="00DC62D8"/>
    <w:rsid w:val="00DC6AFB"/>
    <w:rsid w:val="00DC6CE6"/>
    <w:rsid w:val="00DC6E70"/>
    <w:rsid w:val="00DC6F1A"/>
    <w:rsid w:val="00DC6F81"/>
    <w:rsid w:val="00DC6FCB"/>
    <w:rsid w:val="00DC706E"/>
    <w:rsid w:val="00DC70E4"/>
    <w:rsid w:val="00DC717D"/>
    <w:rsid w:val="00DC723C"/>
    <w:rsid w:val="00DC7398"/>
    <w:rsid w:val="00DC74C4"/>
    <w:rsid w:val="00DC7A82"/>
    <w:rsid w:val="00DD002E"/>
    <w:rsid w:val="00DD019D"/>
    <w:rsid w:val="00DD0494"/>
    <w:rsid w:val="00DD06CC"/>
    <w:rsid w:val="00DD0833"/>
    <w:rsid w:val="00DD0892"/>
    <w:rsid w:val="00DD0C54"/>
    <w:rsid w:val="00DD0E67"/>
    <w:rsid w:val="00DD0EE9"/>
    <w:rsid w:val="00DD10DD"/>
    <w:rsid w:val="00DD1334"/>
    <w:rsid w:val="00DD16C6"/>
    <w:rsid w:val="00DD1864"/>
    <w:rsid w:val="00DD1BBB"/>
    <w:rsid w:val="00DD1BE3"/>
    <w:rsid w:val="00DD1CE5"/>
    <w:rsid w:val="00DD1E9B"/>
    <w:rsid w:val="00DD2029"/>
    <w:rsid w:val="00DD20FD"/>
    <w:rsid w:val="00DD21A1"/>
    <w:rsid w:val="00DD2521"/>
    <w:rsid w:val="00DD2962"/>
    <w:rsid w:val="00DD2B47"/>
    <w:rsid w:val="00DD2DD0"/>
    <w:rsid w:val="00DD2DE1"/>
    <w:rsid w:val="00DD2FD8"/>
    <w:rsid w:val="00DD3116"/>
    <w:rsid w:val="00DD33BB"/>
    <w:rsid w:val="00DD3A5F"/>
    <w:rsid w:val="00DD3A7F"/>
    <w:rsid w:val="00DD3CBD"/>
    <w:rsid w:val="00DD3D98"/>
    <w:rsid w:val="00DD3F36"/>
    <w:rsid w:val="00DD41E2"/>
    <w:rsid w:val="00DD4529"/>
    <w:rsid w:val="00DD4549"/>
    <w:rsid w:val="00DD4760"/>
    <w:rsid w:val="00DD4AB8"/>
    <w:rsid w:val="00DD4ABD"/>
    <w:rsid w:val="00DD4C61"/>
    <w:rsid w:val="00DD4C72"/>
    <w:rsid w:val="00DD4CAA"/>
    <w:rsid w:val="00DD531E"/>
    <w:rsid w:val="00DD5491"/>
    <w:rsid w:val="00DD54B5"/>
    <w:rsid w:val="00DD54F9"/>
    <w:rsid w:val="00DD5656"/>
    <w:rsid w:val="00DD5795"/>
    <w:rsid w:val="00DD5AA2"/>
    <w:rsid w:val="00DD5AC3"/>
    <w:rsid w:val="00DD5B01"/>
    <w:rsid w:val="00DD5BB1"/>
    <w:rsid w:val="00DD5C85"/>
    <w:rsid w:val="00DD61A1"/>
    <w:rsid w:val="00DD626D"/>
    <w:rsid w:val="00DD68EC"/>
    <w:rsid w:val="00DD6915"/>
    <w:rsid w:val="00DD6955"/>
    <w:rsid w:val="00DD6AB2"/>
    <w:rsid w:val="00DD6B80"/>
    <w:rsid w:val="00DD6C8B"/>
    <w:rsid w:val="00DD6EB1"/>
    <w:rsid w:val="00DD7432"/>
    <w:rsid w:val="00DD7732"/>
    <w:rsid w:val="00DD7891"/>
    <w:rsid w:val="00DD7A19"/>
    <w:rsid w:val="00DD7DE0"/>
    <w:rsid w:val="00DD7EAF"/>
    <w:rsid w:val="00DE0028"/>
    <w:rsid w:val="00DE00CF"/>
    <w:rsid w:val="00DE0113"/>
    <w:rsid w:val="00DE0370"/>
    <w:rsid w:val="00DE03B5"/>
    <w:rsid w:val="00DE05D4"/>
    <w:rsid w:val="00DE0697"/>
    <w:rsid w:val="00DE072C"/>
    <w:rsid w:val="00DE0798"/>
    <w:rsid w:val="00DE0B18"/>
    <w:rsid w:val="00DE0BA5"/>
    <w:rsid w:val="00DE0BE9"/>
    <w:rsid w:val="00DE0D17"/>
    <w:rsid w:val="00DE0D46"/>
    <w:rsid w:val="00DE0DBD"/>
    <w:rsid w:val="00DE0EFF"/>
    <w:rsid w:val="00DE0FB1"/>
    <w:rsid w:val="00DE10F3"/>
    <w:rsid w:val="00DE1118"/>
    <w:rsid w:val="00DE1226"/>
    <w:rsid w:val="00DE13C2"/>
    <w:rsid w:val="00DE163F"/>
    <w:rsid w:val="00DE1745"/>
    <w:rsid w:val="00DE19C9"/>
    <w:rsid w:val="00DE1BAA"/>
    <w:rsid w:val="00DE1C4E"/>
    <w:rsid w:val="00DE1E32"/>
    <w:rsid w:val="00DE203F"/>
    <w:rsid w:val="00DE2320"/>
    <w:rsid w:val="00DE241B"/>
    <w:rsid w:val="00DE2958"/>
    <w:rsid w:val="00DE301F"/>
    <w:rsid w:val="00DE3060"/>
    <w:rsid w:val="00DE31BA"/>
    <w:rsid w:val="00DE39A6"/>
    <w:rsid w:val="00DE3DC3"/>
    <w:rsid w:val="00DE3F87"/>
    <w:rsid w:val="00DE400C"/>
    <w:rsid w:val="00DE41D8"/>
    <w:rsid w:val="00DE4246"/>
    <w:rsid w:val="00DE48A2"/>
    <w:rsid w:val="00DE4E8C"/>
    <w:rsid w:val="00DE4EE8"/>
    <w:rsid w:val="00DE5369"/>
    <w:rsid w:val="00DE5450"/>
    <w:rsid w:val="00DE5468"/>
    <w:rsid w:val="00DE54D8"/>
    <w:rsid w:val="00DE558B"/>
    <w:rsid w:val="00DE57C0"/>
    <w:rsid w:val="00DE5969"/>
    <w:rsid w:val="00DE59F7"/>
    <w:rsid w:val="00DE5A04"/>
    <w:rsid w:val="00DE5B10"/>
    <w:rsid w:val="00DE5BF9"/>
    <w:rsid w:val="00DE5C79"/>
    <w:rsid w:val="00DE5D89"/>
    <w:rsid w:val="00DE5E5F"/>
    <w:rsid w:val="00DE5FD0"/>
    <w:rsid w:val="00DE603C"/>
    <w:rsid w:val="00DE606B"/>
    <w:rsid w:val="00DE6089"/>
    <w:rsid w:val="00DE61B3"/>
    <w:rsid w:val="00DE61D0"/>
    <w:rsid w:val="00DE6456"/>
    <w:rsid w:val="00DE64C5"/>
    <w:rsid w:val="00DE65BF"/>
    <w:rsid w:val="00DE68D0"/>
    <w:rsid w:val="00DE7024"/>
    <w:rsid w:val="00DE7298"/>
    <w:rsid w:val="00DE743C"/>
    <w:rsid w:val="00DE7637"/>
    <w:rsid w:val="00DE7822"/>
    <w:rsid w:val="00DE7976"/>
    <w:rsid w:val="00DE7E59"/>
    <w:rsid w:val="00DE7EB2"/>
    <w:rsid w:val="00DE7F31"/>
    <w:rsid w:val="00DF013A"/>
    <w:rsid w:val="00DF01C9"/>
    <w:rsid w:val="00DF05AE"/>
    <w:rsid w:val="00DF0668"/>
    <w:rsid w:val="00DF0756"/>
    <w:rsid w:val="00DF089D"/>
    <w:rsid w:val="00DF0E60"/>
    <w:rsid w:val="00DF0F0A"/>
    <w:rsid w:val="00DF1406"/>
    <w:rsid w:val="00DF14C1"/>
    <w:rsid w:val="00DF1978"/>
    <w:rsid w:val="00DF199E"/>
    <w:rsid w:val="00DF23B6"/>
    <w:rsid w:val="00DF25C0"/>
    <w:rsid w:val="00DF269E"/>
    <w:rsid w:val="00DF2B09"/>
    <w:rsid w:val="00DF2C8D"/>
    <w:rsid w:val="00DF2E58"/>
    <w:rsid w:val="00DF3013"/>
    <w:rsid w:val="00DF306C"/>
    <w:rsid w:val="00DF3523"/>
    <w:rsid w:val="00DF3763"/>
    <w:rsid w:val="00DF379A"/>
    <w:rsid w:val="00DF3A14"/>
    <w:rsid w:val="00DF3ABE"/>
    <w:rsid w:val="00DF3B4D"/>
    <w:rsid w:val="00DF3C6A"/>
    <w:rsid w:val="00DF3D4D"/>
    <w:rsid w:val="00DF3F66"/>
    <w:rsid w:val="00DF4690"/>
    <w:rsid w:val="00DF46B7"/>
    <w:rsid w:val="00DF471E"/>
    <w:rsid w:val="00DF47ED"/>
    <w:rsid w:val="00DF4A9F"/>
    <w:rsid w:val="00DF5061"/>
    <w:rsid w:val="00DF50A6"/>
    <w:rsid w:val="00DF5893"/>
    <w:rsid w:val="00DF59D7"/>
    <w:rsid w:val="00DF5E88"/>
    <w:rsid w:val="00DF64E3"/>
    <w:rsid w:val="00DF6C33"/>
    <w:rsid w:val="00DF6C9F"/>
    <w:rsid w:val="00DF6D7E"/>
    <w:rsid w:val="00DF701A"/>
    <w:rsid w:val="00DF7124"/>
    <w:rsid w:val="00DF7134"/>
    <w:rsid w:val="00DF7154"/>
    <w:rsid w:val="00DF7305"/>
    <w:rsid w:val="00DF7339"/>
    <w:rsid w:val="00DF7437"/>
    <w:rsid w:val="00DF75BA"/>
    <w:rsid w:val="00DF763E"/>
    <w:rsid w:val="00DF7C22"/>
    <w:rsid w:val="00DF7DC6"/>
    <w:rsid w:val="00DF7DFF"/>
    <w:rsid w:val="00E00240"/>
    <w:rsid w:val="00E002B0"/>
    <w:rsid w:val="00E00516"/>
    <w:rsid w:val="00E00637"/>
    <w:rsid w:val="00E009AD"/>
    <w:rsid w:val="00E009B4"/>
    <w:rsid w:val="00E00A36"/>
    <w:rsid w:val="00E00C89"/>
    <w:rsid w:val="00E00FBF"/>
    <w:rsid w:val="00E01364"/>
    <w:rsid w:val="00E01AB6"/>
    <w:rsid w:val="00E01B87"/>
    <w:rsid w:val="00E01E25"/>
    <w:rsid w:val="00E0216F"/>
    <w:rsid w:val="00E0238F"/>
    <w:rsid w:val="00E02391"/>
    <w:rsid w:val="00E023D6"/>
    <w:rsid w:val="00E02493"/>
    <w:rsid w:val="00E026B0"/>
    <w:rsid w:val="00E0292A"/>
    <w:rsid w:val="00E02968"/>
    <w:rsid w:val="00E02D3F"/>
    <w:rsid w:val="00E02E71"/>
    <w:rsid w:val="00E02EC4"/>
    <w:rsid w:val="00E02F6A"/>
    <w:rsid w:val="00E02FDF"/>
    <w:rsid w:val="00E030C8"/>
    <w:rsid w:val="00E030F6"/>
    <w:rsid w:val="00E032AB"/>
    <w:rsid w:val="00E032AE"/>
    <w:rsid w:val="00E03649"/>
    <w:rsid w:val="00E03772"/>
    <w:rsid w:val="00E0377D"/>
    <w:rsid w:val="00E03882"/>
    <w:rsid w:val="00E038F0"/>
    <w:rsid w:val="00E03967"/>
    <w:rsid w:val="00E03C7B"/>
    <w:rsid w:val="00E03E61"/>
    <w:rsid w:val="00E03EB8"/>
    <w:rsid w:val="00E03FD1"/>
    <w:rsid w:val="00E040E2"/>
    <w:rsid w:val="00E04205"/>
    <w:rsid w:val="00E04448"/>
    <w:rsid w:val="00E04700"/>
    <w:rsid w:val="00E04D43"/>
    <w:rsid w:val="00E04EC2"/>
    <w:rsid w:val="00E04F9F"/>
    <w:rsid w:val="00E05021"/>
    <w:rsid w:val="00E05C32"/>
    <w:rsid w:val="00E05F27"/>
    <w:rsid w:val="00E063FD"/>
    <w:rsid w:val="00E0653F"/>
    <w:rsid w:val="00E065E3"/>
    <w:rsid w:val="00E06921"/>
    <w:rsid w:val="00E06AB1"/>
    <w:rsid w:val="00E06ABE"/>
    <w:rsid w:val="00E06B9D"/>
    <w:rsid w:val="00E06BF4"/>
    <w:rsid w:val="00E06C5A"/>
    <w:rsid w:val="00E06CA9"/>
    <w:rsid w:val="00E06CAB"/>
    <w:rsid w:val="00E06F28"/>
    <w:rsid w:val="00E07340"/>
    <w:rsid w:val="00E076E5"/>
    <w:rsid w:val="00E078C0"/>
    <w:rsid w:val="00E079A2"/>
    <w:rsid w:val="00E07A8E"/>
    <w:rsid w:val="00E07BEA"/>
    <w:rsid w:val="00E07C7A"/>
    <w:rsid w:val="00E07F65"/>
    <w:rsid w:val="00E100AC"/>
    <w:rsid w:val="00E101C6"/>
    <w:rsid w:val="00E106DA"/>
    <w:rsid w:val="00E10981"/>
    <w:rsid w:val="00E109D9"/>
    <w:rsid w:val="00E1108F"/>
    <w:rsid w:val="00E1145B"/>
    <w:rsid w:val="00E11508"/>
    <w:rsid w:val="00E11617"/>
    <w:rsid w:val="00E1166A"/>
    <w:rsid w:val="00E11797"/>
    <w:rsid w:val="00E117F9"/>
    <w:rsid w:val="00E118E8"/>
    <w:rsid w:val="00E11BFF"/>
    <w:rsid w:val="00E11E48"/>
    <w:rsid w:val="00E11E49"/>
    <w:rsid w:val="00E12063"/>
    <w:rsid w:val="00E12066"/>
    <w:rsid w:val="00E1212A"/>
    <w:rsid w:val="00E1255B"/>
    <w:rsid w:val="00E125D8"/>
    <w:rsid w:val="00E129CF"/>
    <w:rsid w:val="00E12A7A"/>
    <w:rsid w:val="00E12B79"/>
    <w:rsid w:val="00E12E84"/>
    <w:rsid w:val="00E13060"/>
    <w:rsid w:val="00E1346D"/>
    <w:rsid w:val="00E1368F"/>
    <w:rsid w:val="00E13765"/>
    <w:rsid w:val="00E137D0"/>
    <w:rsid w:val="00E137DB"/>
    <w:rsid w:val="00E1395F"/>
    <w:rsid w:val="00E13DFC"/>
    <w:rsid w:val="00E13EBB"/>
    <w:rsid w:val="00E140CA"/>
    <w:rsid w:val="00E14215"/>
    <w:rsid w:val="00E14464"/>
    <w:rsid w:val="00E1450A"/>
    <w:rsid w:val="00E146B0"/>
    <w:rsid w:val="00E146D9"/>
    <w:rsid w:val="00E14B6E"/>
    <w:rsid w:val="00E14EA9"/>
    <w:rsid w:val="00E14F9A"/>
    <w:rsid w:val="00E1500E"/>
    <w:rsid w:val="00E1527D"/>
    <w:rsid w:val="00E152BC"/>
    <w:rsid w:val="00E15461"/>
    <w:rsid w:val="00E154C7"/>
    <w:rsid w:val="00E1573C"/>
    <w:rsid w:val="00E15988"/>
    <w:rsid w:val="00E15BDE"/>
    <w:rsid w:val="00E15C9F"/>
    <w:rsid w:val="00E15EAD"/>
    <w:rsid w:val="00E1604E"/>
    <w:rsid w:val="00E162CD"/>
    <w:rsid w:val="00E163CC"/>
    <w:rsid w:val="00E16863"/>
    <w:rsid w:val="00E16FE0"/>
    <w:rsid w:val="00E17572"/>
    <w:rsid w:val="00E17589"/>
    <w:rsid w:val="00E176CF"/>
    <w:rsid w:val="00E1779A"/>
    <w:rsid w:val="00E179B3"/>
    <w:rsid w:val="00E179D6"/>
    <w:rsid w:val="00E17B29"/>
    <w:rsid w:val="00E17D26"/>
    <w:rsid w:val="00E17D7B"/>
    <w:rsid w:val="00E17EDC"/>
    <w:rsid w:val="00E202AA"/>
    <w:rsid w:val="00E2037D"/>
    <w:rsid w:val="00E20387"/>
    <w:rsid w:val="00E2069A"/>
    <w:rsid w:val="00E20A8E"/>
    <w:rsid w:val="00E20A90"/>
    <w:rsid w:val="00E20BDD"/>
    <w:rsid w:val="00E20D0B"/>
    <w:rsid w:val="00E2120E"/>
    <w:rsid w:val="00E218E4"/>
    <w:rsid w:val="00E21AB6"/>
    <w:rsid w:val="00E21CC6"/>
    <w:rsid w:val="00E21E3C"/>
    <w:rsid w:val="00E22218"/>
    <w:rsid w:val="00E222BD"/>
    <w:rsid w:val="00E222BE"/>
    <w:rsid w:val="00E223C5"/>
    <w:rsid w:val="00E223DD"/>
    <w:rsid w:val="00E2266A"/>
    <w:rsid w:val="00E22A86"/>
    <w:rsid w:val="00E22AAA"/>
    <w:rsid w:val="00E22BAE"/>
    <w:rsid w:val="00E22E06"/>
    <w:rsid w:val="00E22E12"/>
    <w:rsid w:val="00E231A6"/>
    <w:rsid w:val="00E231B1"/>
    <w:rsid w:val="00E23242"/>
    <w:rsid w:val="00E23291"/>
    <w:rsid w:val="00E2341E"/>
    <w:rsid w:val="00E235DF"/>
    <w:rsid w:val="00E23949"/>
    <w:rsid w:val="00E23A6A"/>
    <w:rsid w:val="00E23F4B"/>
    <w:rsid w:val="00E24049"/>
    <w:rsid w:val="00E24138"/>
    <w:rsid w:val="00E243B8"/>
    <w:rsid w:val="00E243FD"/>
    <w:rsid w:val="00E2454C"/>
    <w:rsid w:val="00E2487B"/>
    <w:rsid w:val="00E2491D"/>
    <w:rsid w:val="00E2494E"/>
    <w:rsid w:val="00E24F41"/>
    <w:rsid w:val="00E24F6F"/>
    <w:rsid w:val="00E25137"/>
    <w:rsid w:val="00E251F9"/>
    <w:rsid w:val="00E252EE"/>
    <w:rsid w:val="00E25854"/>
    <w:rsid w:val="00E2587A"/>
    <w:rsid w:val="00E25936"/>
    <w:rsid w:val="00E25B70"/>
    <w:rsid w:val="00E25D29"/>
    <w:rsid w:val="00E25F2D"/>
    <w:rsid w:val="00E26055"/>
    <w:rsid w:val="00E2617A"/>
    <w:rsid w:val="00E2672B"/>
    <w:rsid w:val="00E268AA"/>
    <w:rsid w:val="00E26A88"/>
    <w:rsid w:val="00E26C1A"/>
    <w:rsid w:val="00E26CFB"/>
    <w:rsid w:val="00E26D71"/>
    <w:rsid w:val="00E26E7D"/>
    <w:rsid w:val="00E26FB1"/>
    <w:rsid w:val="00E2702B"/>
    <w:rsid w:val="00E27A8A"/>
    <w:rsid w:val="00E27B01"/>
    <w:rsid w:val="00E27D17"/>
    <w:rsid w:val="00E27D9B"/>
    <w:rsid w:val="00E30028"/>
    <w:rsid w:val="00E3012F"/>
    <w:rsid w:val="00E30689"/>
    <w:rsid w:val="00E3077A"/>
    <w:rsid w:val="00E30A0D"/>
    <w:rsid w:val="00E30D75"/>
    <w:rsid w:val="00E30E4A"/>
    <w:rsid w:val="00E31444"/>
    <w:rsid w:val="00E3147D"/>
    <w:rsid w:val="00E317F7"/>
    <w:rsid w:val="00E31A41"/>
    <w:rsid w:val="00E31F24"/>
    <w:rsid w:val="00E31FBC"/>
    <w:rsid w:val="00E323F8"/>
    <w:rsid w:val="00E32414"/>
    <w:rsid w:val="00E3259E"/>
    <w:rsid w:val="00E326BF"/>
    <w:rsid w:val="00E326C5"/>
    <w:rsid w:val="00E32993"/>
    <w:rsid w:val="00E32AF5"/>
    <w:rsid w:val="00E32B16"/>
    <w:rsid w:val="00E32CB2"/>
    <w:rsid w:val="00E32E59"/>
    <w:rsid w:val="00E32E6B"/>
    <w:rsid w:val="00E32E80"/>
    <w:rsid w:val="00E330C0"/>
    <w:rsid w:val="00E332D0"/>
    <w:rsid w:val="00E333D9"/>
    <w:rsid w:val="00E33537"/>
    <w:rsid w:val="00E335C6"/>
    <w:rsid w:val="00E3387D"/>
    <w:rsid w:val="00E33D27"/>
    <w:rsid w:val="00E33EBE"/>
    <w:rsid w:val="00E341EC"/>
    <w:rsid w:val="00E3430B"/>
    <w:rsid w:val="00E3434B"/>
    <w:rsid w:val="00E34761"/>
    <w:rsid w:val="00E349DE"/>
    <w:rsid w:val="00E34B42"/>
    <w:rsid w:val="00E34F33"/>
    <w:rsid w:val="00E35102"/>
    <w:rsid w:val="00E3527D"/>
    <w:rsid w:val="00E3570C"/>
    <w:rsid w:val="00E35B43"/>
    <w:rsid w:val="00E36636"/>
    <w:rsid w:val="00E366A7"/>
    <w:rsid w:val="00E36A6A"/>
    <w:rsid w:val="00E36B37"/>
    <w:rsid w:val="00E36CDC"/>
    <w:rsid w:val="00E36DA9"/>
    <w:rsid w:val="00E370B3"/>
    <w:rsid w:val="00E372DF"/>
    <w:rsid w:val="00E373E6"/>
    <w:rsid w:val="00E37913"/>
    <w:rsid w:val="00E37B75"/>
    <w:rsid w:val="00E37C13"/>
    <w:rsid w:val="00E37DC4"/>
    <w:rsid w:val="00E37FEC"/>
    <w:rsid w:val="00E4002E"/>
    <w:rsid w:val="00E400D4"/>
    <w:rsid w:val="00E401CE"/>
    <w:rsid w:val="00E4029A"/>
    <w:rsid w:val="00E4042D"/>
    <w:rsid w:val="00E40548"/>
    <w:rsid w:val="00E40564"/>
    <w:rsid w:val="00E40A18"/>
    <w:rsid w:val="00E40DF1"/>
    <w:rsid w:val="00E40E8F"/>
    <w:rsid w:val="00E410E6"/>
    <w:rsid w:val="00E4146F"/>
    <w:rsid w:val="00E4155D"/>
    <w:rsid w:val="00E4155E"/>
    <w:rsid w:val="00E41970"/>
    <w:rsid w:val="00E41E5F"/>
    <w:rsid w:val="00E42055"/>
    <w:rsid w:val="00E42318"/>
    <w:rsid w:val="00E42382"/>
    <w:rsid w:val="00E42548"/>
    <w:rsid w:val="00E42576"/>
    <w:rsid w:val="00E42701"/>
    <w:rsid w:val="00E4285C"/>
    <w:rsid w:val="00E42B64"/>
    <w:rsid w:val="00E42BCD"/>
    <w:rsid w:val="00E42BF5"/>
    <w:rsid w:val="00E4308F"/>
    <w:rsid w:val="00E431E9"/>
    <w:rsid w:val="00E437B4"/>
    <w:rsid w:val="00E4390E"/>
    <w:rsid w:val="00E43BE1"/>
    <w:rsid w:val="00E441F2"/>
    <w:rsid w:val="00E4459B"/>
    <w:rsid w:val="00E4462A"/>
    <w:rsid w:val="00E44671"/>
    <w:rsid w:val="00E44B42"/>
    <w:rsid w:val="00E44D9C"/>
    <w:rsid w:val="00E450AC"/>
    <w:rsid w:val="00E4540D"/>
    <w:rsid w:val="00E4559C"/>
    <w:rsid w:val="00E458FD"/>
    <w:rsid w:val="00E45A39"/>
    <w:rsid w:val="00E45ACA"/>
    <w:rsid w:val="00E45B89"/>
    <w:rsid w:val="00E46408"/>
    <w:rsid w:val="00E4652A"/>
    <w:rsid w:val="00E465B7"/>
    <w:rsid w:val="00E466A4"/>
    <w:rsid w:val="00E466DA"/>
    <w:rsid w:val="00E46ABF"/>
    <w:rsid w:val="00E46B32"/>
    <w:rsid w:val="00E46B9A"/>
    <w:rsid w:val="00E46C63"/>
    <w:rsid w:val="00E46F65"/>
    <w:rsid w:val="00E471BB"/>
    <w:rsid w:val="00E4728C"/>
    <w:rsid w:val="00E47759"/>
    <w:rsid w:val="00E4780A"/>
    <w:rsid w:val="00E47902"/>
    <w:rsid w:val="00E47BEC"/>
    <w:rsid w:val="00E47D4A"/>
    <w:rsid w:val="00E47E29"/>
    <w:rsid w:val="00E47EFF"/>
    <w:rsid w:val="00E47F1A"/>
    <w:rsid w:val="00E50013"/>
    <w:rsid w:val="00E50A75"/>
    <w:rsid w:val="00E50C55"/>
    <w:rsid w:val="00E50C61"/>
    <w:rsid w:val="00E50F6F"/>
    <w:rsid w:val="00E51282"/>
    <w:rsid w:val="00E513B4"/>
    <w:rsid w:val="00E5163D"/>
    <w:rsid w:val="00E518B6"/>
    <w:rsid w:val="00E518F5"/>
    <w:rsid w:val="00E51917"/>
    <w:rsid w:val="00E51B17"/>
    <w:rsid w:val="00E51B23"/>
    <w:rsid w:val="00E51E2E"/>
    <w:rsid w:val="00E51E82"/>
    <w:rsid w:val="00E51FB6"/>
    <w:rsid w:val="00E52036"/>
    <w:rsid w:val="00E52129"/>
    <w:rsid w:val="00E52187"/>
    <w:rsid w:val="00E52194"/>
    <w:rsid w:val="00E52376"/>
    <w:rsid w:val="00E5242F"/>
    <w:rsid w:val="00E52470"/>
    <w:rsid w:val="00E5268C"/>
    <w:rsid w:val="00E5269C"/>
    <w:rsid w:val="00E52BF7"/>
    <w:rsid w:val="00E52E2B"/>
    <w:rsid w:val="00E53132"/>
    <w:rsid w:val="00E53208"/>
    <w:rsid w:val="00E5367B"/>
    <w:rsid w:val="00E53A12"/>
    <w:rsid w:val="00E53ACB"/>
    <w:rsid w:val="00E53CC6"/>
    <w:rsid w:val="00E53EE0"/>
    <w:rsid w:val="00E54226"/>
    <w:rsid w:val="00E5464A"/>
    <w:rsid w:val="00E54D1F"/>
    <w:rsid w:val="00E54EA5"/>
    <w:rsid w:val="00E55207"/>
    <w:rsid w:val="00E55221"/>
    <w:rsid w:val="00E55367"/>
    <w:rsid w:val="00E554E0"/>
    <w:rsid w:val="00E55506"/>
    <w:rsid w:val="00E5606F"/>
    <w:rsid w:val="00E561A2"/>
    <w:rsid w:val="00E561FA"/>
    <w:rsid w:val="00E562BF"/>
    <w:rsid w:val="00E5630A"/>
    <w:rsid w:val="00E563D6"/>
    <w:rsid w:val="00E56619"/>
    <w:rsid w:val="00E5669F"/>
    <w:rsid w:val="00E56D84"/>
    <w:rsid w:val="00E57188"/>
    <w:rsid w:val="00E575B6"/>
    <w:rsid w:val="00E57792"/>
    <w:rsid w:val="00E57847"/>
    <w:rsid w:val="00E57B08"/>
    <w:rsid w:val="00E57C58"/>
    <w:rsid w:val="00E57CBF"/>
    <w:rsid w:val="00E57FCD"/>
    <w:rsid w:val="00E60074"/>
    <w:rsid w:val="00E60148"/>
    <w:rsid w:val="00E60234"/>
    <w:rsid w:val="00E60761"/>
    <w:rsid w:val="00E60A0B"/>
    <w:rsid w:val="00E60CE8"/>
    <w:rsid w:val="00E61158"/>
    <w:rsid w:val="00E611C5"/>
    <w:rsid w:val="00E61264"/>
    <w:rsid w:val="00E612CA"/>
    <w:rsid w:val="00E612D3"/>
    <w:rsid w:val="00E613FB"/>
    <w:rsid w:val="00E614E6"/>
    <w:rsid w:val="00E614E9"/>
    <w:rsid w:val="00E616AE"/>
    <w:rsid w:val="00E61874"/>
    <w:rsid w:val="00E62100"/>
    <w:rsid w:val="00E62192"/>
    <w:rsid w:val="00E6261C"/>
    <w:rsid w:val="00E62769"/>
    <w:rsid w:val="00E62845"/>
    <w:rsid w:val="00E62E2F"/>
    <w:rsid w:val="00E6317D"/>
    <w:rsid w:val="00E631D3"/>
    <w:rsid w:val="00E631E2"/>
    <w:rsid w:val="00E63531"/>
    <w:rsid w:val="00E638A3"/>
    <w:rsid w:val="00E638A5"/>
    <w:rsid w:val="00E6392E"/>
    <w:rsid w:val="00E639D3"/>
    <w:rsid w:val="00E63CD7"/>
    <w:rsid w:val="00E63D04"/>
    <w:rsid w:val="00E63D45"/>
    <w:rsid w:val="00E641DE"/>
    <w:rsid w:val="00E6443C"/>
    <w:rsid w:val="00E64592"/>
    <w:rsid w:val="00E648FA"/>
    <w:rsid w:val="00E64E91"/>
    <w:rsid w:val="00E650B1"/>
    <w:rsid w:val="00E6511A"/>
    <w:rsid w:val="00E6552D"/>
    <w:rsid w:val="00E656F8"/>
    <w:rsid w:val="00E65A42"/>
    <w:rsid w:val="00E65D9B"/>
    <w:rsid w:val="00E65DE3"/>
    <w:rsid w:val="00E6617C"/>
    <w:rsid w:val="00E66182"/>
    <w:rsid w:val="00E661AD"/>
    <w:rsid w:val="00E66382"/>
    <w:rsid w:val="00E6640A"/>
    <w:rsid w:val="00E666DE"/>
    <w:rsid w:val="00E66936"/>
    <w:rsid w:val="00E66C93"/>
    <w:rsid w:val="00E66DB1"/>
    <w:rsid w:val="00E66DE7"/>
    <w:rsid w:val="00E66DFC"/>
    <w:rsid w:val="00E66F39"/>
    <w:rsid w:val="00E670FA"/>
    <w:rsid w:val="00E678A2"/>
    <w:rsid w:val="00E67910"/>
    <w:rsid w:val="00E67BDB"/>
    <w:rsid w:val="00E67E08"/>
    <w:rsid w:val="00E70294"/>
    <w:rsid w:val="00E7036A"/>
    <w:rsid w:val="00E70885"/>
    <w:rsid w:val="00E70945"/>
    <w:rsid w:val="00E709A8"/>
    <w:rsid w:val="00E70B4A"/>
    <w:rsid w:val="00E70CE7"/>
    <w:rsid w:val="00E70CED"/>
    <w:rsid w:val="00E70E79"/>
    <w:rsid w:val="00E711DE"/>
    <w:rsid w:val="00E712A7"/>
    <w:rsid w:val="00E7139A"/>
    <w:rsid w:val="00E713AA"/>
    <w:rsid w:val="00E71476"/>
    <w:rsid w:val="00E7161F"/>
    <w:rsid w:val="00E71648"/>
    <w:rsid w:val="00E716C1"/>
    <w:rsid w:val="00E717A8"/>
    <w:rsid w:val="00E71F5C"/>
    <w:rsid w:val="00E7205A"/>
    <w:rsid w:val="00E7208B"/>
    <w:rsid w:val="00E721D9"/>
    <w:rsid w:val="00E722D9"/>
    <w:rsid w:val="00E72361"/>
    <w:rsid w:val="00E724FF"/>
    <w:rsid w:val="00E72687"/>
    <w:rsid w:val="00E727E9"/>
    <w:rsid w:val="00E72821"/>
    <w:rsid w:val="00E72CD4"/>
    <w:rsid w:val="00E72FC4"/>
    <w:rsid w:val="00E732AD"/>
    <w:rsid w:val="00E73AF1"/>
    <w:rsid w:val="00E73E6D"/>
    <w:rsid w:val="00E740CB"/>
    <w:rsid w:val="00E74175"/>
    <w:rsid w:val="00E7421C"/>
    <w:rsid w:val="00E745E6"/>
    <w:rsid w:val="00E74665"/>
    <w:rsid w:val="00E747CF"/>
    <w:rsid w:val="00E74B19"/>
    <w:rsid w:val="00E74F30"/>
    <w:rsid w:val="00E7572E"/>
    <w:rsid w:val="00E75788"/>
    <w:rsid w:val="00E758DC"/>
    <w:rsid w:val="00E75E73"/>
    <w:rsid w:val="00E7601B"/>
    <w:rsid w:val="00E761E3"/>
    <w:rsid w:val="00E7621F"/>
    <w:rsid w:val="00E762F1"/>
    <w:rsid w:val="00E7630F"/>
    <w:rsid w:val="00E76352"/>
    <w:rsid w:val="00E7662A"/>
    <w:rsid w:val="00E767B2"/>
    <w:rsid w:val="00E7681B"/>
    <w:rsid w:val="00E768BC"/>
    <w:rsid w:val="00E769D7"/>
    <w:rsid w:val="00E76AB6"/>
    <w:rsid w:val="00E76E00"/>
    <w:rsid w:val="00E76E68"/>
    <w:rsid w:val="00E77129"/>
    <w:rsid w:val="00E774CF"/>
    <w:rsid w:val="00E774E7"/>
    <w:rsid w:val="00E77784"/>
    <w:rsid w:val="00E77902"/>
    <w:rsid w:val="00E77A8C"/>
    <w:rsid w:val="00E77C0D"/>
    <w:rsid w:val="00E77E1D"/>
    <w:rsid w:val="00E77F90"/>
    <w:rsid w:val="00E80438"/>
    <w:rsid w:val="00E8048E"/>
    <w:rsid w:val="00E805B1"/>
    <w:rsid w:val="00E805FF"/>
    <w:rsid w:val="00E8085B"/>
    <w:rsid w:val="00E80956"/>
    <w:rsid w:val="00E8096B"/>
    <w:rsid w:val="00E809E7"/>
    <w:rsid w:val="00E809EC"/>
    <w:rsid w:val="00E80A17"/>
    <w:rsid w:val="00E80E05"/>
    <w:rsid w:val="00E812CE"/>
    <w:rsid w:val="00E8143A"/>
    <w:rsid w:val="00E816D5"/>
    <w:rsid w:val="00E816E6"/>
    <w:rsid w:val="00E81790"/>
    <w:rsid w:val="00E81962"/>
    <w:rsid w:val="00E820E0"/>
    <w:rsid w:val="00E820FF"/>
    <w:rsid w:val="00E82133"/>
    <w:rsid w:val="00E82142"/>
    <w:rsid w:val="00E82259"/>
    <w:rsid w:val="00E822B6"/>
    <w:rsid w:val="00E82422"/>
    <w:rsid w:val="00E824E3"/>
    <w:rsid w:val="00E825F4"/>
    <w:rsid w:val="00E82BA0"/>
    <w:rsid w:val="00E82BEF"/>
    <w:rsid w:val="00E82CC4"/>
    <w:rsid w:val="00E82DBF"/>
    <w:rsid w:val="00E83163"/>
    <w:rsid w:val="00E83437"/>
    <w:rsid w:val="00E8344A"/>
    <w:rsid w:val="00E83556"/>
    <w:rsid w:val="00E836C0"/>
    <w:rsid w:val="00E83D31"/>
    <w:rsid w:val="00E83D52"/>
    <w:rsid w:val="00E83E25"/>
    <w:rsid w:val="00E83E37"/>
    <w:rsid w:val="00E84187"/>
    <w:rsid w:val="00E845DC"/>
    <w:rsid w:val="00E85218"/>
    <w:rsid w:val="00E85237"/>
    <w:rsid w:val="00E852B6"/>
    <w:rsid w:val="00E852F8"/>
    <w:rsid w:val="00E85755"/>
    <w:rsid w:val="00E85EEF"/>
    <w:rsid w:val="00E85F20"/>
    <w:rsid w:val="00E86113"/>
    <w:rsid w:val="00E862B4"/>
    <w:rsid w:val="00E86361"/>
    <w:rsid w:val="00E8686F"/>
    <w:rsid w:val="00E869D1"/>
    <w:rsid w:val="00E86C0E"/>
    <w:rsid w:val="00E86FC9"/>
    <w:rsid w:val="00E87412"/>
    <w:rsid w:val="00E874F2"/>
    <w:rsid w:val="00E87681"/>
    <w:rsid w:val="00E8769D"/>
    <w:rsid w:val="00E87772"/>
    <w:rsid w:val="00E877EF"/>
    <w:rsid w:val="00E905FB"/>
    <w:rsid w:val="00E90616"/>
    <w:rsid w:val="00E9082C"/>
    <w:rsid w:val="00E90850"/>
    <w:rsid w:val="00E90A2D"/>
    <w:rsid w:val="00E90DF3"/>
    <w:rsid w:val="00E91301"/>
    <w:rsid w:val="00E913AD"/>
    <w:rsid w:val="00E9145D"/>
    <w:rsid w:val="00E917FA"/>
    <w:rsid w:val="00E91891"/>
    <w:rsid w:val="00E91A1E"/>
    <w:rsid w:val="00E91B5A"/>
    <w:rsid w:val="00E91CE9"/>
    <w:rsid w:val="00E91D72"/>
    <w:rsid w:val="00E91ED7"/>
    <w:rsid w:val="00E92044"/>
    <w:rsid w:val="00E92128"/>
    <w:rsid w:val="00E922D5"/>
    <w:rsid w:val="00E926F5"/>
    <w:rsid w:val="00E927A0"/>
    <w:rsid w:val="00E92857"/>
    <w:rsid w:val="00E92D6F"/>
    <w:rsid w:val="00E92D84"/>
    <w:rsid w:val="00E92D91"/>
    <w:rsid w:val="00E92D9D"/>
    <w:rsid w:val="00E92E71"/>
    <w:rsid w:val="00E92FF4"/>
    <w:rsid w:val="00E9319F"/>
    <w:rsid w:val="00E931F0"/>
    <w:rsid w:val="00E932F9"/>
    <w:rsid w:val="00E93410"/>
    <w:rsid w:val="00E937EE"/>
    <w:rsid w:val="00E939C7"/>
    <w:rsid w:val="00E939FC"/>
    <w:rsid w:val="00E93AB9"/>
    <w:rsid w:val="00E93DB6"/>
    <w:rsid w:val="00E94432"/>
    <w:rsid w:val="00E948D6"/>
    <w:rsid w:val="00E94B1A"/>
    <w:rsid w:val="00E94DF9"/>
    <w:rsid w:val="00E94E40"/>
    <w:rsid w:val="00E94FD5"/>
    <w:rsid w:val="00E9511E"/>
    <w:rsid w:val="00E9525E"/>
    <w:rsid w:val="00E955B3"/>
    <w:rsid w:val="00E9562B"/>
    <w:rsid w:val="00E95D5C"/>
    <w:rsid w:val="00E95F1B"/>
    <w:rsid w:val="00E95FA4"/>
    <w:rsid w:val="00E963A6"/>
    <w:rsid w:val="00E9649E"/>
    <w:rsid w:val="00E9663D"/>
    <w:rsid w:val="00E9667D"/>
    <w:rsid w:val="00E966FF"/>
    <w:rsid w:val="00E96940"/>
    <w:rsid w:val="00E96C59"/>
    <w:rsid w:val="00E96D45"/>
    <w:rsid w:val="00E9735C"/>
    <w:rsid w:val="00E976C0"/>
    <w:rsid w:val="00E97846"/>
    <w:rsid w:val="00E97B4B"/>
    <w:rsid w:val="00E97C07"/>
    <w:rsid w:val="00E97E6A"/>
    <w:rsid w:val="00EA00E8"/>
    <w:rsid w:val="00EA019F"/>
    <w:rsid w:val="00EA02FE"/>
    <w:rsid w:val="00EA042C"/>
    <w:rsid w:val="00EA043B"/>
    <w:rsid w:val="00EA09BA"/>
    <w:rsid w:val="00EA0CC9"/>
    <w:rsid w:val="00EA0DF4"/>
    <w:rsid w:val="00EA10DE"/>
    <w:rsid w:val="00EA11EB"/>
    <w:rsid w:val="00EA13C5"/>
    <w:rsid w:val="00EA19D1"/>
    <w:rsid w:val="00EA1A81"/>
    <w:rsid w:val="00EA1DA7"/>
    <w:rsid w:val="00EA2168"/>
    <w:rsid w:val="00EA21E4"/>
    <w:rsid w:val="00EA2225"/>
    <w:rsid w:val="00EA22A1"/>
    <w:rsid w:val="00EA238F"/>
    <w:rsid w:val="00EA23F4"/>
    <w:rsid w:val="00EA2454"/>
    <w:rsid w:val="00EA277D"/>
    <w:rsid w:val="00EA28CB"/>
    <w:rsid w:val="00EA2947"/>
    <w:rsid w:val="00EA2CCF"/>
    <w:rsid w:val="00EA336B"/>
    <w:rsid w:val="00EA3600"/>
    <w:rsid w:val="00EA38EA"/>
    <w:rsid w:val="00EA39F1"/>
    <w:rsid w:val="00EA3E2C"/>
    <w:rsid w:val="00EA4076"/>
    <w:rsid w:val="00EA407C"/>
    <w:rsid w:val="00EA420C"/>
    <w:rsid w:val="00EA4349"/>
    <w:rsid w:val="00EA44FD"/>
    <w:rsid w:val="00EA48F0"/>
    <w:rsid w:val="00EA4A03"/>
    <w:rsid w:val="00EA4A17"/>
    <w:rsid w:val="00EA4B8C"/>
    <w:rsid w:val="00EA4DD9"/>
    <w:rsid w:val="00EA509D"/>
    <w:rsid w:val="00EA51D9"/>
    <w:rsid w:val="00EA54A9"/>
    <w:rsid w:val="00EA588B"/>
    <w:rsid w:val="00EA58FA"/>
    <w:rsid w:val="00EA5AD4"/>
    <w:rsid w:val="00EA5B1B"/>
    <w:rsid w:val="00EA5C99"/>
    <w:rsid w:val="00EA6442"/>
    <w:rsid w:val="00EA6549"/>
    <w:rsid w:val="00EA66C4"/>
    <w:rsid w:val="00EA6A14"/>
    <w:rsid w:val="00EA6B23"/>
    <w:rsid w:val="00EA6E77"/>
    <w:rsid w:val="00EA7173"/>
    <w:rsid w:val="00EA7301"/>
    <w:rsid w:val="00EA744F"/>
    <w:rsid w:val="00EA75CD"/>
    <w:rsid w:val="00EA765A"/>
    <w:rsid w:val="00EA783C"/>
    <w:rsid w:val="00EA7BCA"/>
    <w:rsid w:val="00EA7CC4"/>
    <w:rsid w:val="00EA7F9D"/>
    <w:rsid w:val="00EB00DC"/>
    <w:rsid w:val="00EB04CA"/>
    <w:rsid w:val="00EB04D4"/>
    <w:rsid w:val="00EB09BD"/>
    <w:rsid w:val="00EB0B54"/>
    <w:rsid w:val="00EB0C6C"/>
    <w:rsid w:val="00EB1060"/>
    <w:rsid w:val="00EB1295"/>
    <w:rsid w:val="00EB13FD"/>
    <w:rsid w:val="00EB146A"/>
    <w:rsid w:val="00EB14E3"/>
    <w:rsid w:val="00EB17D6"/>
    <w:rsid w:val="00EB18B7"/>
    <w:rsid w:val="00EB199B"/>
    <w:rsid w:val="00EB1B73"/>
    <w:rsid w:val="00EB1DF2"/>
    <w:rsid w:val="00EB1E82"/>
    <w:rsid w:val="00EB1FAA"/>
    <w:rsid w:val="00EB21F8"/>
    <w:rsid w:val="00EB2226"/>
    <w:rsid w:val="00EB223B"/>
    <w:rsid w:val="00EB28B9"/>
    <w:rsid w:val="00EB2BB0"/>
    <w:rsid w:val="00EB2FAE"/>
    <w:rsid w:val="00EB3396"/>
    <w:rsid w:val="00EB33A2"/>
    <w:rsid w:val="00EB3658"/>
    <w:rsid w:val="00EB36F7"/>
    <w:rsid w:val="00EB3C1F"/>
    <w:rsid w:val="00EB3D77"/>
    <w:rsid w:val="00EB3F0B"/>
    <w:rsid w:val="00EB3F88"/>
    <w:rsid w:val="00EB40D8"/>
    <w:rsid w:val="00EB4319"/>
    <w:rsid w:val="00EB4470"/>
    <w:rsid w:val="00EB452F"/>
    <w:rsid w:val="00EB45B5"/>
    <w:rsid w:val="00EB4647"/>
    <w:rsid w:val="00EB494D"/>
    <w:rsid w:val="00EB4EA0"/>
    <w:rsid w:val="00EB5025"/>
    <w:rsid w:val="00EB5070"/>
    <w:rsid w:val="00EB51F6"/>
    <w:rsid w:val="00EB5626"/>
    <w:rsid w:val="00EB56A5"/>
    <w:rsid w:val="00EB585E"/>
    <w:rsid w:val="00EB5C2D"/>
    <w:rsid w:val="00EB5E92"/>
    <w:rsid w:val="00EB6138"/>
    <w:rsid w:val="00EB68EE"/>
    <w:rsid w:val="00EB6A9D"/>
    <w:rsid w:val="00EB6CBB"/>
    <w:rsid w:val="00EB6DD7"/>
    <w:rsid w:val="00EB6DFA"/>
    <w:rsid w:val="00EB6F10"/>
    <w:rsid w:val="00EB6F2F"/>
    <w:rsid w:val="00EB71F6"/>
    <w:rsid w:val="00EB7316"/>
    <w:rsid w:val="00EB7478"/>
    <w:rsid w:val="00EB75C4"/>
    <w:rsid w:val="00EB75E1"/>
    <w:rsid w:val="00EB7608"/>
    <w:rsid w:val="00EB7759"/>
    <w:rsid w:val="00EB7E91"/>
    <w:rsid w:val="00EC00DE"/>
    <w:rsid w:val="00EC02B0"/>
    <w:rsid w:val="00EC05FE"/>
    <w:rsid w:val="00EC0A51"/>
    <w:rsid w:val="00EC0DFF"/>
    <w:rsid w:val="00EC102D"/>
    <w:rsid w:val="00EC120F"/>
    <w:rsid w:val="00EC18ED"/>
    <w:rsid w:val="00EC1924"/>
    <w:rsid w:val="00EC198A"/>
    <w:rsid w:val="00EC1B2B"/>
    <w:rsid w:val="00EC2101"/>
    <w:rsid w:val="00EC235A"/>
    <w:rsid w:val="00EC2831"/>
    <w:rsid w:val="00EC2964"/>
    <w:rsid w:val="00EC2974"/>
    <w:rsid w:val="00EC298D"/>
    <w:rsid w:val="00EC2B14"/>
    <w:rsid w:val="00EC30D6"/>
    <w:rsid w:val="00EC3134"/>
    <w:rsid w:val="00EC334E"/>
    <w:rsid w:val="00EC3550"/>
    <w:rsid w:val="00EC35F4"/>
    <w:rsid w:val="00EC3644"/>
    <w:rsid w:val="00EC3688"/>
    <w:rsid w:val="00EC3910"/>
    <w:rsid w:val="00EC39B5"/>
    <w:rsid w:val="00EC3C1A"/>
    <w:rsid w:val="00EC4207"/>
    <w:rsid w:val="00EC445D"/>
    <w:rsid w:val="00EC46D1"/>
    <w:rsid w:val="00EC47F0"/>
    <w:rsid w:val="00EC4D65"/>
    <w:rsid w:val="00EC4F56"/>
    <w:rsid w:val="00EC50FB"/>
    <w:rsid w:val="00EC5216"/>
    <w:rsid w:val="00EC5629"/>
    <w:rsid w:val="00EC5661"/>
    <w:rsid w:val="00EC5AD8"/>
    <w:rsid w:val="00EC5B44"/>
    <w:rsid w:val="00EC5FF6"/>
    <w:rsid w:val="00EC6408"/>
    <w:rsid w:val="00EC67E5"/>
    <w:rsid w:val="00EC6845"/>
    <w:rsid w:val="00EC6A07"/>
    <w:rsid w:val="00EC6F34"/>
    <w:rsid w:val="00EC72F9"/>
    <w:rsid w:val="00EC798F"/>
    <w:rsid w:val="00EC7A79"/>
    <w:rsid w:val="00ED00C7"/>
    <w:rsid w:val="00ED014E"/>
    <w:rsid w:val="00ED0407"/>
    <w:rsid w:val="00ED0645"/>
    <w:rsid w:val="00ED0738"/>
    <w:rsid w:val="00ED07F7"/>
    <w:rsid w:val="00ED08E5"/>
    <w:rsid w:val="00ED0FD7"/>
    <w:rsid w:val="00ED1098"/>
    <w:rsid w:val="00ED1312"/>
    <w:rsid w:val="00ED15FA"/>
    <w:rsid w:val="00ED16BA"/>
    <w:rsid w:val="00ED184D"/>
    <w:rsid w:val="00ED18A2"/>
    <w:rsid w:val="00ED1B76"/>
    <w:rsid w:val="00ED1B7B"/>
    <w:rsid w:val="00ED1D43"/>
    <w:rsid w:val="00ED1F62"/>
    <w:rsid w:val="00ED210C"/>
    <w:rsid w:val="00ED23A4"/>
    <w:rsid w:val="00ED2631"/>
    <w:rsid w:val="00ED2693"/>
    <w:rsid w:val="00ED27E7"/>
    <w:rsid w:val="00ED2E5C"/>
    <w:rsid w:val="00ED2FAE"/>
    <w:rsid w:val="00ED3028"/>
    <w:rsid w:val="00ED311F"/>
    <w:rsid w:val="00ED3200"/>
    <w:rsid w:val="00ED360B"/>
    <w:rsid w:val="00ED37CE"/>
    <w:rsid w:val="00ED38A8"/>
    <w:rsid w:val="00ED3A53"/>
    <w:rsid w:val="00ED3A67"/>
    <w:rsid w:val="00ED3AF9"/>
    <w:rsid w:val="00ED3BE1"/>
    <w:rsid w:val="00ED3D47"/>
    <w:rsid w:val="00ED3D68"/>
    <w:rsid w:val="00ED3DB2"/>
    <w:rsid w:val="00ED4173"/>
    <w:rsid w:val="00ED42E2"/>
    <w:rsid w:val="00ED43C6"/>
    <w:rsid w:val="00ED459F"/>
    <w:rsid w:val="00ED46D7"/>
    <w:rsid w:val="00ED4736"/>
    <w:rsid w:val="00ED47D0"/>
    <w:rsid w:val="00ED48D4"/>
    <w:rsid w:val="00ED4945"/>
    <w:rsid w:val="00ED4FEE"/>
    <w:rsid w:val="00ED5044"/>
    <w:rsid w:val="00ED5236"/>
    <w:rsid w:val="00ED52EE"/>
    <w:rsid w:val="00ED5301"/>
    <w:rsid w:val="00ED5539"/>
    <w:rsid w:val="00ED5564"/>
    <w:rsid w:val="00ED574D"/>
    <w:rsid w:val="00ED58FC"/>
    <w:rsid w:val="00ED59AA"/>
    <w:rsid w:val="00ED5D26"/>
    <w:rsid w:val="00ED5DED"/>
    <w:rsid w:val="00ED617E"/>
    <w:rsid w:val="00ED6235"/>
    <w:rsid w:val="00ED6598"/>
    <w:rsid w:val="00ED67AD"/>
    <w:rsid w:val="00ED6829"/>
    <w:rsid w:val="00ED6890"/>
    <w:rsid w:val="00ED6ADC"/>
    <w:rsid w:val="00ED6BC1"/>
    <w:rsid w:val="00ED6C96"/>
    <w:rsid w:val="00ED6CE6"/>
    <w:rsid w:val="00ED6DED"/>
    <w:rsid w:val="00ED6E23"/>
    <w:rsid w:val="00ED6EAC"/>
    <w:rsid w:val="00ED6ED7"/>
    <w:rsid w:val="00ED72DC"/>
    <w:rsid w:val="00ED7334"/>
    <w:rsid w:val="00ED7422"/>
    <w:rsid w:val="00ED79CD"/>
    <w:rsid w:val="00EE0110"/>
    <w:rsid w:val="00EE03BA"/>
    <w:rsid w:val="00EE060D"/>
    <w:rsid w:val="00EE07BC"/>
    <w:rsid w:val="00EE08C9"/>
    <w:rsid w:val="00EE09C5"/>
    <w:rsid w:val="00EE0CFE"/>
    <w:rsid w:val="00EE0DD1"/>
    <w:rsid w:val="00EE0FE0"/>
    <w:rsid w:val="00EE147C"/>
    <w:rsid w:val="00EE17E8"/>
    <w:rsid w:val="00EE19BB"/>
    <w:rsid w:val="00EE1DAB"/>
    <w:rsid w:val="00EE1DCF"/>
    <w:rsid w:val="00EE1E59"/>
    <w:rsid w:val="00EE1E74"/>
    <w:rsid w:val="00EE23DE"/>
    <w:rsid w:val="00EE255D"/>
    <w:rsid w:val="00EE2866"/>
    <w:rsid w:val="00EE2A29"/>
    <w:rsid w:val="00EE2A7B"/>
    <w:rsid w:val="00EE2BA9"/>
    <w:rsid w:val="00EE2C49"/>
    <w:rsid w:val="00EE2DF8"/>
    <w:rsid w:val="00EE2F92"/>
    <w:rsid w:val="00EE2FD2"/>
    <w:rsid w:val="00EE311D"/>
    <w:rsid w:val="00EE312A"/>
    <w:rsid w:val="00EE3183"/>
    <w:rsid w:val="00EE3280"/>
    <w:rsid w:val="00EE3329"/>
    <w:rsid w:val="00EE3A11"/>
    <w:rsid w:val="00EE3A67"/>
    <w:rsid w:val="00EE3BAC"/>
    <w:rsid w:val="00EE3C6C"/>
    <w:rsid w:val="00EE3EB5"/>
    <w:rsid w:val="00EE4073"/>
    <w:rsid w:val="00EE4356"/>
    <w:rsid w:val="00EE43AA"/>
    <w:rsid w:val="00EE443F"/>
    <w:rsid w:val="00EE4480"/>
    <w:rsid w:val="00EE4594"/>
    <w:rsid w:val="00EE461C"/>
    <w:rsid w:val="00EE47B1"/>
    <w:rsid w:val="00EE4C59"/>
    <w:rsid w:val="00EE4C6C"/>
    <w:rsid w:val="00EE4CF8"/>
    <w:rsid w:val="00EE4DE5"/>
    <w:rsid w:val="00EE4E25"/>
    <w:rsid w:val="00EE4FAB"/>
    <w:rsid w:val="00EE53EE"/>
    <w:rsid w:val="00EE54D8"/>
    <w:rsid w:val="00EE55F4"/>
    <w:rsid w:val="00EE5693"/>
    <w:rsid w:val="00EE5A95"/>
    <w:rsid w:val="00EE5B31"/>
    <w:rsid w:val="00EE5B5A"/>
    <w:rsid w:val="00EE5EFF"/>
    <w:rsid w:val="00EE6280"/>
    <w:rsid w:val="00EE62F4"/>
    <w:rsid w:val="00EE637A"/>
    <w:rsid w:val="00EE67A9"/>
    <w:rsid w:val="00EE68E3"/>
    <w:rsid w:val="00EE6A03"/>
    <w:rsid w:val="00EE6A75"/>
    <w:rsid w:val="00EE6B37"/>
    <w:rsid w:val="00EE6D0C"/>
    <w:rsid w:val="00EE71A1"/>
    <w:rsid w:val="00EE7226"/>
    <w:rsid w:val="00EE7438"/>
    <w:rsid w:val="00EE7480"/>
    <w:rsid w:val="00EE76D9"/>
    <w:rsid w:val="00EE7BA5"/>
    <w:rsid w:val="00EF01BF"/>
    <w:rsid w:val="00EF01DA"/>
    <w:rsid w:val="00EF0452"/>
    <w:rsid w:val="00EF0724"/>
    <w:rsid w:val="00EF07E2"/>
    <w:rsid w:val="00EF08B6"/>
    <w:rsid w:val="00EF097C"/>
    <w:rsid w:val="00EF0B8B"/>
    <w:rsid w:val="00EF0B9A"/>
    <w:rsid w:val="00EF0CD0"/>
    <w:rsid w:val="00EF1142"/>
    <w:rsid w:val="00EF132F"/>
    <w:rsid w:val="00EF138F"/>
    <w:rsid w:val="00EF14E4"/>
    <w:rsid w:val="00EF15E0"/>
    <w:rsid w:val="00EF170B"/>
    <w:rsid w:val="00EF1AA3"/>
    <w:rsid w:val="00EF1BB9"/>
    <w:rsid w:val="00EF2081"/>
    <w:rsid w:val="00EF232D"/>
    <w:rsid w:val="00EF243D"/>
    <w:rsid w:val="00EF2608"/>
    <w:rsid w:val="00EF2C0D"/>
    <w:rsid w:val="00EF3615"/>
    <w:rsid w:val="00EF37FA"/>
    <w:rsid w:val="00EF396B"/>
    <w:rsid w:val="00EF39EB"/>
    <w:rsid w:val="00EF3B58"/>
    <w:rsid w:val="00EF3D22"/>
    <w:rsid w:val="00EF3E6B"/>
    <w:rsid w:val="00EF3F8F"/>
    <w:rsid w:val="00EF3FC4"/>
    <w:rsid w:val="00EF41A9"/>
    <w:rsid w:val="00EF4371"/>
    <w:rsid w:val="00EF4635"/>
    <w:rsid w:val="00EF46C7"/>
    <w:rsid w:val="00EF4B92"/>
    <w:rsid w:val="00EF4BD5"/>
    <w:rsid w:val="00EF4BE7"/>
    <w:rsid w:val="00EF4C54"/>
    <w:rsid w:val="00EF4F54"/>
    <w:rsid w:val="00EF5085"/>
    <w:rsid w:val="00EF50AC"/>
    <w:rsid w:val="00EF5196"/>
    <w:rsid w:val="00EF527C"/>
    <w:rsid w:val="00EF5508"/>
    <w:rsid w:val="00EF5E9E"/>
    <w:rsid w:val="00EF664A"/>
    <w:rsid w:val="00EF68A0"/>
    <w:rsid w:val="00EF69ED"/>
    <w:rsid w:val="00EF6B6F"/>
    <w:rsid w:val="00EF6B76"/>
    <w:rsid w:val="00EF6E0A"/>
    <w:rsid w:val="00EF701B"/>
    <w:rsid w:val="00EF7076"/>
    <w:rsid w:val="00EF72D8"/>
    <w:rsid w:val="00EF7388"/>
    <w:rsid w:val="00EF771E"/>
    <w:rsid w:val="00EF7774"/>
    <w:rsid w:val="00EF7CBC"/>
    <w:rsid w:val="00EF7E5E"/>
    <w:rsid w:val="00F0057A"/>
    <w:rsid w:val="00F00713"/>
    <w:rsid w:val="00F008E4"/>
    <w:rsid w:val="00F0092D"/>
    <w:rsid w:val="00F00BBC"/>
    <w:rsid w:val="00F00E44"/>
    <w:rsid w:val="00F0108D"/>
    <w:rsid w:val="00F0144A"/>
    <w:rsid w:val="00F01513"/>
    <w:rsid w:val="00F01B9A"/>
    <w:rsid w:val="00F01E93"/>
    <w:rsid w:val="00F01F13"/>
    <w:rsid w:val="00F02112"/>
    <w:rsid w:val="00F023D3"/>
    <w:rsid w:val="00F026AC"/>
    <w:rsid w:val="00F02762"/>
    <w:rsid w:val="00F0285B"/>
    <w:rsid w:val="00F02C6C"/>
    <w:rsid w:val="00F031BF"/>
    <w:rsid w:val="00F03301"/>
    <w:rsid w:val="00F0356E"/>
    <w:rsid w:val="00F0359F"/>
    <w:rsid w:val="00F03BCC"/>
    <w:rsid w:val="00F03C5C"/>
    <w:rsid w:val="00F03D4D"/>
    <w:rsid w:val="00F03EB9"/>
    <w:rsid w:val="00F04054"/>
    <w:rsid w:val="00F041FC"/>
    <w:rsid w:val="00F04307"/>
    <w:rsid w:val="00F04C2C"/>
    <w:rsid w:val="00F04F85"/>
    <w:rsid w:val="00F05557"/>
    <w:rsid w:val="00F05646"/>
    <w:rsid w:val="00F0571B"/>
    <w:rsid w:val="00F05C1C"/>
    <w:rsid w:val="00F05E53"/>
    <w:rsid w:val="00F05F43"/>
    <w:rsid w:val="00F065EB"/>
    <w:rsid w:val="00F069D1"/>
    <w:rsid w:val="00F06A05"/>
    <w:rsid w:val="00F06CE2"/>
    <w:rsid w:val="00F0736B"/>
    <w:rsid w:val="00F0745C"/>
    <w:rsid w:val="00F075F8"/>
    <w:rsid w:val="00F07910"/>
    <w:rsid w:val="00F07AD9"/>
    <w:rsid w:val="00F07B1B"/>
    <w:rsid w:val="00F07D14"/>
    <w:rsid w:val="00F07D9B"/>
    <w:rsid w:val="00F07DCA"/>
    <w:rsid w:val="00F07F7C"/>
    <w:rsid w:val="00F10436"/>
    <w:rsid w:val="00F1045C"/>
    <w:rsid w:val="00F1057C"/>
    <w:rsid w:val="00F105AC"/>
    <w:rsid w:val="00F107E6"/>
    <w:rsid w:val="00F10ADF"/>
    <w:rsid w:val="00F10C9F"/>
    <w:rsid w:val="00F10F7B"/>
    <w:rsid w:val="00F10FBC"/>
    <w:rsid w:val="00F1148F"/>
    <w:rsid w:val="00F1170C"/>
    <w:rsid w:val="00F11862"/>
    <w:rsid w:val="00F119A7"/>
    <w:rsid w:val="00F11B49"/>
    <w:rsid w:val="00F11B9D"/>
    <w:rsid w:val="00F11BC6"/>
    <w:rsid w:val="00F11D28"/>
    <w:rsid w:val="00F11DC9"/>
    <w:rsid w:val="00F1202E"/>
    <w:rsid w:val="00F120C4"/>
    <w:rsid w:val="00F12245"/>
    <w:rsid w:val="00F12251"/>
    <w:rsid w:val="00F124FE"/>
    <w:rsid w:val="00F12549"/>
    <w:rsid w:val="00F12586"/>
    <w:rsid w:val="00F127A0"/>
    <w:rsid w:val="00F129FC"/>
    <w:rsid w:val="00F12A51"/>
    <w:rsid w:val="00F12C56"/>
    <w:rsid w:val="00F12D56"/>
    <w:rsid w:val="00F12DCA"/>
    <w:rsid w:val="00F13036"/>
    <w:rsid w:val="00F132D1"/>
    <w:rsid w:val="00F13980"/>
    <w:rsid w:val="00F13C8A"/>
    <w:rsid w:val="00F141C1"/>
    <w:rsid w:val="00F1426E"/>
    <w:rsid w:val="00F1434D"/>
    <w:rsid w:val="00F1436C"/>
    <w:rsid w:val="00F14401"/>
    <w:rsid w:val="00F144BB"/>
    <w:rsid w:val="00F146F2"/>
    <w:rsid w:val="00F14778"/>
    <w:rsid w:val="00F14810"/>
    <w:rsid w:val="00F14931"/>
    <w:rsid w:val="00F14A6E"/>
    <w:rsid w:val="00F14B5D"/>
    <w:rsid w:val="00F14BC2"/>
    <w:rsid w:val="00F14D6F"/>
    <w:rsid w:val="00F14D9C"/>
    <w:rsid w:val="00F14F6F"/>
    <w:rsid w:val="00F14FBD"/>
    <w:rsid w:val="00F1514E"/>
    <w:rsid w:val="00F152EA"/>
    <w:rsid w:val="00F153FA"/>
    <w:rsid w:val="00F15442"/>
    <w:rsid w:val="00F15451"/>
    <w:rsid w:val="00F15671"/>
    <w:rsid w:val="00F15AA6"/>
    <w:rsid w:val="00F15D6C"/>
    <w:rsid w:val="00F16036"/>
    <w:rsid w:val="00F1615F"/>
    <w:rsid w:val="00F1619A"/>
    <w:rsid w:val="00F161BA"/>
    <w:rsid w:val="00F16299"/>
    <w:rsid w:val="00F16458"/>
    <w:rsid w:val="00F164E2"/>
    <w:rsid w:val="00F166EC"/>
    <w:rsid w:val="00F16870"/>
    <w:rsid w:val="00F1694E"/>
    <w:rsid w:val="00F16AB2"/>
    <w:rsid w:val="00F16D49"/>
    <w:rsid w:val="00F17145"/>
    <w:rsid w:val="00F171C4"/>
    <w:rsid w:val="00F1722B"/>
    <w:rsid w:val="00F17482"/>
    <w:rsid w:val="00F1752A"/>
    <w:rsid w:val="00F1763F"/>
    <w:rsid w:val="00F1775E"/>
    <w:rsid w:val="00F17A3F"/>
    <w:rsid w:val="00F17A80"/>
    <w:rsid w:val="00F17AD1"/>
    <w:rsid w:val="00F17C1B"/>
    <w:rsid w:val="00F17C1D"/>
    <w:rsid w:val="00F17E9D"/>
    <w:rsid w:val="00F17FA4"/>
    <w:rsid w:val="00F20007"/>
    <w:rsid w:val="00F200C4"/>
    <w:rsid w:val="00F20298"/>
    <w:rsid w:val="00F202A1"/>
    <w:rsid w:val="00F20BCB"/>
    <w:rsid w:val="00F20D05"/>
    <w:rsid w:val="00F2132D"/>
    <w:rsid w:val="00F217B7"/>
    <w:rsid w:val="00F218B6"/>
    <w:rsid w:val="00F21C6C"/>
    <w:rsid w:val="00F21D1A"/>
    <w:rsid w:val="00F21E72"/>
    <w:rsid w:val="00F21E8D"/>
    <w:rsid w:val="00F223DD"/>
    <w:rsid w:val="00F225FD"/>
    <w:rsid w:val="00F22730"/>
    <w:rsid w:val="00F228BE"/>
    <w:rsid w:val="00F228C2"/>
    <w:rsid w:val="00F228F9"/>
    <w:rsid w:val="00F22AF6"/>
    <w:rsid w:val="00F22C72"/>
    <w:rsid w:val="00F22E9D"/>
    <w:rsid w:val="00F23037"/>
    <w:rsid w:val="00F23159"/>
    <w:rsid w:val="00F2325F"/>
    <w:rsid w:val="00F2374A"/>
    <w:rsid w:val="00F23C1D"/>
    <w:rsid w:val="00F23E5E"/>
    <w:rsid w:val="00F24019"/>
    <w:rsid w:val="00F24109"/>
    <w:rsid w:val="00F241EF"/>
    <w:rsid w:val="00F24208"/>
    <w:rsid w:val="00F242AA"/>
    <w:rsid w:val="00F242B6"/>
    <w:rsid w:val="00F24321"/>
    <w:rsid w:val="00F2446D"/>
    <w:rsid w:val="00F244B3"/>
    <w:rsid w:val="00F244B7"/>
    <w:rsid w:val="00F24690"/>
    <w:rsid w:val="00F248A7"/>
    <w:rsid w:val="00F24914"/>
    <w:rsid w:val="00F24E93"/>
    <w:rsid w:val="00F25081"/>
    <w:rsid w:val="00F25412"/>
    <w:rsid w:val="00F2596B"/>
    <w:rsid w:val="00F25AD5"/>
    <w:rsid w:val="00F25AD9"/>
    <w:rsid w:val="00F25CA7"/>
    <w:rsid w:val="00F25CC7"/>
    <w:rsid w:val="00F260CC"/>
    <w:rsid w:val="00F26104"/>
    <w:rsid w:val="00F263B7"/>
    <w:rsid w:val="00F26501"/>
    <w:rsid w:val="00F26633"/>
    <w:rsid w:val="00F2675F"/>
    <w:rsid w:val="00F269EC"/>
    <w:rsid w:val="00F26B79"/>
    <w:rsid w:val="00F26C0F"/>
    <w:rsid w:val="00F26C6D"/>
    <w:rsid w:val="00F26C8A"/>
    <w:rsid w:val="00F26D19"/>
    <w:rsid w:val="00F27084"/>
    <w:rsid w:val="00F2710A"/>
    <w:rsid w:val="00F273D5"/>
    <w:rsid w:val="00F274CF"/>
    <w:rsid w:val="00F27530"/>
    <w:rsid w:val="00F276A5"/>
    <w:rsid w:val="00F27732"/>
    <w:rsid w:val="00F27752"/>
    <w:rsid w:val="00F278EA"/>
    <w:rsid w:val="00F27985"/>
    <w:rsid w:val="00F279F7"/>
    <w:rsid w:val="00F27A33"/>
    <w:rsid w:val="00F27ADE"/>
    <w:rsid w:val="00F27B66"/>
    <w:rsid w:val="00F27D5B"/>
    <w:rsid w:val="00F3017B"/>
    <w:rsid w:val="00F301B6"/>
    <w:rsid w:val="00F30569"/>
    <w:rsid w:val="00F30636"/>
    <w:rsid w:val="00F30843"/>
    <w:rsid w:val="00F309D6"/>
    <w:rsid w:val="00F30EC0"/>
    <w:rsid w:val="00F30F6B"/>
    <w:rsid w:val="00F31014"/>
    <w:rsid w:val="00F311E8"/>
    <w:rsid w:val="00F311FE"/>
    <w:rsid w:val="00F31269"/>
    <w:rsid w:val="00F313D5"/>
    <w:rsid w:val="00F31750"/>
    <w:rsid w:val="00F3179C"/>
    <w:rsid w:val="00F319F1"/>
    <w:rsid w:val="00F31F48"/>
    <w:rsid w:val="00F322FB"/>
    <w:rsid w:val="00F3230A"/>
    <w:rsid w:val="00F3237D"/>
    <w:rsid w:val="00F32385"/>
    <w:rsid w:val="00F32458"/>
    <w:rsid w:val="00F327E0"/>
    <w:rsid w:val="00F32855"/>
    <w:rsid w:val="00F328D0"/>
    <w:rsid w:val="00F33318"/>
    <w:rsid w:val="00F3334F"/>
    <w:rsid w:val="00F33BEE"/>
    <w:rsid w:val="00F33D54"/>
    <w:rsid w:val="00F33E17"/>
    <w:rsid w:val="00F33F09"/>
    <w:rsid w:val="00F33FF9"/>
    <w:rsid w:val="00F34026"/>
    <w:rsid w:val="00F34975"/>
    <w:rsid w:val="00F35141"/>
    <w:rsid w:val="00F35185"/>
    <w:rsid w:val="00F353FE"/>
    <w:rsid w:val="00F35404"/>
    <w:rsid w:val="00F3576E"/>
    <w:rsid w:val="00F3583A"/>
    <w:rsid w:val="00F35CD3"/>
    <w:rsid w:val="00F35F0B"/>
    <w:rsid w:val="00F35F4A"/>
    <w:rsid w:val="00F3628B"/>
    <w:rsid w:val="00F362F6"/>
    <w:rsid w:val="00F36354"/>
    <w:rsid w:val="00F36416"/>
    <w:rsid w:val="00F36480"/>
    <w:rsid w:val="00F366E2"/>
    <w:rsid w:val="00F36819"/>
    <w:rsid w:val="00F36880"/>
    <w:rsid w:val="00F36B39"/>
    <w:rsid w:val="00F36BEC"/>
    <w:rsid w:val="00F36C05"/>
    <w:rsid w:val="00F36C6A"/>
    <w:rsid w:val="00F36C7A"/>
    <w:rsid w:val="00F36DF5"/>
    <w:rsid w:val="00F36E1B"/>
    <w:rsid w:val="00F36E65"/>
    <w:rsid w:val="00F36ECF"/>
    <w:rsid w:val="00F37049"/>
    <w:rsid w:val="00F37121"/>
    <w:rsid w:val="00F3712F"/>
    <w:rsid w:val="00F3736A"/>
    <w:rsid w:val="00F376F8"/>
    <w:rsid w:val="00F37711"/>
    <w:rsid w:val="00F37826"/>
    <w:rsid w:val="00F3791E"/>
    <w:rsid w:val="00F37A41"/>
    <w:rsid w:val="00F37E04"/>
    <w:rsid w:val="00F4042C"/>
    <w:rsid w:val="00F40947"/>
    <w:rsid w:val="00F40B6A"/>
    <w:rsid w:val="00F40C9E"/>
    <w:rsid w:val="00F40CF5"/>
    <w:rsid w:val="00F40DA5"/>
    <w:rsid w:val="00F40DCB"/>
    <w:rsid w:val="00F40ECC"/>
    <w:rsid w:val="00F41029"/>
    <w:rsid w:val="00F4105E"/>
    <w:rsid w:val="00F41239"/>
    <w:rsid w:val="00F41721"/>
    <w:rsid w:val="00F41929"/>
    <w:rsid w:val="00F41A3D"/>
    <w:rsid w:val="00F41BA5"/>
    <w:rsid w:val="00F41BF5"/>
    <w:rsid w:val="00F41E28"/>
    <w:rsid w:val="00F42128"/>
    <w:rsid w:val="00F425F8"/>
    <w:rsid w:val="00F4265F"/>
    <w:rsid w:val="00F42859"/>
    <w:rsid w:val="00F42940"/>
    <w:rsid w:val="00F429C8"/>
    <w:rsid w:val="00F42AED"/>
    <w:rsid w:val="00F42C15"/>
    <w:rsid w:val="00F42CD5"/>
    <w:rsid w:val="00F42D5E"/>
    <w:rsid w:val="00F42E45"/>
    <w:rsid w:val="00F42EF1"/>
    <w:rsid w:val="00F42EF4"/>
    <w:rsid w:val="00F4311A"/>
    <w:rsid w:val="00F43408"/>
    <w:rsid w:val="00F434DA"/>
    <w:rsid w:val="00F43677"/>
    <w:rsid w:val="00F43685"/>
    <w:rsid w:val="00F43894"/>
    <w:rsid w:val="00F43900"/>
    <w:rsid w:val="00F43A30"/>
    <w:rsid w:val="00F43BF5"/>
    <w:rsid w:val="00F43C84"/>
    <w:rsid w:val="00F43D58"/>
    <w:rsid w:val="00F43F2E"/>
    <w:rsid w:val="00F43F95"/>
    <w:rsid w:val="00F44282"/>
    <w:rsid w:val="00F44318"/>
    <w:rsid w:val="00F44592"/>
    <w:rsid w:val="00F445D5"/>
    <w:rsid w:val="00F449FE"/>
    <w:rsid w:val="00F44D46"/>
    <w:rsid w:val="00F44D69"/>
    <w:rsid w:val="00F45296"/>
    <w:rsid w:val="00F453D1"/>
    <w:rsid w:val="00F4542B"/>
    <w:rsid w:val="00F45457"/>
    <w:rsid w:val="00F45854"/>
    <w:rsid w:val="00F46302"/>
    <w:rsid w:val="00F466D3"/>
    <w:rsid w:val="00F4685C"/>
    <w:rsid w:val="00F46914"/>
    <w:rsid w:val="00F46992"/>
    <w:rsid w:val="00F46D0E"/>
    <w:rsid w:val="00F46E97"/>
    <w:rsid w:val="00F46F82"/>
    <w:rsid w:val="00F47244"/>
    <w:rsid w:val="00F472D2"/>
    <w:rsid w:val="00F474B5"/>
    <w:rsid w:val="00F47641"/>
    <w:rsid w:val="00F47685"/>
    <w:rsid w:val="00F4771F"/>
    <w:rsid w:val="00F47834"/>
    <w:rsid w:val="00F479D3"/>
    <w:rsid w:val="00F47A26"/>
    <w:rsid w:val="00F47E29"/>
    <w:rsid w:val="00F47E6F"/>
    <w:rsid w:val="00F47FA2"/>
    <w:rsid w:val="00F500E2"/>
    <w:rsid w:val="00F50362"/>
    <w:rsid w:val="00F50392"/>
    <w:rsid w:val="00F50510"/>
    <w:rsid w:val="00F5065F"/>
    <w:rsid w:val="00F508AE"/>
    <w:rsid w:val="00F50D0B"/>
    <w:rsid w:val="00F50E0E"/>
    <w:rsid w:val="00F50EB1"/>
    <w:rsid w:val="00F50F5C"/>
    <w:rsid w:val="00F50F93"/>
    <w:rsid w:val="00F5110F"/>
    <w:rsid w:val="00F51261"/>
    <w:rsid w:val="00F512A1"/>
    <w:rsid w:val="00F51357"/>
    <w:rsid w:val="00F515D4"/>
    <w:rsid w:val="00F516C7"/>
    <w:rsid w:val="00F5178E"/>
    <w:rsid w:val="00F51804"/>
    <w:rsid w:val="00F5185D"/>
    <w:rsid w:val="00F51D18"/>
    <w:rsid w:val="00F51D84"/>
    <w:rsid w:val="00F51FCE"/>
    <w:rsid w:val="00F52137"/>
    <w:rsid w:val="00F52308"/>
    <w:rsid w:val="00F523D2"/>
    <w:rsid w:val="00F5247B"/>
    <w:rsid w:val="00F526A3"/>
    <w:rsid w:val="00F52AC7"/>
    <w:rsid w:val="00F52D00"/>
    <w:rsid w:val="00F52E04"/>
    <w:rsid w:val="00F52E70"/>
    <w:rsid w:val="00F52F49"/>
    <w:rsid w:val="00F53092"/>
    <w:rsid w:val="00F53232"/>
    <w:rsid w:val="00F533FB"/>
    <w:rsid w:val="00F53519"/>
    <w:rsid w:val="00F53676"/>
    <w:rsid w:val="00F540A5"/>
    <w:rsid w:val="00F54172"/>
    <w:rsid w:val="00F541D0"/>
    <w:rsid w:val="00F5429F"/>
    <w:rsid w:val="00F54400"/>
    <w:rsid w:val="00F54523"/>
    <w:rsid w:val="00F545CF"/>
    <w:rsid w:val="00F546C2"/>
    <w:rsid w:val="00F54990"/>
    <w:rsid w:val="00F54AEA"/>
    <w:rsid w:val="00F5500E"/>
    <w:rsid w:val="00F5506A"/>
    <w:rsid w:val="00F55431"/>
    <w:rsid w:val="00F5544A"/>
    <w:rsid w:val="00F5585D"/>
    <w:rsid w:val="00F55A30"/>
    <w:rsid w:val="00F55DCB"/>
    <w:rsid w:val="00F55EC2"/>
    <w:rsid w:val="00F55F62"/>
    <w:rsid w:val="00F55FBB"/>
    <w:rsid w:val="00F56024"/>
    <w:rsid w:val="00F56BE6"/>
    <w:rsid w:val="00F56BE7"/>
    <w:rsid w:val="00F56BF3"/>
    <w:rsid w:val="00F56EF6"/>
    <w:rsid w:val="00F57345"/>
    <w:rsid w:val="00F5742C"/>
    <w:rsid w:val="00F57443"/>
    <w:rsid w:val="00F57851"/>
    <w:rsid w:val="00F578F5"/>
    <w:rsid w:val="00F57957"/>
    <w:rsid w:val="00F57B41"/>
    <w:rsid w:val="00F57E94"/>
    <w:rsid w:val="00F57FB2"/>
    <w:rsid w:val="00F60217"/>
    <w:rsid w:val="00F602D2"/>
    <w:rsid w:val="00F6056D"/>
    <w:rsid w:val="00F6057D"/>
    <w:rsid w:val="00F605E8"/>
    <w:rsid w:val="00F60722"/>
    <w:rsid w:val="00F61721"/>
    <w:rsid w:val="00F617B1"/>
    <w:rsid w:val="00F61A2F"/>
    <w:rsid w:val="00F61A81"/>
    <w:rsid w:val="00F61BCA"/>
    <w:rsid w:val="00F61BE0"/>
    <w:rsid w:val="00F61DC5"/>
    <w:rsid w:val="00F61F8F"/>
    <w:rsid w:val="00F6220D"/>
    <w:rsid w:val="00F62482"/>
    <w:rsid w:val="00F626C5"/>
    <w:rsid w:val="00F62828"/>
    <w:rsid w:val="00F6289F"/>
    <w:rsid w:val="00F62B31"/>
    <w:rsid w:val="00F62C1F"/>
    <w:rsid w:val="00F62C95"/>
    <w:rsid w:val="00F62CAE"/>
    <w:rsid w:val="00F62D22"/>
    <w:rsid w:val="00F630A5"/>
    <w:rsid w:val="00F63567"/>
    <w:rsid w:val="00F635E5"/>
    <w:rsid w:val="00F637DC"/>
    <w:rsid w:val="00F63841"/>
    <w:rsid w:val="00F63954"/>
    <w:rsid w:val="00F639EA"/>
    <w:rsid w:val="00F63BA6"/>
    <w:rsid w:val="00F63D2E"/>
    <w:rsid w:val="00F63E39"/>
    <w:rsid w:val="00F63F60"/>
    <w:rsid w:val="00F64059"/>
    <w:rsid w:val="00F64122"/>
    <w:rsid w:val="00F642A0"/>
    <w:rsid w:val="00F642C3"/>
    <w:rsid w:val="00F642FA"/>
    <w:rsid w:val="00F64392"/>
    <w:rsid w:val="00F64705"/>
    <w:rsid w:val="00F647F7"/>
    <w:rsid w:val="00F64844"/>
    <w:rsid w:val="00F6484F"/>
    <w:rsid w:val="00F64A5D"/>
    <w:rsid w:val="00F64A6E"/>
    <w:rsid w:val="00F64A73"/>
    <w:rsid w:val="00F64DF2"/>
    <w:rsid w:val="00F64EC4"/>
    <w:rsid w:val="00F64EF1"/>
    <w:rsid w:val="00F65018"/>
    <w:rsid w:val="00F65099"/>
    <w:rsid w:val="00F650D5"/>
    <w:rsid w:val="00F6511F"/>
    <w:rsid w:val="00F65146"/>
    <w:rsid w:val="00F651D7"/>
    <w:rsid w:val="00F6526A"/>
    <w:rsid w:val="00F654FC"/>
    <w:rsid w:val="00F65647"/>
    <w:rsid w:val="00F65C33"/>
    <w:rsid w:val="00F65D67"/>
    <w:rsid w:val="00F65FB7"/>
    <w:rsid w:val="00F660FD"/>
    <w:rsid w:val="00F66200"/>
    <w:rsid w:val="00F666FA"/>
    <w:rsid w:val="00F6684A"/>
    <w:rsid w:val="00F6686D"/>
    <w:rsid w:val="00F66A52"/>
    <w:rsid w:val="00F66F19"/>
    <w:rsid w:val="00F6704D"/>
    <w:rsid w:val="00F67432"/>
    <w:rsid w:val="00F67552"/>
    <w:rsid w:val="00F67812"/>
    <w:rsid w:val="00F67863"/>
    <w:rsid w:val="00F67E2C"/>
    <w:rsid w:val="00F67FC4"/>
    <w:rsid w:val="00F7000C"/>
    <w:rsid w:val="00F700E9"/>
    <w:rsid w:val="00F701E5"/>
    <w:rsid w:val="00F70602"/>
    <w:rsid w:val="00F70739"/>
    <w:rsid w:val="00F708B6"/>
    <w:rsid w:val="00F708BC"/>
    <w:rsid w:val="00F70E1D"/>
    <w:rsid w:val="00F70FB9"/>
    <w:rsid w:val="00F70FFE"/>
    <w:rsid w:val="00F710EF"/>
    <w:rsid w:val="00F719B9"/>
    <w:rsid w:val="00F71AFF"/>
    <w:rsid w:val="00F71E52"/>
    <w:rsid w:val="00F7224F"/>
    <w:rsid w:val="00F72490"/>
    <w:rsid w:val="00F72554"/>
    <w:rsid w:val="00F7289C"/>
    <w:rsid w:val="00F72AF6"/>
    <w:rsid w:val="00F72C03"/>
    <w:rsid w:val="00F72C6C"/>
    <w:rsid w:val="00F72D50"/>
    <w:rsid w:val="00F72DF8"/>
    <w:rsid w:val="00F730E5"/>
    <w:rsid w:val="00F73404"/>
    <w:rsid w:val="00F7373C"/>
    <w:rsid w:val="00F73C88"/>
    <w:rsid w:val="00F73F3A"/>
    <w:rsid w:val="00F740B6"/>
    <w:rsid w:val="00F74299"/>
    <w:rsid w:val="00F7451D"/>
    <w:rsid w:val="00F74880"/>
    <w:rsid w:val="00F748A9"/>
    <w:rsid w:val="00F74A24"/>
    <w:rsid w:val="00F74BAD"/>
    <w:rsid w:val="00F74BB3"/>
    <w:rsid w:val="00F74D4A"/>
    <w:rsid w:val="00F7504D"/>
    <w:rsid w:val="00F75170"/>
    <w:rsid w:val="00F75191"/>
    <w:rsid w:val="00F752B0"/>
    <w:rsid w:val="00F75311"/>
    <w:rsid w:val="00F75463"/>
    <w:rsid w:val="00F7553A"/>
    <w:rsid w:val="00F75A41"/>
    <w:rsid w:val="00F75D8B"/>
    <w:rsid w:val="00F76049"/>
    <w:rsid w:val="00F7617B"/>
    <w:rsid w:val="00F76549"/>
    <w:rsid w:val="00F767D7"/>
    <w:rsid w:val="00F769FD"/>
    <w:rsid w:val="00F7722C"/>
    <w:rsid w:val="00F77237"/>
    <w:rsid w:val="00F7776B"/>
    <w:rsid w:val="00F77826"/>
    <w:rsid w:val="00F7789B"/>
    <w:rsid w:val="00F77ADB"/>
    <w:rsid w:val="00F803A0"/>
    <w:rsid w:val="00F8069D"/>
    <w:rsid w:val="00F80A0F"/>
    <w:rsid w:val="00F80FC1"/>
    <w:rsid w:val="00F816AB"/>
    <w:rsid w:val="00F818F1"/>
    <w:rsid w:val="00F81A42"/>
    <w:rsid w:val="00F81ACE"/>
    <w:rsid w:val="00F81B19"/>
    <w:rsid w:val="00F81D54"/>
    <w:rsid w:val="00F8229D"/>
    <w:rsid w:val="00F822F1"/>
    <w:rsid w:val="00F82370"/>
    <w:rsid w:val="00F82534"/>
    <w:rsid w:val="00F8273E"/>
    <w:rsid w:val="00F8289B"/>
    <w:rsid w:val="00F82960"/>
    <w:rsid w:val="00F82CCB"/>
    <w:rsid w:val="00F835A3"/>
    <w:rsid w:val="00F837DF"/>
    <w:rsid w:val="00F839E7"/>
    <w:rsid w:val="00F83AFC"/>
    <w:rsid w:val="00F8432F"/>
    <w:rsid w:val="00F8438B"/>
    <w:rsid w:val="00F844CD"/>
    <w:rsid w:val="00F8466A"/>
    <w:rsid w:val="00F847BE"/>
    <w:rsid w:val="00F847DA"/>
    <w:rsid w:val="00F84C86"/>
    <w:rsid w:val="00F84DD4"/>
    <w:rsid w:val="00F84E4A"/>
    <w:rsid w:val="00F84FB8"/>
    <w:rsid w:val="00F85177"/>
    <w:rsid w:val="00F85307"/>
    <w:rsid w:val="00F8538C"/>
    <w:rsid w:val="00F854BA"/>
    <w:rsid w:val="00F857A6"/>
    <w:rsid w:val="00F85951"/>
    <w:rsid w:val="00F8598C"/>
    <w:rsid w:val="00F85FC9"/>
    <w:rsid w:val="00F86186"/>
    <w:rsid w:val="00F8631C"/>
    <w:rsid w:val="00F86A25"/>
    <w:rsid w:val="00F86A33"/>
    <w:rsid w:val="00F86B3D"/>
    <w:rsid w:val="00F87197"/>
    <w:rsid w:val="00F871A5"/>
    <w:rsid w:val="00F8727E"/>
    <w:rsid w:val="00F87283"/>
    <w:rsid w:val="00F872D9"/>
    <w:rsid w:val="00F8734B"/>
    <w:rsid w:val="00F87599"/>
    <w:rsid w:val="00F876F2"/>
    <w:rsid w:val="00F8775E"/>
    <w:rsid w:val="00F8785C"/>
    <w:rsid w:val="00F87B8B"/>
    <w:rsid w:val="00F90292"/>
    <w:rsid w:val="00F90329"/>
    <w:rsid w:val="00F9066F"/>
    <w:rsid w:val="00F906D6"/>
    <w:rsid w:val="00F907EF"/>
    <w:rsid w:val="00F907F3"/>
    <w:rsid w:val="00F911D5"/>
    <w:rsid w:val="00F9130B"/>
    <w:rsid w:val="00F91721"/>
    <w:rsid w:val="00F91754"/>
    <w:rsid w:val="00F91781"/>
    <w:rsid w:val="00F919F8"/>
    <w:rsid w:val="00F91AE3"/>
    <w:rsid w:val="00F91BE0"/>
    <w:rsid w:val="00F91CC9"/>
    <w:rsid w:val="00F91E1E"/>
    <w:rsid w:val="00F91E37"/>
    <w:rsid w:val="00F92454"/>
    <w:rsid w:val="00F92662"/>
    <w:rsid w:val="00F92813"/>
    <w:rsid w:val="00F92C05"/>
    <w:rsid w:val="00F92C54"/>
    <w:rsid w:val="00F93226"/>
    <w:rsid w:val="00F93360"/>
    <w:rsid w:val="00F93399"/>
    <w:rsid w:val="00F939E4"/>
    <w:rsid w:val="00F93AB0"/>
    <w:rsid w:val="00F93AE0"/>
    <w:rsid w:val="00F93FCD"/>
    <w:rsid w:val="00F942C3"/>
    <w:rsid w:val="00F944E3"/>
    <w:rsid w:val="00F9495C"/>
    <w:rsid w:val="00F94C63"/>
    <w:rsid w:val="00F94C7A"/>
    <w:rsid w:val="00F95111"/>
    <w:rsid w:val="00F95662"/>
    <w:rsid w:val="00F95A01"/>
    <w:rsid w:val="00F95A04"/>
    <w:rsid w:val="00F95BE5"/>
    <w:rsid w:val="00F95CA7"/>
    <w:rsid w:val="00F95CD6"/>
    <w:rsid w:val="00F95E61"/>
    <w:rsid w:val="00F95FE9"/>
    <w:rsid w:val="00F9655F"/>
    <w:rsid w:val="00F96AA4"/>
    <w:rsid w:val="00F96B72"/>
    <w:rsid w:val="00F97010"/>
    <w:rsid w:val="00F9709A"/>
    <w:rsid w:val="00F9718F"/>
    <w:rsid w:val="00F975FB"/>
    <w:rsid w:val="00F97673"/>
    <w:rsid w:val="00F97694"/>
    <w:rsid w:val="00F976FA"/>
    <w:rsid w:val="00F9785C"/>
    <w:rsid w:val="00F9794D"/>
    <w:rsid w:val="00F97985"/>
    <w:rsid w:val="00F97D06"/>
    <w:rsid w:val="00FA012C"/>
    <w:rsid w:val="00FA0141"/>
    <w:rsid w:val="00FA01DD"/>
    <w:rsid w:val="00FA03D5"/>
    <w:rsid w:val="00FA0770"/>
    <w:rsid w:val="00FA0979"/>
    <w:rsid w:val="00FA09D7"/>
    <w:rsid w:val="00FA0CA4"/>
    <w:rsid w:val="00FA0DD4"/>
    <w:rsid w:val="00FA1011"/>
    <w:rsid w:val="00FA161B"/>
    <w:rsid w:val="00FA1674"/>
    <w:rsid w:val="00FA17E7"/>
    <w:rsid w:val="00FA1C1E"/>
    <w:rsid w:val="00FA21C7"/>
    <w:rsid w:val="00FA23BC"/>
    <w:rsid w:val="00FA23BE"/>
    <w:rsid w:val="00FA28EF"/>
    <w:rsid w:val="00FA3086"/>
    <w:rsid w:val="00FA310F"/>
    <w:rsid w:val="00FA33FB"/>
    <w:rsid w:val="00FA3496"/>
    <w:rsid w:val="00FA35D9"/>
    <w:rsid w:val="00FA3699"/>
    <w:rsid w:val="00FA37D5"/>
    <w:rsid w:val="00FA3811"/>
    <w:rsid w:val="00FA3986"/>
    <w:rsid w:val="00FA39E4"/>
    <w:rsid w:val="00FA3C03"/>
    <w:rsid w:val="00FA3CEC"/>
    <w:rsid w:val="00FA3EC5"/>
    <w:rsid w:val="00FA3F54"/>
    <w:rsid w:val="00FA4158"/>
    <w:rsid w:val="00FA4191"/>
    <w:rsid w:val="00FA4197"/>
    <w:rsid w:val="00FA4206"/>
    <w:rsid w:val="00FA420E"/>
    <w:rsid w:val="00FA4234"/>
    <w:rsid w:val="00FA42B8"/>
    <w:rsid w:val="00FA4A04"/>
    <w:rsid w:val="00FA5043"/>
    <w:rsid w:val="00FA58D4"/>
    <w:rsid w:val="00FA5BE3"/>
    <w:rsid w:val="00FA5C74"/>
    <w:rsid w:val="00FA5D64"/>
    <w:rsid w:val="00FA5DDA"/>
    <w:rsid w:val="00FA5E18"/>
    <w:rsid w:val="00FA5F71"/>
    <w:rsid w:val="00FA6192"/>
    <w:rsid w:val="00FA61B2"/>
    <w:rsid w:val="00FA6583"/>
    <w:rsid w:val="00FA663E"/>
    <w:rsid w:val="00FA6974"/>
    <w:rsid w:val="00FA6BAC"/>
    <w:rsid w:val="00FA6D0F"/>
    <w:rsid w:val="00FA6DA2"/>
    <w:rsid w:val="00FA6E21"/>
    <w:rsid w:val="00FA6F74"/>
    <w:rsid w:val="00FA703A"/>
    <w:rsid w:val="00FA723A"/>
    <w:rsid w:val="00FA72C5"/>
    <w:rsid w:val="00FA77BF"/>
    <w:rsid w:val="00FA7E01"/>
    <w:rsid w:val="00FA7FFC"/>
    <w:rsid w:val="00FB007B"/>
    <w:rsid w:val="00FB052E"/>
    <w:rsid w:val="00FB0731"/>
    <w:rsid w:val="00FB0817"/>
    <w:rsid w:val="00FB092E"/>
    <w:rsid w:val="00FB0A50"/>
    <w:rsid w:val="00FB0D3C"/>
    <w:rsid w:val="00FB0D5C"/>
    <w:rsid w:val="00FB0EF5"/>
    <w:rsid w:val="00FB0F7E"/>
    <w:rsid w:val="00FB144E"/>
    <w:rsid w:val="00FB15CB"/>
    <w:rsid w:val="00FB1752"/>
    <w:rsid w:val="00FB19A2"/>
    <w:rsid w:val="00FB1B60"/>
    <w:rsid w:val="00FB1B93"/>
    <w:rsid w:val="00FB1D97"/>
    <w:rsid w:val="00FB1EA3"/>
    <w:rsid w:val="00FB206F"/>
    <w:rsid w:val="00FB24FA"/>
    <w:rsid w:val="00FB25C7"/>
    <w:rsid w:val="00FB2894"/>
    <w:rsid w:val="00FB29D7"/>
    <w:rsid w:val="00FB3432"/>
    <w:rsid w:val="00FB36CA"/>
    <w:rsid w:val="00FB38BC"/>
    <w:rsid w:val="00FB38D7"/>
    <w:rsid w:val="00FB38E6"/>
    <w:rsid w:val="00FB39F9"/>
    <w:rsid w:val="00FB3A28"/>
    <w:rsid w:val="00FB3CA6"/>
    <w:rsid w:val="00FB3D63"/>
    <w:rsid w:val="00FB3F56"/>
    <w:rsid w:val="00FB3F86"/>
    <w:rsid w:val="00FB4075"/>
    <w:rsid w:val="00FB46F5"/>
    <w:rsid w:val="00FB48AB"/>
    <w:rsid w:val="00FB4A6D"/>
    <w:rsid w:val="00FB4EFA"/>
    <w:rsid w:val="00FB5292"/>
    <w:rsid w:val="00FB5462"/>
    <w:rsid w:val="00FB55D1"/>
    <w:rsid w:val="00FB55E9"/>
    <w:rsid w:val="00FB5749"/>
    <w:rsid w:val="00FB578A"/>
    <w:rsid w:val="00FB5C0A"/>
    <w:rsid w:val="00FB5C69"/>
    <w:rsid w:val="00FB5E83"/>
    <w:rsid w:val="00FB6509"/>
    <w:rsid w:val="00FB6623"/>
    <w:rsid w:val="00FB6734"/>
    <w:rsid w:val="00FB68E0"/>
    <w:rsid w:val="00FB692C"/>
    <w:rsid w:val="00FB6B3D"/>
    <w:rsid w:val="00FB6C54"/>
    <w:rsid w:val="00FB6D44"/>
    <w:rsid w:val="00FB6DD1"/>
    <w:rsid w:val="00FB6E10"/>
    <w:rsid w:val="00FB7105"/>
    <w:rsid w:val="00FB7202"/>
    <w:rsid w:val="00FB73C2"/>
    <w:rsid w:val="00FB7861"/>
    <w:rsid w:val="00FB7C5B"/>
    <w:rsid w:val="00FB7C61"/>
    <w:rsid w:val="00FB7D12"/>
    <w:rsid w:val="00FC003A"/>
    <w:rsid w:val="00FC0535"/>
    <w:rsid w:val="00FC0796"/>
    <w:rsid w:val="00FC0965"/>
    <w:rsid w:val="00FC09A1"/>
    <w:rsid w:val="00FC09E5"/>
    <w:rsid w:val="00FC0EFD"/>
    <w:rsid w:val="00FC1348"/>
    <w:rsid w:val="00FC163C"/>
    <w:rsid w:val="00FC1CD5"/>
    <w:rsid w:val="00FC1D55"/>
    <w:rsid w:val="00FC2214"/>
    <w:rsid w:val="00FC2652"/>
    <w:rsid w:val="00FC268D"/>
    <w:rsid w:val="00FC26DC"/>
    <w:rsid w:val="00FC2812"/>
    <w:rsid w:val="00FC2A8B"/>
    <w:rsid w:val="00FC2AA6"/>
    <w:rsid w:val="00FC2B10"/>
    <w:rsid w:val="00FC2B17"/>
    <w:rsid w:val="00FC2CAD"/>
    <w:rsid w:val="00FC2E75"/>
    <w:rsid w:val="00FC2EAA"/>
    <w:rsid w:val="00FC2F14"/>
    <w:rsid w:val="00FC3033"/>
    <w:rsid w:val="00FC30C7"/>
    <w:rsid w:val="00FC31ED"/>
    <w:rsid w:val="00FC32D4"/>
    <w:rsid w:val="00FC339B"/>
    <w:rsid w:val="00FC34D5"/>
    <w:rsid w:val="00FC3537"/>
    <w:rsid w:val="00FC35DA"/>
    <w:rsid w:val="00FC3655"/>
    <w:rsid w:val="00FC398D"/>
    <w:rsid w:val="00FC3AE2"/>
    <w:rsid w:val="00FC3B99"/>
    <w:rsid w:val="00FC3F59"/>
    <w:rsid w:val="00FC4051"/>
    <w:rsid w:val="00FC429D"/>
    <w:rsid w:val="00FC43A9"/>
    <w:rsid w:val="00FC4502"/>
    <w:rsid w:val="00FC4C96"/>
    <w:rsid w:val="00FC4D3E"/>
    <w:rsid w:val="00FC4E78"/>
    <w:rsid w:val="00FC51A3"/>
    <w:rsid w:val="00FC56EC"/>
    <w:rsid w:val="00FC58B3"/>
    <w:rsid w:val="00FC5A1B"/>
    <w:rsid w:val="00FC5AC1"/>
    <w:rsid w:val="00FC5B07"/>
    <w:rsid w:val="00FC5B45"/>
    <w:rsid w:val="00FC5C6C"/>
    <w:rsid w:val="00FC611A"/>
    <w:rsid w:val="00FC6170"/>
    <w:rsid w:val="00FC6214"/>
    <w:rsid w:val="00FC6561"/>
    <w:rsid w:val="00FC6570"/>
    <w:rsid w:val="00FC661B"/>
    <w:rsid w:val="00FC67D6"/>
    <w:rsid w:val="00FC6B4C"/>
    <w:rsid w:val="00FC6E0A"/>
    <w:rsid w:val="00FC701D"/>
    <w:rsid w:val="00FC725D"/>
    <w:rsid w:val="00FC748C"/>
    <w:rsid w:val="00FC7643"/>
    <w:rsid w:val="00FC76FA"/>
    <w:rsid w:val="00FC7A91"/>
    <w:rsid w:val="00FC7B36"/>
    <w:rsid w:val="00FC7BB7"/>
    <w:rsid w:val="00FC7DC8"/>
    <w:rsid w:val="00FC7F3D"/>
    <w:rsid w:val="00FC7F40"/>
    <w:rsid w:val="00FC7FF7"/>
    <w:rsid w:val="00FD047B"/>
    <w:rsid w:val="00FD04F1"/>
    <w:rsid w:val="00FD0DB0"/>
    <w:rsid w:val="00FD131C"/>
    <w:rsid w:val="00FD1700"/>
    <w:rsid w:val="00FD182C"/>
    <w:rsid w:val="00FD1C56"/>
    <w:rsid w:val="00FD1C7A"/>
    <w:rsid w:val="00FD1CFE"/>
    <w:rsid w:val="00FD1D2A"/>
    <w:rsid w:val="00FD1FEA"/>
    <w:rsid w:val="00FD2436"/>
    <w:rsid w:val="00FD257A"/>
    <w:rsid w:val="00FD27DD"/>
    <w:rsid w:val="00FD2816"/>
    <w:rsid w:val="00FD28E8"/>
    <w:rsid w:val="00FD2913"/>
    <w:rsid w:val="00FD2BC7"/>
    <w:rsid w:val="00FD2C51"/>
    <w:rsid w:val="00FD2D19"/>
    <w:rsid w:val="00FD2D69"/>
    <w:rsid w:val="00FD2E0F"/>
    <w:rsid w:val="00FD2E52"/>
    <w:rsid w:val="00FD2F02"/>
    <w:rsid w:val="00FD2F13"/>
    <w:rsid w:val="00FD2FCC"/>
    <w:rsid w:val="00FD3026"/>
    <w:rsid w:val="00FD33F2"/>
    <w:rsid w:val="00FD351B"/>
    <w:rsid w:val="00FD35B4"/>
    <w:rsid w:val="00FD365A"/>
    <w:rsid w:val="00FD371C"/>
    <w:rsid w:val="00FD3A0E"/>
    <w:rsid w:val="00FD3B38"/>
    <w:rsid w:val="00FD41E3"/>
    <w:rsid w:val="00FD4657"/>
    <w:rsid w:val="00FD476E"/>
    <w:rsid w:val="00FD48F0"/>
    <w:rsid w:val="00FD4966"/>
    <w:rsid w:val="00FD4B8A"/>
    <w:rsid w:val="00FD4F47"/>
    <w:rsid w:val="00FD4FA6"/>
    <w:rsid w:val="00FD4FFA"/>
    <w:rsid w:val="00FD5044"/>
    <w:rsid w:val="00FD52E1"/>
    <w:rsid w:val="00FD5850"/>
    <w:rsid w:val="00FD5B71"/>
    <w:rsid w:val="00FD5D26"/>
    <w:rsid w:val="00FD5FF1"/>
    <w:rsid w:val="00FD639B"/>
    <w:rsid w:val="00FD639C"/>
    <w:rsid w:val="00FD64E3"/>
    <w:rsid w:val="00FD6684"/>
    <w:rsid w:val="00FD6824"/>
    <w:rsid w:val="00FD69D3"/>
    <w:rsid w:val="00FD6CC5"/>
    <w:rsid w:val="00FD70FC"/>
    <w:rsid w:val="00FD7170"/>
    <w:rsid w:val="00FD7277"/>
    <w:rsid w:val="00FD72E7"/>
    <w:rsid w:val="00FD73A2"/>
    <w:rsid w:val="00FD7AF5"/>
    <w:rsid w:val="00FD7B12"/>
    <w:rsid w:val="00FD7B72"/>
    <w:rsid w:val="00FD7DE1"/>
    <w:rsid w:val="00FE01F9"/>
    <w:rsid w:val="00FE0515"/>
    <w:rsid w:val="00FE07A9"/>
    <w:rsid w:val="00FE0864"/>
    <w:rsid w:val="00FE0B9C"/>
    <w:rsid w:val="00FE0EA7"/>
    <w:rsid w:val="00FE1294"/>
    <w:rsid w:val="00FE1436"/>
    <w:rsid w:val="00FE192A"/>
    <w:rsid w:val="00FE1A7B"/>
    <w:rsid w:val="00FE1C68"/>
    <w:rsid w:val="00FE1D13"/>
    <w:rsid w:val="00FE2070"/>
    <w:rsid w:val="00FE23B9"/>
    <w:rsid w:val="00FE2420"/>
    <w:rsid w:val="00FE243B"/>
    <w:rsid w:val="00FE266E"/>
    <w:rsid w:val="00FE2703"/>
    <w:rsid w:val="00FE2720"/>
    <w:rsid w:val="00FE27EE"/>
    <w:rsid w:val="00FE2A26"/>
    <w:rsid w:val="00FE2CB6"/>
    <w:rsid w:val="00FE2F74"/>
    <w:rsid w:val="00FE302E"/>
    <w:rsid w:val="00FE333A"/>
    <w:rsid w:val="00FE33CD"/>
    <w:rsid w:val="00FE36F5"/>
    <w:rsid w:val="00FE37FD"/>
    <w:rsid w:val="00FE3C4E"/>
    <w:rsid w:val="00FE3D58"/>
    <w:rsid w:val="00FE3EA6"/>
    <w:rsid w:val="00FE4447"/>
    <w:rsid w:val="00FE45D0"/>
    <w:rsid w:val="00FE45FB"/>
    <w:rsid w:val="00FE4654"/>
    <w:rsid w:val="00FE46AB"/>
    <w:rsid w:val="00FE4755"/>
    <w:rsid w:val="00FE4AAA"/>
    <w:rsid w:val="00FE4B6F"/>
    <w:rsid w:val="00FE4BBE"/>
    <w:rsid w:val="00FE4BDF"/>
    <w:rsid w:val="00FE4D0F"/>
    <w:rsid w:val="00FE4EBD"/>
    <w:rsid w:val="00FE510D"/>
    <w:rsid w:val="00FE513F"/>
    <w:rsid w:val="00FE5244"/>
    <w:rsid w:val="00FE5408"/>
    <w:rsid w:val="00FE57A1"/>
    <w:rsid w:val="00FE57EB"/>
    <w:rsid w:val="00FE5823"/>
    <w:rsid w:val="00FE5C24"/>
    <w:rsid w:val="00FE5EF4"/>
    <w:rsid w:val="00FE5F59"/>
    <w:rsid w:val="00FE62B5"/>
    <w:rsid w:val="00FE6488"/>
    <w:rsid w:val="00FE64A7"/>
    <w:rsid w:val="00FE65C1"/>
    <w:rsid w:val="00FE6601"/>
    <w:rsid w:val="00FE6BDF"/>
    <w:rsid w:val="00FE6E08"/>
    <w:rsid w:val="00FE6E47"/>
    <w:rsid w:val="00FE6ED4"/>
    <w:rsid w:val="00FE72AB"/>
    <w:rsid w:val="00FE730C"/>
    <w:rsid w:val="00FE74B3"/>
    <w:rsid w:val="00FE75E5"/>
    <w:rsid w:val="00FE7BC6"/>
    <w:rsid w:val="00FE7EA3"/>
    <w:rsid w:val="00FE7EC0"/>
    <w:rsid w:val="00FF00D1"/>
    <w:rsid w:val="00FF0168"/>
    <w:rsid w:val="00FF016C"/>
    <w:rsid w:val="00FF07D0"/>
    <w:rsid w:val="00FF08FB"/>
    <w:rsid w:val="00FF1221"/>
    <w:rsid w:val="00FF12AF"/>
    <w:rsid w:val="00FF13D5"/>
    <w:rsid w:val="00FF1558"/>
    <w:rsid w:val="00FF1653"/>
    <w:rsid w:val="00FF16BC"/>
    <w:rsid w:val="00FF1976"/>
    <w:rsid w:val="00FF1C9A"/>
    <w:rsid w:val="00FF1CEA"/>
    <w:rsid w:val="00FF1D67"/>
    <w:rsid w:val="00FF1E3F"/>
    <w:rsid w:val="00FF214C"/>
    <w:rsid w:val="00FF2400"/>
    <w:rsid w:val="00FF2616"/>
    <w:rsid w:val="00FF2667"/>
    <w:rsid w:val="00FF26AC"/>
    <w:rsid w:val="00FF26BF"/>
    <w:rsid w:val="00FF26CF"/>
    <w:rsid w:val="00FF2B5F"/>
    <w:rsid w:val="00FF3050"/>
    <w:rsid w:val="00FF3195"/>
    <w:rsid w:val="00FF31BA"/>
    <w:rsid w:val="00FF31C9"/>
    <w:rsid w:val="00FF33D2"/>
    <w:rsid w:val="00FF34E7"/>
    <w:rsid w:val="00FF35A7"/>
    <w:rsid w:val="00FF367F"/>
    <w:rsid w:val="00FF36ED"/>
    <w:rsid w:val="00FF38F7"/>
    <w:rsid w:val="00FF3BAE"/>
    <w:rsid w:val="00FF3CD7"/>
    <w:rsid w:val="00FF4044"/>
    <w:rsid w:val="00FF4642"/>
    <w:rsid w:val="00FF47D8"/>
    <w:rsid w:val="00FF4973"/>
    <w:rsid w:val="00FF49D1"/>
    <w:rsid w:val="00FF4AA7"/>
    <w:rsid w:val="00FF4B6D"/>
    <w:rsid w:val="00FF5237"/>
    <w:rsid w:val="00FF530D"/>
    <w:rsid w:val="00FF5596"/>
    <w:rsid w:val="00FF5973"/>
    <w:rsid w:val="00FF5981"/>
    <w:rsid w:val="00FF5A47"/>
    <w:rsid w:val="00FF5B50"/>
    <w:rsid w:val="00FF5B5D"/>
    <w:rsid w:val="00FF5D94"/>
    <w:rsid w:val="00FF5E53"/>
    <w:rsid w:val="00FF5F32"/>
    <w:rsid w:val="00FF63BB"/>
    <w:rsid w:val="00FF67A2"/>
    <w:rsid w:val="00FF6841"/>
    <w:rsid w:val="00FF6910"/>
    <w:rsid w:val="00FF6D8A"/>
    <w:rsid w:val="00FF6FE5"/>
    <w:rsid w:val="00FF70C5"/>
    <w:rsid w:val="00FF725E"/>
    <w:rsid w:val="00FF754D"/>
    <w:rsid w:val="00FF783B"/>
    <w:rsid w:val="00FF7B57"/>
    <w:rsid w:val="00FF7F81"/>
    <w:rsid w:val="01816DF4"/>
    <w:rsid w:val="026B1E33"/>
    <w:rsid w:val="02994AA5"/>
    <w:rsid w:val="031FDE84"/>
    <w:rsid w:val="032DB6C5"/>
    <w:rsid w:val="03E89C33"/>
    <w:rsid w:val="04F3969D"/>
    <w:rsid w:val="0541479B"/>
    <w:rsid w:val="055541E5"/>
    <w:rsid w:val="074D86AE"/>
    <w:rsid w:val="07E77C19"/>
    <w:rsid w:val="0876AE80"/>
    <w:rsid w:val="08B4E6D9"/>
    <w:rsid w:val="091E598C"/>
    <w:rsid w:val="0A04E36B"/>
    <w:rsid w:val="0A78EF5F"/>
    <w:rsid w:val="0AB5E341"/>
    <w:rsid w:val="0AC6AAFA"/>
    <w:rsid w:val="0AEF9ACC"/>
    <w:rsid w:val="0AF887FB"/>
    <w:rsid w:val="0B8F48D9"/>
    <w:rsid w:val="0BAAC5B2"/>
    <w:rsid w:val="0C041C61"/>
    <w:rsid w:val="0C28337E"/>
    <w:rsid w:val="0CC0CC7D"/>
    <w:rsid w:val="0D12B44F"/>
    <w:rsid w:val="0D7C981B"/>
    <w:rsid w:val="0DBEA78B"/>
    <w:rsid w:val="0DF55A07"/>
    <w:rsid w:val="0E2D3BC3"/>
    <w:rsid w:val="0E2FDCFA"/>
    <w:rsid w:val="0E5CF4CF"/>
    <w:rsid w:val="0E76208A"/>
    <w:rsid w:val="0EFCAFE8"/>
    <w:rsid w:val="0F6434F6"/>
    <w:rsid w:val="0F9AB29A"/>
    <w:rsid w:val="0FFC160F"/>
    <w:rsid w:val="102CE970"/>
    <w:rsid w:val="104325AA"/>
    <w:rsid w:val="10F66B57"/>
    <w:rsid w:val="1123DC6A"/>
    <w:rsid w:val="112DBA8B"/>
    <w:rsid w:val="1144D5EA"/>
    <w:rsid w:val="116EE284"/>
    <w:rsid w:val="1247CF01"/>
    <w:rsid w:val="12E68576"/>
    <w:rsid w:val="1303FE57"/>
    <w:rsid w:val="13C30245"/>
    <w:rsid w:val="13F74C3A"/>
    <w:rsid w:val="144FD82D"/>
    <w:rsid w:val="148E3A68"/>
    <w:rsid w:val="14BC5088"/>
    <w:rsid w:val="1583CC86"/>
    <w:rsid w:val="15966CE6"/>
    <w:rsid w:val="16ECA417"/>
    <w:rsid w:val="175B9A69"/>
    <w:rsid w:val="17D57A6F"/>
    <w:rsid w:val="18C10035"/>
    <w:rsid w:val="18F79230"/>
    <w:rsid w:val="19137E03"/>
    <w:rsid w:val="1AD94EC0"/>
    <w:rsid w:val="1B0CB504"/>
    <w:rsid w:val="1B7F7C36"/>
    <w:rsid w:val="1BAA6405"/>
    <w:rsid w:val="1C0B57A1"/>
    <w:rsid w:val="1CB2A107"/>
    <w:rsid w:val="1DA8A138"/>
    <w:rsid w:val="1E5D22FD"/>
    <w:rsid w:val="1E88A686"/>
    <w:rsid w:val="1E8C2573"/>
    <w:rsid w:val="1E9961F6"/>
    <w:rsid w:val="1F36F568"/>
    <w:rsid w:val="1FA13A7C"/>
    <w:rsid w:val="20C4E4F1"/>
    <w:rsid w:val="20C945A7"/>
    <w:rsid w:val="213DB630"/>
    <w:rsid w:val="222369AA"/>
    <w:rsid w:val="225174D8"/>
    <w:rsid w:val="22C58813"/>
    <w:rsid w:val="22C7C7E0"/>
    <w:rsid w:val="2343C9E2"/>
    <w:rsid w:val="2371FE18"/>
    <w:rsid w:val="23F80C18"/>
    <w:rsid w:val="24C7A617"/>
    <w:rsid w:val="252EDB2A"/>
    <w:rsid w:val="255294DC"/>
    <w:rsid w:val="25908003"/>
    <w:rsid w:val="2590B27E"/>
    <w:rsid w:val="25EDBD83"/>
    <w:rsid w:val="26BE559C"/>
    <w:rsid w:val="2733BE8E"/>
    <w:rsid w:val="27D33D88"/>
    <w:rsid w:val="2944EFCA"/>
    <w:rsid w:val="29993171"/>
    <w:rsid w:val="29CDB5F6"/>
    <w:rsid w:val="2AB6FEAA"/>
    <w:rsid w:val="2AC61187"/>
    <w:rsid w:val="2B588AEB"/>
    <w:rsid w:val="2B7C1623"/>
    <w:rsid w:val="2C1A85BA"/>
    <w:rsid w:val="2C58DBC8"/>
    <w:rsid w:val="2CF7981C"/>
    <w:rsid w:val="2D39BB9E"/>
    <w:rsid w:val="2D7060F2"/>
    <w:rsid w:val="2DF8951B"/>
    <w:rsid w:val="2EE967FB"/>
    <w:rsid w:val="2EFE3C77"/>
    <w:rsid w:val="30487E51"/>
    <w:rsid w:val="30CE0852"/>
    <w:rsid w:val="30E5C4C3"/>
    <w:rsid w:val="30FC8F40"/>
    <w:rsid w:val="31469167"/>
    <w:rsid w:val="3246E374"/>
    <w:rsid w:val="3303931E"/>
    <w:rsid w:val="34C2BADA"/>
    <w:rsid w:val="34D08462"/>
    <w:rsid w:val="35D16BF0"/>
    <w:rsid w:val="367C6618"/>
    <w:rsid w:val="36E06752"/>
    <w:rsid w:val="378B34E9"/>
    <w:rsid w:val="37F5FE69"/>
    <w:rsid w:val="38517DB0"/>
    <w:rsid w:val="3852B738"/>
    <w:rsid w:val="38904A41"/>
    <w:rsid w:val="3954506B"/>
    <w:rsid w:val="3B2B12C4"/>
    <w:rsid w:val="3BED6E5D"/>
    <w:rsid w:val="3C76A14A"/>
    <w:rsid w:val="3DA71EBC"/>
    <w:rsid w:val="3DFDABE0"/>
    <w:rsid w:val="3E20AF0A"/>
    <w:rsid w:val="3E557461"/>
    <w:rsid w:val="3E7DF014"/>
    <w:rsid w:val="3F234757"/>
    <w:rsid w:val="3F2FCB19"/>
    <w:rsid w:val="3F56FE8A"/>
    <w:rsid w:val="3FAAA65C"/>
    <w:rsid w:val="3FAAF616"/>
    <w:rsid w:val="3FC9F819"/>
    <w:rsid w:val="401AA16E"/>
    <w:rsid w:val="40267EEA"/>
    <w:rsid w:val="404C56C4"/>
    <w:rsid w:val="407C10E6"/>
    <w:rsid w:val="40A98D57"/>
    <w:rsid w:val="40F75063"/>
    <w:rsid w:val="413BBB57"/>
    <w:rsid w:val="41629280"/>
    <w:rsid w:val="41910E0E"/>
    <w:rsid w:val="419B6F9A"/>
    <w:rsid w:val="41AEE4AB"/>
    <w:rsid w:val="41D1AD63"/>
    <w:rsid w:val="42460494"/>
    <w:rsid w:val="42D61C8E"/>
    <w:rsid w:val="43095FC0"/>
    <w:rsid w:val="4347CAEA"/>
    <w:rsid w:val="43519408"/>
    <w:rsid w:val="437DFD52"/>
    <w:rsid w:val="452C73E8"/>
    <w:rsid w:val="45AA1485"/>
    <w:rsid w:val="45C564B1"/>
    <w:rsid w:val="45DB5E10"/>
    <w:rsid w:val="4602AEC3"/>
    <w:rsid w:val="46113C2F"/>
    <w:rsid w:val="4621CA72"/>
    <w:rsid w:val="46C505CD"/>
    <w:rsid w:val="47036BCA"/>
    <w:rsid w:val="483C360D"/>
    <w:rsid w:val="483FCDFC"/>
    <w:rsid w:val="48C5A2F1"/>
    <w:rsid w:val="4901EB4F"/>
    <w:rsid w:val="4952A2A5"/>
    <w:rsid w:val="496EB759"/>
    <w:rsid w:val="4A093089"/>
    <w:rsid w:val="4AA04BC0"/>
    <w:rsid w:val="4AA98774"/>
    <w:rsid w:val="4AF71D33"/>
    <w:rsid w:val="4B0D232D"/>
    <w:rsid w:val="4B11F670"/>
    <w:rsid w:val="4BB8049B"/>
    <w:rsid w:val="4BEF6097"/>
    <w:rsid w:val="4C3CD4F4"/>
    <w:rsid w:val="4C6D9E74"/>
    <w:rsid w:val="4CA08EB1"/>
    <w:rsid w:val="4CB0759D"/>
    <w:rsid w:val="4CD070FA"/>
    <w:rsid w:val="4CD47F21"/>
    <w:rsid w:val="4CE79C3B"/>
    <w:rsid w:val="4D7252A5"/>
    <w:rsid w:val="4DB23112"/>
    <w:rsid w:val="4E8055B7"/>
    <w:rsid w:val="4F6B7DD0"/>
    <w:rsid w:val="50984E1D"/>
    <w:rsid w:val="50E2181A"/>
    <w:rsid w:val="5147954F"/>
    <w:rsid w:val="517A0B8A"/>
    <w:rsid w:val="519E9416"/>
    <w:rsid w:val="51B2CAA7"/>
    <w:rsid w:val="51B88F10"/>
    <w:rsid w:val="521348ED"/>
    <w:rsid w:val="52BBB864"/>
    <w:rsid w:val="5302C935"/>
    <w:rsid w:val="53278980"/>
    <w:rsid w:val="534E5C8D"/>
    <w:rsid w:val="547D66D3"/>
    <w:rsid w:val="55111332"/>
    <w:rsid w:val="55982DF8"/>
    <w:rsid w:val="55F5A357"/>
    <w:rsid w:val="56405585"/>
    <w:rsid w:val="5661203B"/>
    <w:rsid w:val="56715F1A"/>
    <w:rsid w:val="567E114D"/>
    <w:rsid w:val="56961916"/>
    <w:rsid w:val="570A7562"/>
    <w:rsid w:val="580B1BA6"/>
    <w:rsid w:val="5870924D"/>
    <w:rsid w:val="58BCDD96"/>
    <w:rsid w:val="58F1F6A2"/>
    <w:rsid w:val="593B0998"/>
    <w:rsid w:val="59521CC1"/>
    <w:rsid w:val="595F0822"/>
    <w:rsid w:val="5995CEE5"/>
    <w:rsid w:val="59D81EBA"/>
    <w:rsid w:val="59E2AF91"/>
    <w:rsid w:val="5A00477A"/>
    <w:rsid w:val="5A495552"/>
    <w:rsid w:val="5A6C5255"/>
    <w:rsid w:val="5A8E2464"/>
    <w:rsid w:val="5ABD1CE8"/>
    <w:rsid w:val="5AD509CB"/>
    <w:rsid w:val="5ADC04F8"/>
    <w:rsid w:val="5AE26E36"/>
    <w:rsid w:val="5B3C1942"/>
    <w:rsid w:val="5BC24F7B"/>
    <w:rsid w:val="5BE03879"/>
    <w:rsid w:val="5C43B8BC"/>
    <w:rsid w:val="5CC5DA12"/>
    <w:rsid w:val="5CC91860"/>
    <w:rsid w:val="5CF478DC"/>
    <w:rsid w:val="5CF9D80F"/>
    <w:rsid w:val="5D0C5774"/>
    <w:rsid w:val="5D0FD5E5"/>
    <w:rsid w:val="5D9BCA1F"/>
    <w:rsid w:val="5DB38398"/>
    <w:rsid w:val="5DCA3BE7"/>
    <w:rsid w:val="5EA96E5A"/>
    <w:rsid w:val="5EAFD1C8"/>
    <w:rsid w:val="5EB428CD"/>
    <w:rsid w:val="5F096B83"/>
    <w:rsid w:val="5F2D1021"/>
    <w:rsid w:val="5FE5F3BF"/>
    <w:rsid w:val="6079CE53"/>
    <w:rsid w:val="60DA049E"/>
    <w:rsid w:val="62606DC0"/>
    <w:rsid w:val="62722ED4"/>
    <w:rsid w:val="632B6464"/>
    <w:rsid w:val="659401D6"/>
    <w:rsid w:val="659C4F8D"/>
    <w:rsid w:val="668232C5"/>
    <w:rsid w:val="671BD267"/>
    <w:rsid w:val="6864B01D"/>
    <w:rsid w:val="690F00C4"/>
    <w:rsid w:val="69178FE8"/>
    <w:rsid w:val="692BE61A"/>
    <w:rsid w:val="697BCDFF"/>
    <w:rsid w:val="6A0AD92B"/>
    <w:rsid w:val="6A1AA224"/>
    <w:rsid w:val="6A44ED15"/>
    <w:rsid w:val="6A983747"/>
    <w:rsid w:val="6B098658"/>
    <w:rsid w:val="6BA0F6DA"/>
    <w:rsid w:val="6BC5C7F8"/>
    <w:rsid w:val="6C3DADD2"/>
    <w:rsid w:val="6CFF0CEF"/>
    <w:rsid w:val="6D2A64E9"/>
    <w:rsid w:val="6E236D6C"/>
    <w:rsid w:val="6E50EC1F"/>
    <w:rsid w:val="6ED36749"/>
    <w:rsid w:val="6F424BA2"/>
    <w:rsid w:val="6F47A37D"/>
    <w:rsid w:val="6F56AE32"/>
    <w:rsid w:val="6F5B91A3"/>
    <w:rsid w:val="703CBA4B"/>
    <w:rsid w:val="705E944B"/>
    <w:rsid w:val="7068473E"/>
    <w:rsid w:val="70B7C846"/>
    <w:rsid w:val="717DE13A"/>
    <w:rsid w:val="71F9D54F"/>
    <w:rsid w:val="71FF3D1C"/>
    <w:rsid w:val="720DA4A0"/>
    <w:rsid w:val="721E14B5"/>
    <w:rsid w:val="726CC7A9"/>
    <w:rsid w:val="7325BE53"/>
    <w:rsid w:val="73305453"/>
    <w:rsid w:val="7397FB75"/>
    <w:rsid w:val="73F330E8"/>
    <w:rsid w:val="74409C2C"/>
    <w:rsid w:val="744A2936"/>
    <w:rsid w:val="7490A6B9"/>
    <w:rsid w:val="74A8FE7F"/>
    <w:rsid w:val="74BBCB06"/>
    <w:rsid w:val="7505C9E2"/>
    <w:rsid w:val="7520CCDC"/>
    <w:rsid w:val="7554BBC5"/>
    <w:rsid w:val="760C4826"/>
    <w:rsid w:val="7611C092"/>
    <w:rsid w:val="761994C9"/>
    <w:rsid w:val="76305BFE"/>
    <w:rsid w:val="7764AF59"/>
    <w:rsid w:val="776561C3"/>
    <w:rsid w:val="7783655D"/>
    <w:rsid w:val="7790BB61"/>
    <w:rsid w:val="77A5D739"/>
    <w:rsid w:val="77ECD6F2"/>
    <w:rsid w:val="78256F19"/>
    <w:rsid w:val="7826DD34"/>
    <w:rsid w:val="78286B9E"/>
    <w:rsid w:val="78965BB1"/>
    <w:rsid w:val="795257AF"/>
    <w:rsid w:val="7A116BF4"/>
    <w:rsid w:val="7A32738A"/>
    <w:rsid w:val="7A78CEAC"/>
    <w:rsid w:val="7ABD8B82"/>
    <w:rsid w:val="7ADA5F15"/>
    <w:rsid w:val="7B366621"/>
    <w:rsid w:val="7B96684F"/>
    <w:rsid w:val="7BD6FE88"/>
    <w:rsid w:val="7C69C738"/>
    <w:rsid w:val="7CCE346B"/>
    <w:rsid w:val="7D2DE183"/>
    <w:rsid w:val="7D7977D7"/>
    <w:rsid w:val="7DDFA2F3"/>
    <w:rsid w:val="7E915C7F"/>
    <w:rsid w:val="7ED25BEF"/>
    <w:rsid w:val="7EF987FA"/>
    <w:rsid w:val="7F7E65AC"/>
    <w:rsid w:val="7FD7F928"/>
    <w:rsid w:val="7FF2F93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58F8D40"/>
  <w15:chartTrackingRefBased/>
  <w15:docId w15:val="{37BBC272-A0E6-4002-8493-7ED35BD30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0CE5"/>
  </w:style>
  <w:style w:type="paragraph" w:styleId="Heading1">
    <w:name w:val="heading 1"/>
    <w:aliases w:val="Titre Chapitre,Chapitre"/>
    <w:basedOn w:val="Normal"/>
    <w:next w:val="Text1"/>
    <w:link w:val="Heading1Char"/>
    <w:uiPriority w:val="9"/>
    <w:qFormat/>
    <w:rsid w:val="006A41D9"/>
    <w:pPr>
      <w:keepNext/>
      <w:tabs>
        <w:tab w:val="num" w:pos="850"/>
      </w:tabs>
      <w:spacing w:before="360" w:after="120" w:line="240" w:lineRule="auto"/>
      <w:ind w:left="850" w:hanging="850"/>
      <w:jc w:val="both"/>
      <w:outlineLvl w:val="0"/>
    </w:pPr>
    <w:rPr>
      <w:rFonts w:ascii="Times New Roman" w:eastAsiaTheme="majorEastAsia" w:hAnsi="Times New Roman" w:cs="Times New Roman"/>
      <w:b/>
      <w:bCs/>
      <w:smallCaps/>
      <w:sz w:val="24"/>
      <w:szCs w:val="28"/>
    </w:rPr>
  </w:style>
  <w:style w:type="paragraph" w:styleId="Heading2">
    <w:name w:val="heading 2"/>
    <w:aliases w:val="Justification"/>
    <w:basedOn w:val="Normal"/>
    <w:next w:val="Text1"/>
    <w:link w:val="Heading2Char"/>
    <w:uiPriority w:val="9"/>
    <w:unhideWhenUsed/>
    <w:qFormat/>
    <w:rsid w:val="006A41D9"/>
    <w:pPr>
      <w:keepNext/>
      <w:tabs>
        <w:tab w:val="num" w:pos="850"/>
      </w:tabs>
      <w:spacing w:before="120" w:after="120" w:line="240" w:lineRule="auto"/>
      <w:ind w:left="850" w:hanging="850"/>
      <w:jc w:val="both"/>
      <w:outlineLvl w:val="1"/>
    </w:pPr>
    <w:rPr>
      <w:rFonts w:ascii="Times New Roman" w:eastAsiaTheme="majorEastAsia" w:hAnsi="Times New Roman" w:cs="Times New Roman"/>
      <w:b/>
      <w:bCs/>
      <w:sz w:val="24"/>
      <w:szCs w:val="26"/>
    </w:rPr>
  </w:style>
  <w:style w:type="paragraph" w:styleId="Heading3">
    <w:name w:val="heading 3"/>
    <w:basedOn w:val="Normal"/>
    <w:next w:val="Text1"/>
    <w:link w:val="Heading3Char"/>
    <w:uiPriority w:val="9"/>
    <w:unhideWhenUsed/>
    <w:qFormat/>
    <w:rsid w:val="006A41D9"/>
    <w:pPr>
      <w:keepNext/>
      <w:tabs>
        <w:tab w:val="num" w:pos="850"/>
      </w:tabs>
      <w:spacing w:before="120" w:after="120" w:line="240" w:lineRule="auto"/>
      <w:ind w:left="850" w:hanging="850"/>
      <w:jc w:val="both"/>
      <w:outlineLvl w:val="2"/>
    </w:pPr>
    <w:rPr>
      <w:rFonts w:ascii="Times New Roman" w:eastAsiaTheme="majorEastAsia" w:hAnsi="Times New Roman" w:cs="Times New Roman"/>
      <w:bCs/>
      <w:i/>
      <w:sz w:val="24"/>
    </w:rPr>
  </w:style>
  <w:style w:type="paragraph" w:styleId="Heading4">
    <w:name w:val="heading 4"/>
    <w:basedOn w:val="Normal"/>
    <w:next w:val="Text1"/>
    <w:link w:val="Heading4Char"/>
    <w:uiPriority w:val="9"/>
    <w:unhideWhenUsed/>
    <w:qFormat/>
    <w:rsid w:val="006A41D9"/>
    <w:pPr>
      <w:keepNext/>
      <w:tabs>
        <w:tab w:val="num" w:pos="850"/>
      </w:tabs>
      <w:spacing w:before="120" w:after="120" w:line="240" w:lineRule="auto"/>
      <w:ind w:left="850" w:hanging="850"/>
      <w:jc w:val="both"/>
      <w:outlineLvl w:val="3"/>
    </w:pPr>
    <w:rPr>
      <w:rFonts w:ascii="Times New Roman" w:eastAsiaTheme="majorEastAsia" w:hAnsi="Times New Roman" w:cs="Times New Roman"/>
      <w:bCs/>
      <w:iCs/>
      <w:sz w:val="24"/>
    </w:rPr>
  </w:style>
  <w:style w:type="paragraph" w:styleId="Heading5">
    <w:name w:val="heading 5"/>
    <w:basedOn w:val="Normal"/>
    <w:next w:val="Normal"/>
    <w:link w:val="Heading5Char"/>
    <w:uiPriority w:val="9"/>
    <w:unhideWhenUsed/>
    <w:qFormat/>
    <w:rsid w:val="006A41D9"/>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8">
    <w:name w:val="heading 8"/>
    <w:basedOn w:val="Normal"/>
    <w:next w:val="Normal"/>
    <w:link w:val="Heading8Char"/>
    <w:uiPriority w:val="9"/>
    <w:unhideWhenUsed/>
    <w:qFormat/>
    <w:rsid w:val="006A41D9"/>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re Chapitre Char,Chapitre Char"/>
    <w:basedOn w:val="DefaultParagraphFont"/>
    <w:link w:val="Heading1"/>
    <w:uiPriority w:val="9"/>
    <w:rsid w:val="006A41D9"/>
    <w:rPr>
      <w:rFonts w:ascii="Times New Roman" w:eastAsiaTheme="majorEastAsia" w:hAnsi="Times New Roman" w:cs="Times New Roman"/>
      <w:b/>
      <w:bCs/>
      <w:smallCaps/>
      <w:sz w:val="24"/>
      <w:szCs w:val="28"/>
    </w:rPr>
  </w:style>
  <w:style w:type="character" w:customStyle="1" w:styleId="Heading2Char">
    <w:name w:val="Heading 2 Char"/>
    <w:aliases w:val="Justification Char"/>
    <w:basedOn w:val="DefaultParagraphFont"/>
    <w:link w:val="Heading2"/>
    <w:uiPriority w:val="9"/>
    <w:rsid w:val="006A41D9"/>
    <w:rPr>
      <w:rFonts w:ascii="Times New Roman" w:eastAsiaTheme="majorEastAsia" w:hAnsi="Times New Roman" w:cs="Times New Roman"/>
      <w:b/>
      <w:bCs/>
      <w:sz w:val="24"/>
      <w:szCs w:val="26"/>
    </w:rPr>
  </w:style>
  <w:style w:type="character" w:customStyle="1" w:styleId="Heading3Char">
    <w:name w:val="Heading 3 Char"/>
    <w:basedOn w:val="DefaultParagraphFont"/>
    <w:link w:val="Heading3"/>
    <w:uiPriority w:val="9"/>
    <w:rsid w:val="006A41D9"/>
    <w:rPr>
      <w:rFonts w:ascii="Times New Roman" w:eastAsiaTheme="majorEastAsia" w:hAnsi="Times New Roman" w:cs="Times New Roman"/>
      <w:bCs/>
      <w:i/>
      <w:sz w:val="24"/>
    </w:rPr>
  </w:style>
  <w:style w:type="character" w:customStyle="1" w:styleId="Heading4Char">
    <w:name w:val="Heading 4 Char"/>
    <w:basedOn w:val="DefaultParagraphFont"/>
    <w:link w:val="Heading4"/>
    <w:uiPriority w:val="9"/>
    <w:rsid w:val="006A41D9"/>
    <w:rPr>
      <w:rFonts w:ascii="Times New Roman" w:eastAsiaTheme="majorEastAsia" w:hAnsi="Times New Roman" w:cs="Times New Roman"/>
      <w:bCs/>
      <w:iCs/>
      <w:sz w:val="24"/>
    </w:rPr>
  </w:style>
  <w:style w:type="numbering" w:customStyle="1" w:styleId="NoList1">
    <w:name w:val="No List1"/>
    <w:next w:val="NoList"/>
    <w:uiPriority w:val="99"/>
    <w:semiHidden/>
    <w:unhideWhenUsed/>
    <w:rsid w:val="006A41D9"/>
  </w:style>
  <w:style w:type="character" w:styleId="CommentReference">
    <w:name w:val="annotation reference"/>
    <w:basedOn w:val="DefaultParagraphFont"/>
    <w:uiPriority w:val="99"/>
    <w:unhideWhenUsed/>
    <w:rsid w:val="006A41D9"/>
    <w:rPr>
      <w:sz w:val="16"/>
      <w:szCs w:val="16"/>
    </w:rPr>
  </w:style>
  <w:style w:type="paragraph" w:styleId="CommentText">
    <w:name w:val="annotation text"/>
    <w:basedOn w:val="Normal"/>
    <w:link w:val="CommentTextChar"/>
    <w:uiPriority w:val="99"/>
    <w:unhideWhenUsed/>
    <w:rsid w:val="006A41D9"/>
    <w:pPr>
      <w:spacing w:before="120" w:after="120" w:line="240" w:lineRule="auto"/>
      <w:jc w:val="both"/>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sid w:val="006A41D9"/>
    <w:rPr>
      <w:rFonts w:ascii="Times New Roman" w:hAnsi="Times New Roman" w:cs="Times New Roman"/>
      <w:sz w:val="20"/>
      <w:szCs w:val="20"/>
    </w:rPr>
  </w:style>
  <w:style w:type="paragraph" w:styleId="ListParagraph">
    <w:name w:val="List Paragraph"/>
    <w:aliases w:val="numbered list,2,OBC Bullet,Normal 1,Task Body,Viñetas (Inicio Parrafo),Paragrafo elenco,3 Txt tabla,Zerrenda-paragrafoa,Fiche List Paragraph,Dot pt,F5 List Paragraph,List Paragraph1,No Spacing1,List Paragraph Char Char Char,Indicator Text"/>
    <w:basedOn w:val="Normal"/>
    <w:link w:val="ListParagraphChar"/>
    <w:uiPriority w:val="34"/>
    <w:qFormat/>
    <w:rsid w:val="006A41D9"/>
    <w:pPr>
      <w:ind w:left="720"/>
      <w:contextualSpacing/>
    </w:pPr>
  </w:style>
  <w:style w:type="character" w:customStyle="1" w:styleId="ListParagraphChar">
    <w:name w:val="List Paragraph Char"/>
    <w:aliases w:val="numbered list Char,2 Char,OBC Bullet Char,Normal 1 Char,Task Body Char,Viñetas (Inicio Parrafo) Char,Paragrafo elenco Char,3 Txt tabla Char,Zerrenda-paragrafoa Char,Fiche List Paragraph Char,Dot pt Char,F5 List Paragraph Char"/>
    <w:basedOn w:val="DefaultParagraphFont"/>
    <w:link w:val="ListParagraph"/>
    <w:uiPriority w:val="34"/>
    <w:qFormat/>
    <w:locked/>
    <w:rsid w:val="006A41D9"/>
    <w:rPr>
      <w:lang w:val="de-DE"/>
    </w:rPr>
  </w:style>
  <w:style w:type="character" w:styleId="IntenseEmphasis">
    <w:name w:val="Intense Emphasis"/>
    <w:basedOn w:val="DefaultParagraphFont"/>
    <w:uiPriority w:val="21"/>
    <w:qFormat/>
    <w:rsid w:val="006A41D9"/>
    <w:rPr>
      <w:i/>
      <w:iCs/>
      <w:color w:val="4472C4" w:themeColor="accent1"/>
    </w:rPr>
  </w:style>
  <w:style w:type="paragraph" w:styleId="BalloonText">
    <w:name w:val="Balloon Text"/>
    <w:basedOn w:val="Normal"/>
    <w:link w:val="BalloonTextChar"/>
    <w:uiPriority w:val="99"/>
    <w:semiHidden/>
    <w:unhideWhenUsed/>
    <w:rsid w:val="006A41D9"/>
    <w:pPr>
      <w:spacing w:after="0" w:line="240" w:lineRule="auto"/>
      <w:jc w:val="both"/>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1D9"/>
    <w:rPr>
      <w:rFonts w:ascii="Segoe UI" w:hAnsi="Segoe UI" w:cs="Segoe UI"/>
      <w:sz w:val="18"/>
      <w:szCs w:val="18"/>
    </w:rPr>
  </w:style>
  <w:style w:type="paragraph" w:styleId="ListBullet">
    <w:name w:val="List Bullet"/>
    <w:basedOn w:val="Normal"/>
    <w:uiPriority w:val="99"/>
    <w:unhideWhenUsed/>
    <w:rsid w:val="006A41D9"/>
    <w:pPr>
      <w:numPr>
        <w:numId w:val="15"/>
      </w:numPr>
      <w:spacing w:before="120" w:after="120" w:line="240" w:lineRule="auto"/>
      <w:contextualSpacing/>
      <w:jc w:val="both"/>
    </w:pPr>
    <w:rPr>
      <w:rFonts w:ascii="Times New Roman" w:hAnsi="Times New Roman" w:cs="Times New Roman"/>
      <w:sz w:val="24"/>
    </w:rPr>
  </w:style>
  <w:style w:type="paragraph" w:styleId="ListBullet2">
    <w:name w:val="List Bullet 2"/>
    <w:basedOn w:val="Normal"/>
    <w:uiPriority w:val="99"/>
    <w:semiHidden/>
    <w:unhideWhenUsed/>
    <w:rsid w:val="006A41D9"/>
    <w:pPr>
      <w:numPr>
        <w:numId w:val="16"/>
      </w:numPr>
      <w:spacing w:before="120" w:after="120" w:line="240" w:lineRule="auto"/>
      <w:contextualSpacing/>
      <w:jc w:val="both"/>
    </w:pPr>
    <w:rPr>
      <w:rFonts w:ascii="Times New Roman" w:hAnsi="Times New Roman" w:cs="Times New Roman"/>
      <w:sz w:val="24"/>
    </w:rPr>
  </w:style>
  <w:style w:type="paragraph" w:styleId="ListBullet3">
    <w:name w:val="List Bullet 3"/>
    <w:basedOn w:val="Normal"/>
    <w:uiPriority w:val="99"/>
    <w:semiHidden/>
    <w:unhideWhenUsed/>
    <w:rsid w:val="006A41D9"/>
    <w:pPr>
      <w:numPr>
        <w:numId w:val="17"/>
      </w:numPr>
      <w:tabs>
        <w:tab w:val="clear" w:pos="926"/>
        <w:tab w:val="num" w:pos="360"/>
      </w:tabs>
      <w:spacing w:before="120" w:after="120" w:line="240" w:lineRule="auto"/>
      <w:ind w:left="0" w:firstLine="0"/>
      <w:contextualSpacing/>
      <w:jc w:val="both"/>
    </w:pPr>
    <w:rPr>
      <w:rFonts w:ascii="Times New Roman" w:hAnsi="Times New Roman" w:cs="Times New Roman"/>
      <w:sz w:val="24"/>
    </w:rPr>
  </w:style>
  <w:style w:type="paragraph" w:styleId="ListBullet4">
    <w:name w:val="List Bullet 4"/>
    <w:basedOn w:val="Normal"/>
    <w:uiPriority w:val="99"/>
    <w:semiHidden/>
    <w:unhideWhenUsed/>
    <w:rsid w:val="006A41D9"/>
    <w:pPr>
      <w:numPr>
        <w:numId w:val="18"/>
      </w:numPr>
      <w:spacing w:before="120" w:after="120" w:line="240" w:lineRule="auto"/>
      <w:contextualSpacing/>
      <w:jc w:val="both"/>
    </w:pPr>
    <w:rPr>
      <w:rFonts w:ascii="Times New Roman" w:hAnsi="Times New Roman" w:cs="Times New Roman"/>
      <w:sz w:val="24"/>
    </w:rPr>
  </w:style>
  <w:style w:type="paragraph" w:styleId="CommentSubject">
    <w:name w:val="annotation subject"/>
    <w:basedOn w:val="CommentText"/>
    <w:next w:val="CommentText"/>
    <w:link w:val="CommentSubjectChar"/>
    <w:uiPriority w:val="99"/>
    <w:semiHidden/>
    <w:unhideWhenUsed/>
    <w:rsid w:val="006A41D9"/>
    <w:rPr>
      <w:b/>
      <w:bCs/>
    </w:rPr>
  </w:style>
  <w:style w:type="character" w:customStyle="1" w:styleId="CommentSubjectChar">
    <w:name w:val="Comment Subject Char"/>
    <w:basedOn w:val="CommentTextChar"/>
    <w:link w:val="CommentSubject"/>
    <w:uiPriority w:val="99"/>
    <w:semiHidden/>
    <w:rsid w:val="006A41D9"/>
    <w:rPr>
      <w:rFonts w:ascii="Times New Roman" w:hAnsi="Times New Roman" w:cs="Times New Roman"/>
      <w:b/>
      <w:bCs/>
      <w:sz w:val="20"/>
      <w:szCs w:val="20"/>
    </w:rPr>
  </w:style>
  <w:style w:type="paragraph" w:styleId="Revision">
    <w:name w:val="Revision"/>
    <w:hidden/>
    <w:uiPriority w:val="99"/>
    <w:semiHidden/>
    <w:rsid w:val="006A41D9"/>
    <w:pPr>
      <w:spacing w:after="0" w:line="240" w:lineRule="auto"/>
    </w:pPr>
    <w:rPr>
      <w:rFonts w:ascii="Times New Roman" w:hAnsi="Times New Roman" w:cs="Times New Roman"/>
      <w:sz w:val="24"/>
    </w:rPr>
  </w:style>
  <w:style w:type="table" w:styleId="TableGrid">
    <w:name w:val="Table Grid"/>
    <w:basedOn w:val="TableNormal"/>
    <w:uiPriority w:val="39"/>
    <w:rsid w:val="006A41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6A4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HTMLPreformattedChar">
    <w:name w:val="HTML Preformatted Char"/>
    <w:basedOn w:val="DefaultParagraphFont"/>
    <w:link w:val="HTMLPreformatted"/>
    <w:uiPriority w:val="99"/>
    <w:semiHidden/>
    <w:rsid w:val="006A41D9"/>
    <w:rPr>
      <w:rFonts w:ascii="Courier New" w:eastAsia="Times New Roman" w:hAnsi="Courier New" w:cs="Courier New"/>
      <w:sz w:val="20"/>
      <w:szCs w:val="20"/>
      <w:lang w:val="de-DE" w:eastAsia="fr-FR"/>
    </w:rPr>
  </w:style>
  <w:style w:type="character" w:styleId="Hyperlink">
    <w:name w:val="Hyperlink"/>
    <w:basedOn w:val="DefaultParagraphFont"/>
    <w:uiPriority w:val="99"/>
    <w:unhideWhenUsed/>
    <w:rsid w:val="006A41D9"/>
    <w:rPr>
      <w:color w:val="0000FF"/>
      <w:u w:val="single"/>
    </w:rPr>
  </w:style>
  <w:style w:type="character" w:styleId="HTMLCite">
    <w:name w:val="HTML Cite"/>
    <w:basedOn w:val="DefaultParagraphFont"/>
    <w:uiPriority w:val="99"/>
    <w:semiHidden/>
    <w:unhideWhenUsed/>
    <w:rsid w:val="006A41D9"/>
    <w:rPr>
      <w:i/>
      <w:iCs/>
    </w:rPr>
  </w:style>
  <w:style w:type="character" w:customStyle="1" w:styleId="acopre">
    <w:name w:val="acopre"/>
    <w:basedOn w:val="DefaultParagraphFont"/>
    <w:rsid w:val="006A41D9"/>
  </w:style>
  <w:style w:type="character" w:styleId="Emphasis">
    <w:name w:val="Emphasis"/>
    <w:basedOn w:val="DefaultParagraphFont"/>
    <w:uiPriority w:val="20"/>
    <w:qFormat/>
    <w:rsid w:val="006A41D9"/>
    <w:rPr>
      <w:i/>
      <w:iCs/>
    </w:rPr>
  </w:style>
  <w:style w:type="character" w:customStyle="1" w:styleId="lo8sbd">
    <w:name w:val="lo8sbd"/>
    <w:basedOn w:val="DefaultParagraphFont"/>
    <w:rsid w:val="006A41D9"/>
  </w:style>
  <w:style w:type="paragraph" w:customStyle="1" w:styleId="s1fapd">
    <w:name w:val="s1fapd"/>
    <w:basedOn w:val="Normal"/>
    <w:rsid w:val="006A41D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wurvib">
    <w:name w:val="wurvib"/>
    <w:basedOn w:val="DefaultParagraphFont"/>
    <w:rsid w:val="006A41D9"/>
  </w:style>
  <w:style w:type="character" w:customStyle="1" w:styleId="dyjrff">
    <w:name w:val="dyjrff"/>
    <w:basedOn w:val="DefaultParagraphFont"/>
    <w:rsid w:val="006A41D9"/>
  </w:style>
  <w:style w:type="character" w:customStyle="1" w:styleId="glpvmc">
    <w:name w:val="glpvmc"/>
    <w:basedOn w:val="DefaultParagraphFont"/>
    <w:rsid w:val="006A41D9"/>
  </w:style>
  <w:style w:type="character" w:customStyle="1" w:styleId="f">
    <w:name w:val="f"/>
    <w:basedOn w:val="DefaultParagraphFont"/>
    <w:rsid w:val="006A41D9"/>
  </w:style>
  <w:style w:type="character" w:customStyle="1" w:styleId="mfmhoc">
    <w:name w:val="mfmhoc"/>
    <w:basedOn w:val="DefaultParagraphFont"/>
    <w:rsid w:val="006A41D9"/>
  </w:style>
  <w:style w:type="character" w:customStyle="1" w:styleId="q8lrlc">
    <w:name w:val="q8lrlc"/>
    <w:basedOn w:val="DefaultParagraphFont"/>
    <w:rsid w:val="006A41D9"/>
  </w:style>
  <w:style w:type="character" w:customStyle="1" w:styleId="b4gxfc">
    <w:name w:val="b4gxfc"/>
    <w:basedOn w:val="DefaultParagraphFont"/>
    <w:rsid w:val="006A41D9"/>
  </w:style>
  <w:style w:type="character" w:customStyle="1" w:styleId="jlqj4b">
    <w:name w:val="jlqj4b"/>
    <w:basedOn w:val="DefaultParagraphFont"/>
    <w:rsid w:val="006A41D9"/>
  </w:style>
  <w:style w:type="paragraph" w:customStyle="1" w:styleId="paragraph">
    <w:name w:val="paragraph"/>
    <w:basedOn w:val="Normal"/>
    <w:rsid w:val="006A41D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rmaltextrun">
    <w:name w:val="normaltextrun"/>
    <w:basedOn w:val="DefaultParagraphFont"/>
    <w:rsid w:val="006A41D9"/>
  </w:style>
  <w:style w:type="character" w:customStyle="1" w:styleId="eop">
    <w:name w:val="eop"/>
    <w:basedOn w:val="DefaultParagraphFont"/>
    <w:rsid w:val="006A41D9"/>
  </w:style>
  <w:style w:type="character" w:customStyle="1" w:styleId="hgkelc">
    <w:name w:val="hgkelc"/>
    <w:basedOn w:val="DefaultParagraphFont"/>
    <w:rsid w:val="006A41D9"/>
  </w:style>
  <w:style w:type="character" w:customStyle="1" w:styleId="y2iqfc">
    <w:name w:val="y2iqfc"/>
    <w:basedOn w:val="DefaultParagraphFont"/>
    <w:rsid w:val="006A41D9"/>
  </w:style>
  <w:style w:type="paragraph" w:customStyle="1" w:styleId="Bodytext211">
    <w:name w:val="Body text|211"/>
    <w:basedOn w:val="Normal"/>
    <w:link w:val="Bodytext2"/>
    <w:qFormat/>
    <w:rsid w:val="006A41D9"/>
    <w:pPr>
      <w:widowControl w:val="0"/>
      <w:shd w:val="clear" w:color="auto" w:fill="FFFFFF"/>
      <w:spacing w:before="400" w:after="100" w:line="244" w:lineRule="exact"/>
      <w:ind w:hanging="380"/>
    </w:pPr>
    <w:rPr>
      <w:rFonts w:ascii="Calibri" w:eastAsia="Calibri" w:hAnsi="Calibri" w:cs="Calibri"/>
      <w:color w:val="000000"/>
      <w:sz w:val="20"/>
      <w:szCs w:val="20"/>
      <w:lang w:eastAsia="fr-FR" w:bidi="fr-FR"/>
    </w:rPr>
  </w:style>
  <w:style w:type="character" w:customStyle="1" w:styleId="Bodytext2">
    <w:name w:val="Body text|2_"/>
    <w:basedOn w:val="DefaultParagraphFont"/>
    <w:link w:val="Bodytext211"/>
    <w:rsid w:val="006A41D9"/>
    <w:rPr>
      <w:rFonts w:ascii="Calibri" w:eastAsia="Calibri" w:hAnsi="Calibri" w:cs="Calibri"/>
      <w:color w:val="000000"/>
      <w:sz w:val="20"/>
      <w:szCs w:val="20"/>
      <w:shd w:val="clear" w:color="auto" w:fill="FFFFFF"/>
      <w:lang w:val="de-DE" w:eastAsia="fr-FR" w:bidi="fr-FR"/>
    </w:rPr>
  </w:style>
  <w:style w:type="character" w:customStyle="1" w:styleId="Bodytext2Italic">
    <w:name w:val="Body text|2 + Italic"/>
    <w:basedOn w:val="Bodytext2"/>
    <w:semiHidden/>
    <w:unhideWhenUsed/>
    <w:rsid w:val="006A41D9"/>
    <w:rPr>
      <w:rFonts w:ascii="Calibri" w:eastAsia="Calibri" w:hAnsi="Calibri" w:cs="Calibri"/>
      <w:i/>
      <w:iCs/>
      <w:color w:val="000000"/>
      <w:spacing w:val="0"/>
      <w:w w:val="100"/>
      <w:position w:val="0"/>
      <w:sz w:val="20"/>
      <w:szCs w:val="20"/>
      <w:shd w:val="clear" w:color="auto" w:fill="FFFFFF"/>
      <w:lang w:val="de-DE" w:eastAsia="fr-FR" w:bidi="fr-FR"/>
    </w:rPr>
  </w:style>
  <w:style w:type="character" w:customStyle="1" w:styleId="Bodytext20">
    <w:name w:val="Body text|20"/>
    <w:basedOn w:val="Bodytext2"/>
    <w:semiHidden/>
    <w:unhideWhenUsed/>
    <w:rsid w:val="006A41D9"/>
    <w:rPr>
      <w:rFonts w:ascii="Calibri" w:eastAsia="Calibri" w:hAnsi="Calibri" w:cs="Calibri"/>
      <w:color w:val="000000"/>
      <w:spacing w:val="0"/>
      <w:w w:val="100"/>
      <w:position w:val="0"/>
      <w:sz w:val="20"/>
      <w:szCs w:val="20"/>
      <w:u w:val="single"/>
      <w:shd w:val="clear" w:color="auto" w:fill="FFFFFF"/>
      <w:lang w:val="de-DE" w:eastAsia="fr-FR" w:bidi="fr-FR"/>
    </w:rPr>
  </w:style>
  <w:style w:type="character" w:customStyle="1" w:styleId="Footnote1">
    <w:name w:val="Footnote|1_"/>
    <w:basedOn w:val="DefaultParagraphFont"/>
    <w:link w:val="Footnote11"/>
    <w:rsid w:val="006A41D9"/>
    <w:rPr>
      <w:rFonts w:ascii="Calibri" w:eastAsia="Calibri" w:hAnsi="Calibri" w:cs="Calibri"/>
      <w:sz w:val="15"/>
      <w:szCs w:val="15"/>
      <w:shd w:val="clear" w:color="auto" w:fill="FFFFFF"/>
    </w:rPr>
  </w:style>
  <w:style w:type="character" w:customStyle="1" w:styleId="Footnote10">
    <w:name w:val="Footnote|1"/>
    <w:basedOn w:val="Footnote1"/>
    <w:semiHidden/>
    <w:unhideWhenUsed/>
    <w:rsid w:val="006A41D9"/>
    <w:rPr>
      <w:rFonts w:ascii="Calibri" w:eastAsia="Calibri" w:hAnsi="Calibri" w:cs="Calibri"/>
      <w:color w:val="0563C1"/>
      <w:spacing w:val="0"/>
      <w:w w:val="100"/>
      <w:position w:val="0"/>
      <w:sz w:val="15"/>
      <w:szCs w:val="15"/>
      <w:u w:val="single"/>
      <w:shd w:val="clear" w:color="auto" w:fill="FFFFFF"/>
      <w:lang w:val="de-DE" w:eastAsia="fr-FR" w:bidi="fr-FR"/>
    </w:rPr>
  </w:style>
  <w:style w:type="paragraph" w:customStyle="1" w:styleId="Footnote11">
    <w:name w:val="Footnote|11"/>
    <w:basedOn w:val="Normal"/>
    <w:link w:val="Footnote1"/>
    <w:qFormat/>
    <w:rsid w:val="006A41D9"/>
    <w:pPr>
      <w:widowControl w:val="0"/>
      <w:shd w:val="clear" w:color="auto" w:fill="FFFFFF"/>
      <w:spacing w:after="0" w:line="197" w:lineRule="exact"/>
      <w:jc w:val="both"/>
    </w:pPr>
    <w:rPr>
      <w:rFonts w:ascii="Calibri" w:eastAsia="Calibri" w:hAnsi="Calibri" w:cs="Calibri"/>
      <w:sz w:val="15"/>
      <w:szCs w:val="15"/>
    </w:rPr>
  </w:style>
  <w:style w:type="character" w:customStyle="1" w:styleId="Footnote3">
    <w:name w:val="Footnote|3_"/>
    <w:basedOn w:val="DefaultParagraphFont"/>
    <w:link w:val="Footnote30"/>
    <w:rsid w:val="006A41D9"/>
    <w:rPr>
      <w:rFonts w:ascii="Calibri" w:eastAsia="Calibri" w:hAnsi="Calibri" w:cs="Calibri"/>
      <w:i/>
      <w:iCs/>
      <w:sz w:val="15"/>
      <w:szCs w:val="15"/>
      <w:shd w:val="clear" w:color="auto" w:fill="FFFFFF"/>
    </w:rPr>
  </w:style>
  <w:style w:type="character" w:customStyle="1" w:styleId="Footnote3NotItalic">
    <w:name w:val="Footnote|3 + Not Italic"/>
    <w:basedOn w:val="Footnote3"/>
    <w:semiHidden/>
    <w:unhideWhenUsed/>
    <w:rsid w:val="006A41D9"/>
    <w:rPr>
      <w:rFonts w:ascii="Calibri" w:eastAsia="Calibri" w:hAnsi="Calibri" w:cs="Calibri"/>
      <w:i/>
      <w:iCs/>
      <w:color w:val="000000"/>
      <w:spacing w:val="0"/>
      <w:w w:val="100"/>
      <w:position w:val="0"/>
      <w:sz w:val="15"/>
      <w:szCs w:val="15"/>
      <w:shd w:val="clear" w:color="auto" w:fill="FFFFFF"/>
      <w:lang w:val="de-DE" w:eastAsia="fr-FR" w:bidi="fr-FR"/>
    </w:rPr>
  </w:style>
  <w:style w:type="paragraph" w:customStyle="1" w:styleId="Footnote30">
    <w:name w:val="Footnote|3"/>
    <w:basedOn w:val="Normal"/>
    <w:link w:val="Footnote3"/>
    <w:rsid w:val="006A41D9"/>
    <w:pPr>
      <w:widowControl w:val="0"/>
      <w:shd w:val="clear" w:color="auto" w:fill="FFFFFF"/>
      <w:spacing w:after="0" w:line="192" w:lineRule="exact"/>
      <w:jc w:val="both"/>
    </w:pPr>
    <w:rPr>
      <w:rFonts w:ascii="Calibri" w:eastAsia="Calibri" w:hAnsi="Calibri" w:cs="Calibri"/>
      <w:i/>
      <w:iCs/>
      <w:sz w:val="15"/>
      <w:szCs w:val="15"/>
    </w:rPr>
  </w:style>
  <w:style w:type="paragraph" w:styleId="NormalWeb">
    <w:name w:val="Normal (Web)"/>
    <w:basedOn w:val="Normal"/>
    <w:uiPriority w:val="99"/>
    <w:unhideWhenUsed/>
    <w:rsid w:val="006A41D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nhideWhenUsed/>
    <w:rsid w:val="006A41D9"/>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rsid w:val="006A41D9"/>
    <w:rPr>
      <w:rFonts w:ascii="Times New Roman" w:hAnsi="Times New Roman" w:cs="Times New Roman"/>
      <w:sz w:val="24"/>
    </w:rPr>
  </w:style>
  <w:style w:type="paragraph" w:styleId="Footer">
    <w:name w:val="footer"/>
    <w:basedOn w:val="Normal"/>
    <w:link w:val="FooterChar"/>
    <w:uiPriority w:val="99"/>
    <w:unhideWhenUsed/>
    <w:rsid w:val="006A41D9"/>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sid w:val="006A41D9"/>
    <w:rPr>
      <w:rFonts w:ascii="Times New Roman" w:hAnsi="Times New Roman" w:cs="Times New Roman"/>
      <w:sz w:val="24"/>
    </w:rPr>
  </w:style>
  <w:style w:type="paragraph" w:styleId="FootnoteText">
    <w:name w:val="footnote text"/>
    <w:aliases w:val="Schriftart: 9 pt,Schriftart: 10 pt,Schriftart: 8 pt,WB-Fußnotentext,FoodNote,ft,Footnote text,Footnote,Footnote Text Char1,Footnote Text Char Char,Footnote Text Char1 Char Char,Footnote Text Char Char Char Char,fn,Char,Voetnoottekst Char"/>
    <w:basedOn w:val="Normal"/>
    <w:link w:val="FootnoteTextChar"/>
    <w:uiPriority w:val="99"/>
    <w:unhideWhenUsed/>
    <w:rsid w:val="006A41D9"/>
    <w:pPr>
      <w:spacing w:after="0" w:line="240" w:lineRule="auto"/>
      <w:ind w:left="720" w:hanging="720"/>
      <w:jc w:val="both"/>
    </w:pPr>
    <w:rPr>
      <w:rFonts w:ascii="Times New Roman" w:hAnsi="Times New Roman" w:cs="Times New Roman"/>
      <w:sz w:val="20"/>
      <w:szCs w:val="20"/>
    </w:rPr>
  </w:style>
  <w:style w:type="character" w:customStyle="1" w:styleId="FootnoteTextChar">
    <w:name w:val="Footnote Text Char"/>
    <w:aliases w:val="Schriftart: 9 pt Char,Schriftart: 10 pt Char,Schriftart: 8 pt Char,WB-Fußnotentext Char,FoodNote Char,ft Char,Footnote text Char,Footnote Char,Footnote Text Char1 Char,Footnote Text Char Char Char,Footnote Text Char1 Char Char Char"/>
    <w:basedOn w:val="DefaultParagraphFont"/>
    <w:link w:val="FootnoteText"/>
    <w:uiPriority w:val="99"/>
    <w:rsid w:val="006A41D9"/>
    <w:rPr>
      <w:rFonts w:ascii="Times New Roman" w:hAnsi="Times New Roman" w:cs="Times New Roman"/>
      <w:sz w:val="20"/>
      <w:szCs w:val="20"/>
    </w:rPr>
  </w:style>
  <w:style w:type="paragraph" w:styleId="TOCHeading">
    <w:name w:val="TOC Heading"/>
    <w:basedOn w:val="Normal"/>
    <w:next w:val="Normal"/>
    <w:uiPriority w:val="39"/>
    <w:unhideWhenUsed/>
    <w:qFormat/>
    <w:rsid w:val="006A41D9"/>
    <w:pPr>
      <w:spacing w:before="120" w:after="240" w:line="240" w:lineRule="auto"/>
      <w:jc w:val="center"/>
    </w:pPr>
    <w:rPr>
      <w:rFonts w:ascii="Times New Roman" w:hAnsi="Times New Roman" w:cs="Times New Roman"/>
      <w:b/>
      <w:sz w:val="28"/>
    </w:rPr>
  </w:style>
  <w:style w:type="paragraph" w:styleId="TOC1">
    <w:name w:val="toc 1"/>
    <w:basedOn w:val="Normal"/>
    <w:next w:val="Normal"/>
    <w:uiPriority w:val="39"/>
    <w:unhideWhenUsed/>
    <w:rsid w:val="006A41D9"/>
    <w:pPr>
      <w:tabs>
        <w:tab w:val="right" w:leader="dot" w:pos="9071"/>
      </w:tabs>
      <w:spacing w:before="60" w:after="120" w:line="240" w:lineRule="auto"/>
      <w:ind w:left="850" w:hanging="850"/>
    </w:pPr>
    <w:rPr>
      <w:rFonts w:ascii="Times New Roman" w:hAnsi="Times New Roman" w:cs="Times New Roman"/>
      <w:sz w:val="24"/>
    </w:rPr>
  </w:style>
  <w:style w:type="paragraph" w:styleId="TOC2">
    <w:name w:val="toc 2"/>
    <w:basedOn w:val="Normal"/>
    <w:next w:val="Normal"/>
    <w:uiPriority w:val="39"/>
    <w:unhideWhenUsed/>
    <w:rsid w:val="006A41D9"/>
    <w:pPr>
      <w:tabs>
        <w:tab w:val="right" w:leader="dot" w:pos="9071"/>
      </w:tabs>
      <w:spacing w:before="60" w:after="120" w:line="240" w:lineRule="auto"/>
      <w:ind w:left="850" w:hanging="850"/>
    </w:pPr>
    <w:rPr>
      <w:rFonts w:ascii="Times New Roman" w:hAnsi="Times New Roman" w:cs="Times New Roman"/>
      <w:sz w:val="24"/>
    </w:rPr>
  </w:style>
  <w:style w:type="paragraph" w:styleId="TOC3">
    <w:name w:val="toc 3"/>
    <w:basedOn w:val="Normal"/>
    <w:next w:val="Normal"/>
    <w:uiPriority w:val="39"/>
    <w:unhideWhenUsed/>
    <w:rsid w:val="006A41D9"/>
    <w:pPr>
      <w:tabs>
        <w:tab w:val="right" w:leader="dot" w:pos="9071"/>
      </w:tabs>
      <w:spacing w:before="60" w:after="120" w:line="240" w:lineRule="auto"/>
      <w:ind w:left="850" w:hanging="850"/>
    </w:pPr>
    <w:rPr>
      <w:rFonts w:ascii="Times New Roman" w:hAnsi="Times New Roman" w:cs="Times New Roman"/>
      <w:sz w:val="24"/>
    </w:rPr>
  </w:style>
  <w:style w:type="paragraph" w:styleId="TOC4">
    <w:name w:val="toc 4"/>
    <w:basedOn w:val="Normal"/>
    <w:next w:val="Normal"/>
    <w:uiPriority w:val="39"/>
    <w:unhideWhenUsed/>
    <w:rsid w:val="006A41D9"/>
    <w:pPr>
      <w:tabs>
        <w:tab w:val="right" w:leader="dot" w:pos="9071"/>
      </w:tabs>
      <w:spacing w:before="60" w:after="120" w:line="240" w:lineRule="auto"/>
      <w:ind w:left="850" w:hanging="850"/>
    </w:pPr>
    <w:rPr>
      <w:rFonts w:ascii="Times New Roman" w:hAnsi="Times New Roman" w:cs="Times New Roman"/>
      <w:sz w:val="24"/>
    </w:rPr>
  </w:style>
  <w:style w:type="paragraph" w:styleId="TOC5">
    <w:name w:val="toc 5"/>
    <w:basedOn w:val="Normal"/>
    <w:next w:val="Normal"/>
    <w:uiPriority w:val="39"/>
    <w:unhideWhenUsed/>
    <w:rsid w:val="006A41D9"/>
    <w:pPr>
      <w:tabs>
        <w:tab w:val="right" w:leader="dot" w:pos="9071"/>
      </w:tabs>
      <w:spacing w:before="300" w:after="120" w:line="240" w:lineRule="auto"/>
    </w:pPr>
    <w:rPr>
      <w:rFonts w:ascii="Times New Roman" w:hAnsi="Times New Roman" w:cs="Times New Roman"/>
      <w:sz w:val="24"/>
    </w:rPr>
  </w:style>
  <w:style w:type="paragraph" w:styleId="TOC6">
    <w:name w:val="toc 6"/>
    <w:basedOn w:val="Normal"/>
    <w:next w:val="Normal"/>
    <w:uiPriority w:val="39"/>
    <w:unhideWhenUsed/>
    <w:rsid w:val="006A41D9"/>
    <w:pPr>
      <w:tabs>
        <w:tab w:val="right" w:leader="dot" w:pos="9071"/>
      </w:tabs>
      <w:spacing w:before="240" w:after="120" w:line="240" w:lineRule="auto"/>
    </w:pPr>
    <w:rPr>
      <w:rFonts w:ascii="Times New Roman" w:hAnsi="Times New Roman" w:cs="Times New Roman"/>
      <w:sz w:val="24"/>
    </w:rPr>
  </w:style>
  <w:style w:type="paragraph" w:styleId="TOC7">
    <w:name w:val="toc 7"/>
    <w:basedOn w:val="Normal"/>
    <w:next w:val="Normal"/>
    <w:uiPriority w:val="39"/>
    <w:unhideWhenUsed/>
    <w:rsid w:val="006A41D9"/>
    <w:pPr>
      <w:tabs>
        <w:tab w:val="right" w:leader="dot" w:pos="9071"/>
      </w:tabs>
      <w:spacing w:before="180" w:after="120" w:line="240" w:lineRule="auto"/>
    </w:pPr>
    <w:rPr>
      <w:rFonts w:ascii="Times New Roman" w:hAnsi="Times New Roman" w:cs="Times New Roman"/>
      <w:sz w:val="24"/>
    </w:rPr>
  </w:style>
  <w:style w:type="paragraph" w:styleId="TOC8">
    <w:name w:val="toc 8"/>
    <w:basedOn w:val="Normal"/>
    <w:next w:val="Normal"/>
    <w:uiPriority w:val="39"/>
    <w:unhideWhenUsed/>
    <w:rsid w:val="006A41D9"/>
    <w:pPr>
      <w:tabs>
        <w:tab w:val="right" w:leader="dot" w:pos="9071"/>
      </w:tabs>
      <w:spacing w:before="120" w:after="120" w:line="240" w:lineRule="auto"/>
    </w:pPr>
    <w:rPr>
      <w:rFonts w:ascii="Times New Roman" w:hAnsi="Times New Roman" w:cs="Times New Roman"/>
      <w:sz w:val="24"/>
    </w:rPr>
  </w:style>
  <w:style w:type="paragraph" w:styleId="TOC9">
    <w:name w:val="toc 9"/>
    <w:basedOn w:val="Normal"/>
    <w:next w:val="Normal"/>
    <w:uiPriority w:val="39"/>
    <w:unhideWhenUsed/>
    <w:rsid w:val="006A41D9"/>
    <w:pPr>
      <w:tabs>
        <w:tab w:val="right" w:leader="dot" w:pos="9071"/>
      </w:tabs>
      <w:spacing w:before="120" w:after="120" w:line="240" w:lineRule="auto"/>
      <w:jc w:val="both"/>
    </w:pPr>
    <w:rPr>
      <w:rFonts w:ascii="Times New Roman" w:hAnsi="Times New Roman" w:cs="Times New Roman"/>
      <w:sz w:val="24"/>
    </w:rPr>
  </w:style>
  <w:style w:type="paragraph" w:customStyle="1" w:styleId="HeaderLandscape">
    <w:name w:val="HeaderLandscape"/>
    <w:basedOn w:val="Normal"/>
    <w:rsid w:val="006A41D9"/>
    <w:pPr>
      <w:tabs>
        <w:tab w:val="center" w:pos="7285"/>
        <w:tab w:val="right" w:pos="14003"/>
      </w:tabs>
      <w:spacing w:after="120" w:line="240" w:lineRule="auto"/>
      <w:jc w:val="both"/>
    </w:pPr>
    <w:rPr>
      <w:rFonts w:ascii="Times New Roman" w:hAnsi="Times New Roman" w:cs="Times New Roman"/>
      <w:sz w:val="24"/>
    </w:rPr>
  </w:style>
  <w:style w:type="paragraph" w:customStyle="1" w:styleId="FooterLandscape">
    <w:name w:val="FooterLandscape"/>
    <w:basedOn w:val="Normal"/>
    <w:rsid w:val="006A41D9"/>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character" w:styleId="FootnoteReference">
    <w:name w:val="footnote reference"/>
    <w:aliases w:val="number,SUPERS,BVI fnr,Footnote symbol,Footnote symboFußnotenzeichen,Footnote sign,Footnote Reference Superscript,Footnote number,-E Fußnotenzeichen,EN Footnote Reference,-E Fuﬂnotenzeichen,-E Fuûnotenzeichen,stylish,(Footnote Referen"/>
    <w:basedOn w:val="DefaultParagraphFont"/>
    <w:link w:val="SUPERSChar"/>
    <w:uiPriority w:val="99"/>
    <w:unhideWhenUsed/>
    <w:qFormat/>
    <w:rsid w:val="006A41D9"/>
    <w:rPr>
      <w:vertAlign w:val="superscript"/>
    </w:rPr>
  </w:style>
  <w:style w:type="paragraph" w:customStyle="1" w:styleId="HeaderSensitivity">
    <w:name w:val="Header Sensitivity"/>
    <w:basedOn w:val="Normal"/>
    <w:rsid w:val="006A41D9"/>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HeaderSensitivityRight">
    <w:name w:val="Header Sensitivity Right"/>
    <w:basedOn w:val="Normal"/>
    <w:rsid w:val="006A41D9"/>
    <w:pPr>
      <w:spacing w:after="120" w:line="240" w:lineRule="auto"/>
      <w:jc w:val="right"/>
    </w:pPr>
    <w:rPr>
      <w:rFonts w:ascii="Times New Roman" w:hAnsi="Times New Roman" w:cs="Times New Roman"/>
      <w:sz w:val="28"/>
    </w:rPr>
  </w:style>
  <w:style w:type="paragraph" w:customStyle="1" w:styleId="FooterSensitivity">
    <w:name w:val="Footer Sensitivity"/>
    <w:basedOn w:val="Normal"/>
    <w:rsid w:val="006A41D9"/>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paragraph" w:customStyle="1" w:styleId="Text1">
    <w:name w:val="Text 1"/>
    <w:basedOn w:val="Normal"/>
    <w:link w:val="Text1Char"/>
    <w:rsid w:val="006A41D9"/>
    <w:pPr>
      <w:spacing w:before="120" w:after="120" w:line="240" w:lineRule="auto"/>
      <w:ind w:left="850"/>
      <w:jc w:val="both"/>
    </w:pPr>
    <w:rPr>
      <w:rFonts w:ascii="Times New Roman" w:hAnsi="Times New Roman" w:cs="Times New Roman"/>
      <w:sz w:val="24"/>
    </w:rPr>
  </w:style>
  <w:style w:type="paragraph" w:customStyle="1" w:styleId="Text2">
    <w:name w:val="Text 2"/>
    <w:basedOn w:val="Normal"/>
    <w:rsid w:val="006A41D9"/>
    <w:pPr>
      <w:spacing w:before="120" w:after="120" w:line="240" w:lineRule="auto"/>
      <w:ind w:left="1417"/>
      <w:jc w:val="both"/>
    </w:pPr>
    <w:rPr>
      <w:rFonts w:ascii="Times New Roman" w:hAnsi="Times New Roman" w:cs="Times New Roman"/>
      <w:sz w:val="24"/>
    </w:rPr>
  </w:style>
  <w:style w:type="paragraph" w:customStyle="1" w:styleId="Text3">
    <w:name w:val="Text 3"/>
    <w:basedOn w:val="Normal"/>
    <w:rsid w:val="006A41D9"/>
    <w:pPr>
      <w:spacing w:before="120" w:after="120" w:line="240" w:lineRule="auto"/>
      <w:ind w:left="1984"/>
      <w:jc w:val="both"/>
    </w:pPr>
    <w:rPr>
      <w:rFonts w:ascii="Times New Roman" w:hAnsi="Times New Roman" w:cs="Times New Roman"/>
      <w:sz w:val="24"/>
    </w:rPr>
  </w:style>
  <w:style w:type="paragraph" w:customStyle="1" w:styleId="Text4">
    <w:name w:val="Text 4"/>
    <w:basedOn w:val="Normal"/>
    <w:rsid w:val="006A41D9"/>
    <w:pPr>
      <w:spacing w:before="120" w:after="120" w:line="240" w:lineRule="auto"/>
      <w:ind w:left="2551"/>
      <w:jc w:val="both"/>
    </w:pPr>
    <w:rPr>
      <w:rFonts w:ascii="Times New Roman" w:hAnsi="Times New Roman" w:cs="Times New Roman"/>
      <w:sz w:val="24"/>
    </w:rPr>
  </w:style>
  <w:style w:type="paragraph" w:customStyle="1" w:styleId="NormalCentered">
    <w:name w:val="Normal Centered"/>
    <w:basedOn w:val="Normal"/>
    <w:rsid w:val="006A41D9"/>
    <w:pPr>
      <w:spacing w:before="120" w:after="120" w:line="240" w:lineRule="auto"/>
      <w:jc w:val="center"/>
    </w:pPr>
    <w:rPr>
      <w:rFonts w:ascii="Times New Roman" w:hAnsi="Times New Roman" w:cs="Times New Roman"/>
      <w:sz w:val="24"/>
    </w:rPr>
  </w:style>
  <w:style w:type="paragraph" w:customStyle="1" w:styleId="NormalLeft">
    <w:name w:val="Normal Left"/>
    <w:basedOn w:val="Normal"/>
    <w:rsid w:val="006A41D9"/>
    <w:pPr>
      <w:spacing w:before="120" w:after="120" w:line="240" w:lineRule="auto"/>
    </w:pPr>
    <w:rPr>
      <w:rFonts w:ascii="Times New Roman" w:hAnsi="Times New Roman" w:cs="Times New Roman"/>
      <w:sz w:val="24"/>
    </w:rPr>
  </w:style>
  <w:style w:type="paragraph" w:customStyle="1" w:styleId="NormalRight">
    <w:name w:val="Normal Right"/>
    <w:basedOn w:val="Normal"/>
    <w:rsid w:val="006A41D9"/>
    <w:pPr>
      <w:spacing w:before="120" w:after="120" w:line="240" w:lineRule="auto"/>
      <w:jc w:val="right"/>
    </w:pPr>
    <w:rPr>
      <w:rFonts w:ascii="Times New Roman" w:hAnsi="Times New Roman" w:cs="Times New Roman"/>
      <w:sz w:val="24"/>
    </w:rPr>
  </w:style>
  <w:style w:type="paragraph" w:customStyle="1" w:styleId="QuotedText">
    <w:name w:val="Quoted Text"/>
    <w:basedOn w:val="Normal"/>
    <w:rsid w:val="006A41D9"/>
    <w:pPr>
      <w:spacing w:before="120" w:after="120" w:line="240" w:lineRule="auto"/>
      <w:ind w:left="1417"/>
      <w:jc w:val="both"/>
    </w:pPr>
    <w:rPr>
      <w:rFonts w:ascii="Times New Roman" w:hAnsi="Times New Roman" w:cs="Times New Roman"/>
      <w:sz w:val="24"/>
    </w:rPr>
  </w:style>
  <w:style w:type="paragraph" w:customStyle="1" w:styleId="Point0">
    <w:name w:val="Point 0"/>
    <w:basedOn w:val="Normal"/>
    <w:rsid w:val="006A41D9"/>
    <w:pPr>
      <w:spacing w:before="120" w:after="120" w:line="240" w:lineRule="auto"/>
      <w:ind w:left="850" w:hanging="850"/>
      <w:jc w:val="both"/>
    </w:pPr>
    <w:rPr>
      <w:rFonts w:ascii="Times New Roman" w:hAnsi="Times New Roman" w:cs="Times New Roman"/>
      <w:sz w:val="24"/>
    </w:rPr>
  </w:style>
  <w:style w:type="paragraph" w:customStyle="1" w:styleId="Point1">
    <w:name w:val="Point 1"/>
    <w:basedOn w:val="Normal"/>
    <w:rsid w:val="006A41D9"/>
    <w:pPr>
      <w:spacing w:before="120" w:after="120" w:line="240" w:lineRule="auto"/>
      <w:ind w:left="1417" w:hanging="567"/>
      <w:jc w:val="both"/>
    </w:pPr>
    <w:rPr>
      <w:rFonts w:ascii="Times New Roman" w:hAnsi="Times New Roman" w:cs="Times New Roman"/>
      <w:sz w:val="24"/>
    </w:rPr>
  </w:style>
  <w:style w:type="paragraph" w:customStyle="1" w:styleId="Point2">
    <w:name w:val="Point 2"/>
    <w:basedOn w:val="Normal"/>
    <w:rsid w:val="006A41D9"/>
    <w:pPr>
      <w:spacing w:before="120" w:after="120" w:line="240" w:lineRule="auto"/>
      <w:ind w:left="1984" w:hanging="567"/>
      <w:jc w:val="both"/>
    </w:pPr>
    <w:rPr>
      <w:rFonts w:ascii="Times New Roman" w:hAnsi="Times New Roman" w:cs="Times New Roman"/>
      <w:sz w:val="24"/>
    </w:rPr>
  </w:style>
  <w:style w:type="paragraph" w:customStyle="1" w:styleId="Point3">
    <w:name w:val="Point 3"/>
    <w:basedOn w:val="Normal"/>
    <w:rsid w:val="006A41D9"/>
    <w:pPr>
      <w:spacing w:before="120" w:after="120" w:line="240" w:lineRule="auto"/>
      <w:ind w:left="2551" w:hanging="567"/>
      <w:jc w:val="both"/>
    </w:pPr>
    <w:rPr>
      <w:rFonts w:ascii="Times New Roman" w:hAnsi="Times New Roman" w:cs="Times New Roman"/>
      <w:sz w:val="24"/>
    </w:rPr>
  </w:style>
  <w:style w:type="paragraph" w:customStyle="1" w:styleId="Point4">
    <w:name w:val="Point 4"/>
    <w:basedOn w:val="Normal"/>
    <w:rsid w:val="006A41D9"/>
    <w:pPr>
      <w:spacing w:before="120" w:after="120" w:line="240" w:lineRule="auto"/>
      <w:ind w:left="3118" w:hanging="567"/>
      <w:jc w:val="both"/>
    </w:pPr>
    <w:rPr>
      <w:rFonts w:ascii="Times New Roman" w:hAnsi="Times New Roman" w:cs="Times New Roman"/>
      <w:sz w:val="24"/>
    </w:rPr>
  </w:style>
  <w:style w:type="paragraph" w:customStyle="1" w:styleId="Tiret0">
    <w:name w:val="Tiret 0"/>
    <w:basedOn w:val="Point0"/>
    <w:rsid w:val="006A41D9"/>
    <w:pPr>
      <w:numPr>
        <w:numId w:val="2"/>
      </w:numPr>
    </w:pPr>
  </w:style>
  <w:style w:type="paragraph" w:customStyle="1" w:styleId="Tiret1">
    <w:name w:val="Tiret 1"/>
    <w:basedOn w:val="Point1"/>
    <w:rsid w:val="006A41D9"/>
    <w:pPr>
      <w:numPr>
        <w:numId w:val="3"/>
      </w:numPr>
    </w:pPr>
  </w:style>
  <w:style w:type="paragraph" w:customStyle="1" w:styleId="Tiret2">
    <w:name w:val="Tiret 2"/>
    <w:basedOn w:val="Point2"/>
    <w:rsid w:val="006A41D9"/>
    <w:pPr>
      <w:numPr>
        <w:numId w:val="4"/>
      </w:numPr>
    </w:pPr>
  </w:style>
  <w:style w:type="paragraph" w:customStyle="1" w:styleId="Tiret3">
    <w:name w:val="Tiret 3"/>
    <w:basedOn w:val="Point3"/>
    <w:rsid w:val="006A41D9"/>
    <w:pPr>
      <w:numPr>
        <w:numId w:val="5"/>
      </w:numPr>
    </w:pPr>
  </w:style>
  <w:style w:type="paragraph" w:customStyle="1" w:styleId="Tiret4">
    <w:name w:val="Tiret 4"/>
    <w:basedOn w:val="Point4"/>
    <w:rsid w:val="006A41D9"/>
    <w:pPr>
      <w:numPr>
        <w:numId w:val="6"/>
      </w:numPr>
    </w:pPr>
  </w:style>
  <w:style w:type="paragraph" w:customStyle="1" w:styleId="PointDouble0">
    <w:name w:val="PointDouble 0"/>
    <w:basedOn w:val="Normal"/>
    <w:rsid w:val="006A41D9"/>
    <w:pPr>
      <w:tabs>
        <w:tab w:val="left" w:pos="850"/>
      </w:tabs>
      <w:spacing w:before="120" w:after="120" w:line="240" w:lineRule="auto"/>
      <w:ind w:left="1417" w:hanging="1417"/>
      <w:jc w:val="both"/>
    </w:pPr>
    <w:rPr>
      <w:rFonts w:ascii="Times New Roman" w:hAnsi="Times New Roman" w:cs="Times New Roman"/>
      <w:sz w:val="24"/>
    </w:rPr>
  </w:style>
  <w:style w:type="paragraph" w:customStyle="1" w:styleId="PointDouble1">
    <w:name w:val="PointDouble 1"/>
    <w:basedOn w:val="Normal"/>
    <w:rsid w:val="006A41D9"/>
    <w:pPr>
      <w:tabs>
        <w:tab w:val="left" w:pos="1417"/>
      </w:tabs>
      <w:spacing w:before="120" w:after="120" w:line="240" w:lineRule="auto"/>
      <w:ind w:left="1984" w:hanging="1134"/>
      <w:jc w:val="both"/>
    </w:pPr>
    <w:rPr>
      <w:rFonts w:ascii="Times New Roman" w:hAnsi="Times New Roman" w:cs="Times New Roman"/>
      <w:sz w:val="24"/>
    </w:rPr>
  </w:style>
  <w:style w:type="paragraph" w:customStyle="1" w:styleId="PointDouble2">
    <w:name w:val="PointDouble 2"/>
    <w:basedOn w:val="Normal"/>
    <w:rsid w:val="006A41D9"/>
    <w:pPr>
      <w:tabs>
        <w:tab w:val="left" w:pos="1984"/>
      </w:tabs>
      <w:spacing w:before="120" w:after="120" w:line="240" w:lineRule="auto"/>
      <w:ind w:left="2551" w:hanging="1134"/>
      <w:jc w:val="both"/>
    </w:pPr>
    <w:rPr>
      <w:rFonts w:ascii="Times New Roman" w:hAnsi="Times New Roman" w:cs="Times New Roman"/>
      <w:sz w:val="24"/>
    </w:rPr>
  </w:style>
  <w:style w:type="paragraph" w:customStyle="1" w:styleId="PointDouble3">
    <w:name w:val="PointDouble 3"/>
    <w:basedOn w:val="Normal"/>
    <w:rsid w:val="006A41D9"/>
    <w:pPr>
      <w:tabs>
        <w:tab w:val="left" w:pos="2551"/>
      </w:tabs>
      <w:spacing w:before="120" w:after="120" w:line="240" w:lineRule="auto"/>
      <w:ind w:left="3118" w:hanging="1134"/>
      <w:jc w:val="both"/>
    </w:pPr>
    <w:rPr>
      <w:rFonts w:ascii="Times New Roman" w:hAnsi="Times New Roman" w:cs="Times New Roman"/>
      <w:sz w:val="24"/>
    </w:rPr>
  </w:style>
  <w:style w:type="paragraph" w:customStyle="1" w:styleId="PointDouble4">
    <w:name w:val="PointDouble 4"/>
    <w:basedOn w:val="Normal"/>
    <w:rsid w:val="006A41D9"/>
    <w:pPr>
      <w:tabs>
        <w:tab w:val="left" w:pos="3118"/>
      </w:tabs>
      <w:spacing w:before="120" w:after="120" w:line="240" w:lineRule="auto"/>
      <w:ind w:left="3685" w:hanging="1134"/>
      <w:jc w:val="both"/>
    </w:pPr>
    <w:rPr>
      <w:rFonts w:ascii="Times New Roman" w:hAnsi="Times New Roman" w:cs="Times New Roman"/>
      <w:sz w:val="24"/>
    </w:rPr>
  </w:style>
  <w:style w:type="paragraph" w:customStyle="1" w:styleId="PointTriple0">
    <w:name w:val="PointTriple 0"/>
    <w:basedOn w:val="Normal"/>
    <w:rsid w:val="006A41D9"/>
    <w:pPr>
      <w:tabs>
        <w:tab w:val="left" w:pos="850"/>
        <w:tab w:val="left" w:pos="1417"/>
      </w:tabs>
      <w:spacing w:before="120" w:after="120" w:line="240" w:lineRule="auto"/>
      <w:ind w:left="1984" w:hanging="1984"/>
      <w:jc w:val="both"/>
    </w:pPr>
    <w:rPr>
      <w:rFonts w:ascii="Times New Roman" w:hAnsi="Times New Roman" w:cs="Times New Roman"/>
      <w:sz w:val="24"/>
    </w:rPr>
  </w:style>
  <w:style w:type="paragraph" w:customStyle="1" w:styleId="PointTriple1">
    <w:name w:val="PointTriple 1"/>
    <w:basedOn w:val="Normal"/>
    <w:rsid w:val="006A41D9"/>
    <w:pPr>
      <w:tabs>
        <w:tab w:val="left" w:pos="1417"/>
        <w:tab w:val="left" w:pos="1984"/>
      </w:tabs>
      <w:spacing w:before="120" w:after="120" w:line="240" w:lineRule="auto"/>
      <w:ind w:left="2551" w:hanging="1701"/>
      <w:jc w:val="both"/>
    </w:pPr>
    <w:rPr>
      <w:rFonts w:ascii="Times New Roman" w:hAnsi="Times New Roman" w:cs="Times New Roman"/>
      <w:sz w:val="24"/>
    </w:rPr>
  </w:style>
  <w:style w:type="paragraph" w:customStyle="1" w:styleId="PointTriple2">
    <w:name w:val="PointTriple 2"/>
    <w:basedOn w:val="Normal"/>
    <w:rsid w:val="006A41D9"/>
    <w:pPr>
      <w:tabs>
        <w:tab w:val="left" w:pos="1984"/>
        <w:tab w:val="left" w:pos="2551"/>
      </w:tabs>
      <w:spacing w:before="120" w:after="120" w:line="240" w:lineRule="auto"/>
      <w:ind w:left="3118" w:hanging="1701"/>
      <w:jc w:val="both"/>
    </w:pPr>
    <w:rPr>
      <w:rFonts w:ascii="Times New Roman" w:hAnsi="Times New Roman" w:cs="Times New Roman"/>
      <w:sz w:val="24"/>
    </w:rPr>
  </w:style>
  <w:style w:type="paragraph" w:customStyle="1" w:styleId="PointTriple3">
    <w:name w:val="PointTriple 3"/>
    <w:basedOn w:val="Normal"/>
    <w:rsid w:val="006A41D9"/>
    <w:pPr>
      <w:tabs>
        <w:tab w:val="left" w:pos="2551"/>
        <w:tab w:val="left" w:pos="3118"/>
      </w:tabs>
      <w:spacing w:before="120" w:after="120" w:line="240" w:lineRule="auto"/>
      <w:ind w:left="3685" w:hanging="1701"/>
      <w:jc w:val="both"/>
    </w:pPr>
    <w:rPr>
      <w:rFonts w:ascii="Times New Roman" w:hAnsi="Times New Roman" w:cs="Times New Roman"/>
      <w:sz w:val="24"/>
    </w:rPr>
  </w:style>
  <w:style w:type="paragraph" w:customStyle="1" w:styleId="PointTriple4">
    <w:name w:val="PointTriple 4"/>
    <w:basedOn w:val="Normal"/>
    <w:rsid w:val="006A41D9"/>
    <w:pPr>
      <w:tabs>
        <w:tab w:val="left" w:pos="3118"/>
        <w:tab w:val="left" w:pos="3685"/>
      </w:tabs>
      <w:spacing w:before="120" w:after="120" w:line="240" w:lineRule="auto"/>
      <w:ind w:left="4252" w:hanging="1701"/>
      <w:jc w:val="both"/>
    </w:pPr>
    <w:rPr>
      <w:rFonts w:ascii="Times New Roman" w:hAnsi="Times New Roman" w:cs="Times New Roman"/>
      <w:sz w:val="24"/>
    </w:rPr>
  </w:style>
  <w:style w:type="paragraph" w:customStyle="1" w:styleId="NumPar1">
    <w:name w:val="NumPar 1"/>
    <w:basedOn w:val="Normal"/>
    <w:next w:val="Text1"/>
    <w:rsid w:val="006A41D9"/>
    <w:pPr>
      <w:numPr>
        <w:numId w:val="7"/>
      </w:numPr>
      <w:spacing w:before="120" w:after="120" w:line="240" w:lineRule="auto"/>
      <w:jc w:val="both"/>
    </w:pPr>
    <w:rPr>
      <w:rFonts w:ascii="Times New Roman" w:hAnsi="Times New Roman" w:cs="Times New Roman"/>
      <w:sz w:val="24"/>
    </w:rPr>
  </w:style>
  <w:style w:type="paragraph" w:customStyle="1" w:styleId="NumPar2">
    <w:name w:val="NumPar 2"/>
    <w:basedOn w:val="Normal"/>
    <w:next w:val="Text1"/>
    <w:rsid w:val="006A41D9"/>
    <w:pPr>
      <w:numPr>
        <w:ilvl w:val="1"/>
        <w:numId w:val="7"/>
      </w:numPr>
      <w:spacing w:before="120" w:after="120" w:line="240" w:lineRule="auto"/>
      <w:jc w:val="both"/>
    </w:pPr>
    <w:rPr>
      <w:rFonts w:ascii="Times New Roman" w:hAnsi="Times New Roman" w:cs="Times New Roman"/>
      <w:sz w:val="24"/>
    </w:rPr>
  </w:style>
  <w:style w:type="paragraph" w:customStyle="1" w:styleId="NumPar3">
    <w:name w:val="NumPar 3"/>
    <w:basedOn w:val="Normal"/>
    <w:next w:val="Text1"/>
    <w:rsid w:val="006A41D9"/>
    <w:pPr>
      <w:numPr>
        <w:ilvl w:val="2"/>
        <w:numId w:val="7"/>
      </w:numPr>
      <w:spacing w:before="120" w:after="120" w:line="240" w:lineRule="auto"/>
      <w:jc w:val="both"/>
    </w:pPr>
    <w:rPr>
      <w:rFonts w:ascii="Times New Roman" w:hAnsi="Times New Roman" w:cs="Times New Roman"/>
      <w:sz w:val="24"/>
    </w:rPr>
  </w:style>
  <w:style w:type="paragraph" w:customStyle="1" w:styleId="NumPar4">
    <w:name w:val="NumPar 4"/>
    <w:basedOn w:val="Normal"/>
    <w:next w:val="Text1"/>
    <w:rsid w:val="006A41D9"/>
    <w:pPr>
      <w:numPr>
        <w:ilvl w:val="3"/>
        <w:numId w:val="7"/>
      </w:numPr>
      <w:spacing w:before="120" w:after="120" w:line="240" w:lineRule="auto"/>
      <w:jc w:val="both"/>
    </w:pPr>
    <w:rPr>
      <w:rFonts w:ascii="Times New Roman" w:hAnsi="Times New Roman" w:cs="Times New Roman"/>
      <w:sz w:val="24"/>
    </w:rPr>
  </w:style>
  <w:style w:type="paragraph" w:customStyle="1" w:styleId="ManualNumPar1">
    <w:name w:val="Manual NumPar 1"/>
    <w:basedOn w:val="Normal"/>
    <w:next w:val="Text1"/>
    <w:rsid w:val="006A41D9"/>
    <w:pPr>
      <w:spacing w:before="120" w:after="120" w:line="240" w:lineRule="auto"/>
      <w:ind w:left="850" w:hanging="850"/>
      <w:jc w:val="both"/>
    </w:pPr>
    <w:rPr>
      <w:rFonts w:ascii="Times New Roman" w:hAnsi="Times New Roman" w:cs="Times New Roman"/>
      <w:sz w:val="24"/>
    </w:rPr>
  </w:style>
  <w:style w:type="paragraph" w:customStyle="1" w:styleId="ManualNumPar2">
    <w:name w:val="Manual NumPar 2"/>
    <w:basedOn w:val="Normal"/>
    <w:next w:val="Text1"/>
    <w:rsid w:val="006A41D9"/>
    <w:pPr>
      <w:spacing w:before="120" w:after="120" w:line="240" w:lineRule="auto"/>
      <w:ind w:left="850" w:hanging="850"/>
      <w:jc w:val="both"/>
    </w:pPr>
    <w:rPr>
      <w:rFonts w:ascii="Times New Roman" w:hAnsi="Times New Roman" w:cs="Times New Roman"/>
      <w:sz w:val="24"/>
    </w:rPr>
  </w:style>
  <w:style w:type="paragraph" w:customStyle="1" w:styleId="ManualNumPar3">
    <w:name w:val="Manual NumPar 3"/>
    <w:basedOn w:val="Normal"/>
    <w:next w:val="Text1"/>
    <w:rsid w:val="006A41D9"/>
    <w:pPr>
      <w:spacing w:before="120" w:after="120" w:line="240" w:lineRule="auto"/>
      <w:ind w:left="850" w:hanging="850"/>
      <w:jc w:val="both"/>
    </w:pPr>
    <w:rPr>
      <w:rFonts w:ascii="Times New Roman" w:hAnsi="Times New Roman" w:cs="Times New Roman"/>
      <w:sz w:val="24"/>
    </w:rPr>
  </w:style>
  <w:style w:type="paragraph" w:customStyle="1" w:styleId="ManualNumPar4">
    <w:name w:val="Manual NumPar 4"/>
    <w:basedOn w:val="Normal"/>
    <w:next w:val="Text1"/>
    <w:rsid w:val="006A41D9"/>
    <w:pPr>
      <w:spacing w:before="120" w:after="120" w:line="240" w:lineRule="auto"/>
      <w:ind w:left="850" w:hanging="850"/>
      <w:jc w:val="both"/>
    </w:pPr>
    <w:rPr>
      <w:rFonts w:ascii="Times New Roman" w:hAnsi="Times New Roman" w:cs="Times New Roman"/>
      <w:sz w:val="24"/>
    </w:rPr>
  </w:style>
  <w:style w:type="paragraph" w:customStyle="1" w:styleId="QuotedNumPar">
    <w:name w:val="Quoted NumPar"/>
    <w:basedOn w:val="Normal"/>
    <w:rsid w:val="006A41D9"/>
    <w:pPr>
      <w:spacing w:before="120" w:after="120" w:line="240" w:lineRule="auto"/>
      <w:ind w:left="1417" w:hanging="567"/>
      <w:jc w:val="both"/>
    </w:pPr>
    <w:rPr>
      <w:rFonts w:ascii="Times New Roman" w:hAnsi="Times New Roman" w:cs="Times New Roman"/>
      <w:sz w:val="24"/>
    </w:rPr>
  </w:style>
  <w:style w:type="paragraph" w:customStyle="1" w:styleId="ManualHeading1">
    <w:name w:val="Manual Heading 1"/>
    <w:basedOn w:val="Normal"/>
    <w:next w:val="Text1"/>
    <w:rsid w:val="006A41D9"/>
    <w:pPr>
      <w:keepNext/>
      <w:tabs>
        <w:tab w:val="left" w:pos="850"/>
      </w:tabs>
      <w:spacing w:before="360" w:after="120" w:line="240" w:lineRule="auto"/>
      <w:ind w:left="850" w:hanging="850"/>
      <w:jc w:val="both"/>
      <w:outlineLvl w:val="0"/>
    </w:pPr>
    <w:rPr>
      <w:rFonts w:ascii="Times New Roman" w:hAnsi="Times New Roman" w:cs="Times New Roman"/>
      <w:b/>
      <w:smallCaps/>
      <w:sz w:val="24"/>
    </w:rPr>
  </w:style>
  <w:style w:type="paragraph" w:customStyle="1" w:styleId="ManualHeading2">
    <w:name w:val="Manual Heading 2"/>
    <w:basedOn w:val="Normal"/>
    <w:next w:val="Text1"/>
    <w:rsid w:val="006A41D9"/>
    <w:pPr>
      <w:keepNext/>
      <w:tabs>
        <w:tab w:val="left" w:pos="850"/>
      </w:tabs>
      <w:spacing w:before="120" w:after="120" w:line="240" w:lineRule="auto"/>
      <w:ind w:left="850" w:hanging="850"/>
      <w:jc w:val="both"/>
      <w:outlineLvl w:val="1"/>
    </w:pPr>
    <w:rPr>
      <w:rFonts w:ascii="Times New Roman" w:hAnsi="Times New Roman" w:cs="Times New Roman"/>
      <w:b/>
      <w:sz w:val="24"/>
    </w:rPr>
  </w:style>
  <w:style w:type="paragraph" w:customStyle="1" w:styleId="ManualHeading3">
    <w:name w:val="Manual Heading 3"/>
    <w:basedOn w:val="Normal"/>
    <w:next w:val="Text1"/>
    <w:rsid w:val="006A41D9"/>
    <w:pPr>
      <w:keepNext/>
      <w:tabs>
        <w:tab w:val="left" w:pos="850"/>
      </w:tabs>
      <w:spacing w:before="120" w:after="120" w:line="240" w:lineRule="auto"/>
      <w:ind w:left="850" w:hanging="850"/>
      <w:jc w:val="both"/>
      <w:outlineLvl w:val="2"/>
    </w:pPr>
    <w:rPr>
      <w:rFonts w:ascii="Times New Roman" w:hAnsi="Times New Roman" w:cs="Times New Roman"/>
      <w:i/>
      <w:sz w:val="24"/>
    </w:rPr>
  </w:style>
  <w:style w:type="paragraph" w:customStyle="1" w:styleId="ManualHeading4">
    <w:name w:val="Manual Heading 4"/>
    <w:basedOn w:val="Normal"/>
    <w:next w:val="Text1"/>
    <w:rsid w:val="006A41D9"/>
    <w:pPr>
      <w:keepNext/>
      <w:tabs>
        <w:tab w:val="left" w:pos="850"/>
      </w:tabs>
      <w:spacing w:before="120" w:after="120" w:line="240" w:lineRule="auto"/>
      <w:ind w:left="850" w:hanging="850"/>
      <w:jc w:val="both"/>
      <w:outlineLvl w:val="3"/>
    </w:pPr>
    <w:rPr>
      <w:rFonts w:ascii="Times New Roman" w:hAnsi="Times New Roman" w:cs="Times New Roman"/>
      <w:sz w:val="24"/>
    </w:rPr>
  </w:style>
  <w:style w:type="paragraph" w:customStyle="1" w:styleId="ChapterTitle">
    <w:name w:val="ChapterTitle"/>
    <w:basedOn w:val="Normal"/>
    <w:next w:val="Normal"/>
    <w:rsid w:val="006A41D9"/>
    <w:pPr>
      <w:keepNext/>
      <w:spacing w:before="120" w:after="360" w:line="240" w:lineRule="auto"/>
      <w:jc w:val="center"/>
    </w:pPr>
    <w:rPr>
      <w:rFonts w:ascii="Times New Roman" w:hAnsi="Times New Roman" w:cs="Times New Roman"/>
      <w:b/>
      <w:sz w:val="32"/>
    </w:rPr>
  </w:style>
  <w:style w:type="paragraph" w:customStyle="1" w:styleId="PartTitle">
    <w:name w:val="PartTitle"/>
    <w:basedOn w:val="Normal"/>
    <w:next w:val="ChapterTitle"/>
    <w:rsid w:val="006A41D9"/>
    <w:pPr>
      <w:keepNext/>
      <w:pageBreakBefore/>
      <w:spacing w:before="120" w:after="360" w:line="240" w:lineRule="auto"/>
      <w:jc w:val="center"/>
    </w:pPr>
    <w:rPr>
      <w:rFonts w:ascii="Times New Roman" w:hAnsi="Times New Roman" w:cs="Times New Roman"/>
      <w:b/>
      <w:sz w:val="36"/>
    </w:rPr>
  </w:style>
  <w:style w:type="paragraph" w:customStyle="1" w:styleId="SectionTitle">
    <w:name w:val="SectionTitle"/>
    <w:basedOn w:val="Normal"/>
    <w:next w:val="Heading1"/>
    <w:rsid w:val="006A41D9"/>
    <w:pPr>
      <w:keepNext/>
      <w:spacing w:before="120" w:after="360" w:line="240" w:lineRule="auto"/>
      <w:jc w:val="center"/>
    </w:pPr>
    <w:rPr>
      <w:rFonts w:ascii="Times New Roman" w:hAnsi="Times New Roman" w:cs="Times New Roman"/>
      <w:b/>
      <w:smallCaps/>
      <w:sz w:val="28"/>
    </w:rPr>
  </w:style>
  <w:style w:type="paragraph" w:customStyle="1" w:styleId="TableTitle">
    <w:name w:val="Table Title"/>
    <w:basedOn w:val="Normal"/>
    <w:next w:val="Normal"/>
    <w:rsid w:val="006A41D9"/>
    <w:pPr>
      <w:spacing w:before="120" w:after="120" w:line="240" w:lineRule="auto"/>
      <w:jc w:val="center"/>
    </w:pPr>
    <w:rPr>
      <w:rFonts w:ascii="Times New Roman" w:hAnsi="Times New Roman" w:cs="Times New Roman"/>
      <w:b/>
      <w:sz w:val="24"/>
    </w:rPr>
  </w:style>
  <w:style w:type="character" w:customStyle="1" w:styleId="Marker">
    <w:name w:val="Marker"/>
    <w:basedOn w:val="DefaultParagraphFont"/>
    <w:rsid w:val="006A41D9"/>
    <w:rPr>
      <w:color w:val="0000FF"/>
      <w:shd w:val="clear" w:color="auto" w:fill="auto"/>
    </w:rPr>
  </w:style>
  <w:style w:type="character" w:customStyle="1" w:styleId="Marker1">
    <w:name w:val="Marker1"/>
    <w:basedOn w:val="DefaultParagraphFont"/>
    <w:rsid w:val="006A41D9"/>
    <w:rPr>
      <w:color w:val="008000"/>
      <w:shd w:val="clear" w:color="auto" w:fill="auto"/>
    </w:rPr>
  </w:style>
  <w:style w:type="character" w:customStyle="1" w:styleId="Marker2">
    <w:name w:val="Marker2"/>
    <w:basedOn w:val="DefaultParagraphFont"/>
    <w:rsid w:val="006A41D9"/>
    <w:rPr>
      <w:color w:val="FF0000"/>
      <w:shd w:val="clear" w:color="auto" w:fill="auto"/>
    </w:rPr>
  </w:style>
  <w:style w:type="paragraph" w:customStyle="1" w:styleId="Point0number">
    <w:name w:val="Point 0 (number)"/>
    <w:basedOn w:val="Normal"/>
    <w:rsid w:val="006A41D9"/>
    <w:pPr>
      <w:numPr>
        <w:numId w:val="8"/>
      </w:numPr>
      <w:spacing w:before="120" w:after="120" w:line="240" w:lineRule="auto"/>
      <w:jc w:val="both"/>
    </w:pPr>
    <w:rPr>
      <w:rFonts w:ascii="Times New Roman" w:hAnsi="Times New Roman" w:cs="Times New Roman"/>
      <w:sz w:val="24"/>
    </w:rPr>
  </w:style>
  <w:style w:type="paragraph" w:customStyle="1" w:styleId="Point1number">
    <w:name w:val="Point 1 (number)"/>
    <w:basedOn w:val="Normal"/>
    <w:rsid w:val="006A41D9"/>
    <w:pPr>
      <w:numPr>
        <w:ilvl w:val="2"/>
        <w:numId w:val="8"/>
      </w:numPr>
      <w:spacing w:before="120" w:after="120" w:line="240" w:lineRule="auto"/>
      <w:jc w:val="both"/>
    </w:pPr>
    <w:rPr>
      <w:rFonts w:ascii="Times New Roman" w:hAnsi="Times New Roman" w:cs="Times New Roman"/>
      <w:sz w:val="24"/>
    </w:rPr>
  </w:style>
  <w:style w:type="paragraph" w:customStyle="1" w:styleId="Point2number">
    <w:name w:val="Point 2 (number)"/>
    <w:basedOn w:val="Normal"/>
    <w:rsid w:val="006A41D9"/>
    <w:pPr>
      <w:numPr>
        <w:ilvl w:val="4"/>
        <w:numId w:val="8"/>
      </w:numPr>
      <w:spacing w:before="120" w:after="120" w:line="240" w:lineRule="auto"/>
      <w:jc w:val="both"/>
    </w:pPr>
    <w:rPr>
      <w:rFonts w:ascii="Times New Roman" w:hAnsi="Times New Roman" w:cs="Times New Roman"/>
      <w:sz w:val="24"/>
    </w:rPr>
  </w:style>
  <w:style w:type="paragraph" w:customStyle="1" w:styleId="Point3number">
    <w:name w:val="Point 3 (number)"/>
    <w:basedOn w:val="Normal"/>
    <w:rsid w:val="006A41D9"/>
    <w:pPr>
      <w:numPr>
        <w:ilvl w:val="6"/>
        <w:numId w:val="8"/>
      </w:numPr>
      <w:spacing w:before="120" w:after="120" w:line="240" w:lineRule="auto"/>
      <w:jc w:val="both"/>
    </w:pPr>
    <w:rPr>
      <w:rFonts w:ascii="Times New Roman" w:hAnsi="Times New Roman" w:cs="Times New Roman"/>
      <w:sz w:val="24"/>
    </w:rPr>
  </w:style>
  <w:style w:type="paragraph" w:customStyle="1" w:styleId="Point0letter">
    <w:name w:val="Point 0 (letter)"/>
    <w:basedOn w:val="Normal"/>
    <w:rsid w:val="006A41D9"/>
    <w:pPr>
      <w:numPr>
        <w:ilvl w:val="1"/>
        <w:numId w:val="8"/>
      </w:numPr>
      <w:spacing w:before="120" w:after="120" w:line="240" w:lineRule="auto"/>
      <w:jc w:val="both"/>
    </w:pPr>
    <w:rPr>
      <w:rFonts w:ascii="Times New Roman" w:hAnsi="Times New Roman" w:cs="Times New Roman"/>
      <w:sz w:val="24"/>
    </w:rPr>
  </w:style>
  <w:style w:type="paragraph" w:customStyle="1" w:styleId="Point1letter">
    <w:name w:val="Point 1 (letter)"/>
    <w:basedOn w:val="Normal"/>
    <w:rsid w:val="006A41D9"/>
    <w:pPr>
      <w:numPr>
        <w:ilvl w:val="3"/>
        <w:numId w:val="8"/>
      </w:numPr>
      <w:spacing w:before="120" w:after="120" w:line="240" w:lineRule="auto"/>
      <w:jc w:val="both"/>
    </w:pPr>
    <w:rPr>
      <w:rFonts w:ascii="Times New Roman" w:hAnsi="Times New Roman" w:cs="Times New Roman"/>
      <w:sz w:val="24"/>
    </w:rPr>
  </w:style>
  <w:style w:type="paragraph" w:customStyle="1" w:styleId="Point2letter">
    <w:name w:val="Point 2 (letter)"/>
    <w:basedOn w:val="Normal"/>
    <w:rsid w:val="006A41D9"/>
    <w:pPr>
      <w:numPr>
        <w:ilvl w:val="5"/>
        <w:numId w:val="8"/>
      </w:numPr>
      <w:spacing w:before="120" w:after="120" w:line="240" w:lineRule="auto"/>
      <w:jc w:val="both"/>
    </w:pPr>
    <w:rPr>
      <w:rFonts w:ascii="Times New Roman" w:hAnsi="Times New Roman" w:cs="Times New Roman"/>
      <w:sz w:val="24"/>
    </w:rPr>
  </w:style>
  <w:style w:type="paragraph" w:customStyle="1" w:styleId="Point3letter">
    <w:name w:val="Point 3 (letter)"/>
    <w:basedOn w:val="Normal"/>
    <w:rsid w:val="006A41D9"/>
    <w:pPr>
      <w:numPr>
        <w:ilvl w:val="7"/>
        <w:numId w:val="8"/>
      </w:numPr>
      <w:spacing w:before="120" w:after="120" w:line="240" w:lineRule="auto"/>
      <w:jc w:val="both"/>
    </w:pPr>
    <w:rPr>
      <w:rFonts w:ascii="Times New Roman" w:hAnsi="Times New Roman" w:cs="Times New Roman"/>
      <w:sz w:val="24"/>
    </w:rPr>
  </w:style>
  <w:style w:type="paragraph" w:customStyle="1" w:styleId="Point4letter">
    <w:name w:val="Point 4 (letter)"/>
    <w:basedOn w:val="Normal"/>
    <w:rsid w:val="006A41D9"/>
    <w:pPr>
      <w:numPr>
        <w:ilvl w:val="8"/>
        <w:numId w:val="8"/>
      </w:numPr>
      <w:spacing w:before="120" w:after="120" w:line="240" w:lineRule="auto"/>
      <w:jc w:val="both"/>
    </w:pPr>
    <w:rPr>
      <w:rFonts w:ascii="Times New Roman" w:hAnsi="Times New Roman" w:cs="Times New Roman"/>
      <w:sz w:val="24"/>
    </w:rPr>
  </w:style>
  <w:style w:type="paragraph" w:customStyle="1" w:styleId="Bullet0">
    <w:name w:val="Bullet 0"/>
    <w:basedOn w:val="Normal"/>
    <w:rsid w:val="006A41D9"/>
    <w:pPr>
      <w:numPr>
        <w:numId w:val="9"/>
      </w:numPr>
      <w:spacing w:before="120" w:after="120" w:line="240" w:lineRule="auto"/>
      <w:jc w:val="both"/>
    </w:pPr>
    <w:rPr>
      <w:rFonts w:ascii="Times New Roman" w:hAnsi="Times New Roman" w:cs="Times New Roman"/>
      <w:sz w:val="24"/>
    </w:rPr>
  </w:style>
  <w:style w:type="paragraph" w:customStyle="1" w:styleId="Bullet1">
    <w:name w:val="Bullet 1"/>
    <w:basedOn w:val="Normal"/>
    <w:rsid w:val="006A41D9"/>
    <w:pPr>
      <w:numPr>
        <w:numId w:val="10"/>
      </w:numPr>
      <w:spacing w:before="120" w:after="120" w:line="240" w:lineRule="auto"/>
      <w:jc w:val="both"/>
    </w:pPr>
    <w:rPr>
      <w:rFonts w:ascii="Times New Roman" w:hAnsi="Times New Roman" w:cs="Times New Roman"/>
      <w:sz w:val="24"/>
    </w:rPr>
  </w:style>
  <w:style w:type="paragraph" w:customStyle="1" w:styleId="Bullet2">
    <w:name w:val="Bullet 2"/>
    <w:basedOn w:val="Normal"/>
    <w:rsid w:val="006A41D9"/>
    <w:pPr>
      <w:numPr>
        <w:numId w:val="11"/>
      </w:numPr>
      <w:spacing w:before="120" w:after="120" w:line="240" w:lineRule="auto"/>
      <w:jc w:val="both"/>
    </w:pPr>
    <w:rPr>
      <w:rFonts w:ascii="Times New Roman" w:hAnsi="Times New Roman" w:cs="Times New Roman"/>
      <w:sz w:val="24"/>
    </w:rPr>
  </w:style>
  <w:style w:type="paragraph" w:customStyle="1" w:styleId="Bullet3">
    <w:name w:val="Bullet 3"/>
    <w:basedOn w:val="Normal"/>
    <w:rsid w:val="006A41D9"/>
    <w:pPr>
      <w:numPr>
        <w:numId w:val="12"/>
      </w:numPr>
      <w:spacing w:before="120" w:after="120" w:line="240" w:lineRule="auto"/>
      <w:jc w:val="both"/>
    </w:pPr>
    <w:rPr>
      <w:rFonts w:ascii="Times New Roman" w:hAnsi="Times New Roman" w:cs="Times New Roman"/>
      <w:sz w:val="24"/>
    </w:rPr>
  </w:style>
  <w:style w:type="paragraph" w:customStyle="1" w:styleId="Bullet4">
    <w:name w:val="Bullet 4"/>
    <w:basedOn w:val="Normal"/>
    <w:rsid w:val="006A41D9"/>
    <w:pPr>
      <w:numPr>
        <w:numId w:val="13"/>
      </w:numPr>
      <w:spacing w:before="120" w:after="120" w:line="240" w:lineRule="auto"/>
      <w:jc w:val="both"/>
    </w:pPr>
    <w:rPr>
      <w:rFonts w:ascii="Times New Roman" w:hAnsi="Times New Roman" w:cs="Times New Roman"/>
      <w:sz w:val="24"/>
    </w:rPr>
  </w:style>
  <w:style w:type="paragraph" w:customStyle="1" w:styleId="Langue">
    <w:name w:val="Langue"/>
    <w:basedOn w:val="Normal"/>
    <w:next w:val="Rfrenceinterne"/>
    <w:rsid w:val="006A41D9"/>
    <w:pPr>
      <w:framePr w:wrap="around" w:vAnchor="page" w:hAnchor="text" w:xAlign="center" w:y="14741"/>
      <w:spacing w:after="600" w:line="240" w:lineRule="auto"/>
      <w:jc w:val="center"/>
    </w:pPr>
    <w:rPr>
      <w:rFonts w:ascii="Times New Roman" w:hAnsi="Times New Roman" w:cs="Times New Roman"/>
      <w:b/>
      <w:caps/>
      <w:sz w:val="24"/>
    </w:rPr>
  </w:style>
  <w:style w:type="paragraph" w:customStyle="1" w:styleId="Nomdelinstitution">
    <w:name w:val="Nom de l'institution"/>
    <w:basedOn w:val="Normal"/>
    <w:next w:val="Emission"/>
    <w:rsid w:val="006A41D9"/>
    <w:pPr>
      <w:spacing w:after="0" w:line="240" w:lineRule="auto"/>
    </w:pPr>
    <w:rPr>
      <w:rFonts w:ascii="Arial" w:hAnsi="Arial" w:cs="Arial"/>
      <w:sz w:val="24"/>
    </w:rPr>
  </w:style>
  <w:style w:type="paragraph" w:customStyle="1" w:styleId="Emission">
    <w:name w:val="Emission"/>
    <w:basedOn w:val="Normal"/>
    <w:next w:val="Rfrenceinstitutionnelle"/>
    <w:rsid w:val="006A41D9"/>
    <w:pPr>
      <w:spacing w:after="0" w:line="240" w:lineRule="auto"/>
      <w:ind w:left="5103"/>
    </w:pPr>
    <w:rPr>
      <w:rFonts w:ascii="Times New Roman" w:hAnsi="Times New Roman" w:cs="Times New Roman"/>
      <w:sz w:val="24"/>
    </w:rPr>
  </w:style>
  <w:style w:type="paragraph" w:customStyle="1" w:styleId="Rfrenceinstitutionnelle">
    <w:name w:val="Référence institutionnelle"/>
    <w:basedOn w:val="Normal"/>
    <w:next w:val="Confidentialit"/>
    <w:rsid w:val="006A41D9"/>
    <w:pPr>
      <w:spacing w:after="240" w:line="240" w:lineRule="auto"/>
      <w:ind w:left="5103"/>
    </w:pPr>
    <w:rPr>
      <w:rFonts w:ascii="Times New Roman" w:hAnsi="Times New Roman" w:cs="Times New Roman"/>
      <w:sz w:val="24"/>
    </w:rPr>
  </w:style>
  <w:style w:type="paragraph" w:customStyle="1" w:styleId="Pagedecouverture">
    <w:name w:val="Page de couverture"/>
    <w:basedOn w:val="Normal"/>
    <w:next w:val="Normal"/>
    <w:rsid w:val="006A41D9"/>
    <w:pPr>
      <w:spacing w:after="0" w:line="240" w:lineRule="auto"/>
      <w:jc w:val="both"/>
    </w:pPr>
    <w:rPr>
      <w:rFonts w:ascii="Times New Roman" w:hAnsi="Times New Roman" w:cs="Times New Roman"/>
      <w:sz w:val="24"/>
    </w:rPr>
  </w:style>
  <w:style w:type="paragraph" w:customStyle="1" w:styleId="Declassification">
    <w:name w:val="Declassification"/>
    <w:basedOn w:val="Normal"/>
    <w:next w:val="Normal"/>
    <w:rsid w:val="006A41D9"/>
    <w:pPr>
      <w:spacing w:after="0" w:line="240" w:lineRule="auto"/>
      <w:jc w:val="both"/>
    </w:pPr>
    <w:rPr>
      <w:rFonts w:ascii="Times New Roman" w:hAnsi="Times New Roman" w:cs="Times New Roman"/>
      <w:sz w:val="24"/>
    </w:rPr>
  </w:style>
  <w:style w:type="paragraph" w:customStyle="1" w:styleId="Disclaimer">
    <w:name w:val="Disclaimer"/>
    <w:basedOn w:val="Normal"/>
    <w:rsid w:val="006A41D9"/>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rsid w:val="006A41D9"/>
    <w:pPr>
      <w:spacing w:after="0" w:line="276" w:lineRule="auto"/>
      <w:ind w:left="5103"/>
    </w:pPr>
    <w:rPr>
      <w:rFonts w:ascii="Times New Roman" w:hAnsi="Times New Roman" w:cs="Times New Roman"/>
      <w:sz w:val="28"/>
    </w:rPr>
  </w:style>
  <w:style w:type="paragraph" w:customStyle="1" w:styleId="DateMarking">
    <w:name w:val="DateMarking"/>
    <w:basedOn w:val="Normal"/>
    <w:rsid w:val="006A41D9"/>
    <w:pPr>
      <w:spacing w:after="0" w:line="276" w:lineRule="auto"/>
      <w:ind w:left="5103"/>
    </w:pPr>
    <w:rPr>
      <w:rFonts w:ascii="Times New Roman" w:hAnsi="Times New Roman" w:cs="Times New Roman"/>
      <w:i/>
      <w:sz w:val="28"/>
    </w:rPr>
  </w:style>
  <w:style w:type="paragraph" w:customStyle="1" w:styleId="ReleasableTo">
    <w:name w:val="ReleasableTo"/>
    <w:basedOn w:val="Normal"/>
    <w:rsid w:val="006A41D9"/>
    <w:pPr>
      <w:spacing w:after="0" w:line="276" w:lineRule="auto"/>
      <w:ind w:left="5103"/>
    </w:pPr>
    <w:rPr>
      <w:rFonts w:ascii="Times New Roman" w:hAnsi="Times New Roman" w:cs="Times New Roman"/>
      <w:i/>
      <w:sz w:val="28"/>
    </w:rPr>
  </w:style>
  <w:style w:type="paragraph" w:customStyle="1" w:styleId="Annexetitreexpos">
    <w:name w:val="Annexe titre (exposé)"/>
    <w:basedOn w:val="Normal"/>
    <w:next w:val="Normal"/>
    <w:rsid w:val="006A41D9"/>
    <w:pPr>
      <w:spacing w:before="120" w:after="120" w:line="240" w:lineRule="auto"/>
      <w:jc w:val="center"/>
    </w:pPr>
    <w:rPr>
      <w:rFonts w:ascii="Times New Roman" w:hAnsi="Times New Roman" w:cs="Times New Roman"/>
      <w:b/>
      <w:sz w:val="24"/>
      <w:u w:val="single"/>
    </w:rPr>
  </w:style>
  <w:style w:type="paragraph" w:customStyle="1" w:styleId="Annexetitre">
    <w:name w:val="Annexe titre"/>
    <w:basedOn w:val="Normal"/>
    <w:next w:val="Normal"/>
    <w:rsid w:val="006A41D9"/>
    <w:pPr>
      <w:spacing w:before="120" w:after="120" w:line="240" w:lineRule="auto"/>
      <w:jc w:val="center"/>
    </w:pPr>
    <w:rPr>
      <w:rFonts w:ascii="Times New Roman" w:hAnsi="Times New Roman" w:cs="Times New Roman"/>
      <w:b/>
      <w:sz w:val="24"/>
      <w:u w:val="single"/>
    </w:rPr>
  </w:style>
  <w:style w:type="paragraph" w:customStyle="1" w:styleId="Annexetitrefichefinancire">
    <w:name w:val="Annexe titre (fiche financière)"/>
    <w:basedOn w:val="Normal"/>
    <w:next w:val="Normal"/>
    <w:rsid w:val="006A41D9"/>
    <w:pPr>
      <w:spacing w:before="120" w:after="120" w:line="240" w:lineRule="auto"/>
      <w:jc w:val="center"/>
    </w:pPr>
    <w:rPr>
      <w:rFonts w:ascii="Times New Roman" w:hAnsi="Times New Roman" w:cs="Times New Roman"/>
      <w:b/>
      <w:sz w:val="24"/>
      <w:u w:val="single"/>
    </w:rPr>
  </w:style>
  <w:style w:type="paragraph" w:customStyle="1" w:styleId="Applicationdirecte">
    <w:name w:val="Application directe"/>
    <w:basedOn w:val="Normal"/>
    <w:next w:val="Fait"/>
    <w:rsid w:val="006A41D9"/>
    <w:pPr>
      <w:spacing w:before="480" w:after="120" w:line="240" w:lineRule="auto"/>
      <w:jc w:val="both"/>
    </w:pPr>
    <w:rPr>
      <w:rFonts w:ascii="Times New Roman" w:hAnsi="Times New Roman" w:cs="Times New Roman"/>
      <w:sz w:val="24"/>
    </w:rPr>
  </w:style>
  <w:style w:type="paragraph" w:customStyle="1" w:styleId="Avertissementtitre">
    <w:name w:val="Avertissement titre"/>
    <w:basedOn w:val="Normal"/>
    <w:next w:val="Normal"/>
    <w:rsid w:val="006A41D9"/>
    <w:pPr>
      <w:keepNext/>
      <w:spacing w:before="480" w:after="120" w:line="240" w:lineRule="auto"/>
      <w:jc w:val="both"/>
    </w:pPr>
    <w:rPr>
      <w:rFonts w:ascii="Times New Roman" w:hAnsi="Times New Roman" w:cs="Times New Roman"/>
      <w:sz w:val="24"/>
      <w:u w:val="single"/>
    </w:rPr>
  </w:style>
  <w:style w:type="paragraph" w:customStyle="1" w:styleId="Confidence">
    <w:name w:val="Confidence"/>
    <w:basedOn w:val="Normal"/>
    <w:next w:val="Normal"/>
    <w:rsid w:val="006A41D9"/>
    <w:pPr>
      <w:spacing w:before="360" w:after="120" w:line="240" w:lineRule="auto"/>
      <w:jc w:val="center"/>
    </w:pPr>
    <w:rPr>
      <w:rFonts w:ascii="Times New Roman" w:hAnsi="Times New Roman" w:cs="Times New Roman"/>
      <w:sz w:val="24"/>
    </w:rPr>
  </w:style>
  <w:style w:type="paragraph" w:customStyle="1" w:styleId="Confidentialit">
    <w:name w:val="Confidentialité"/>
    <w:basedOn w:val="Normal"/>
    <w:next w:val="TypedudocumentPagedecouverture"/>
    <w:rsid w:val="006A41D9"/>
    <w:pPr>
      <w:spacing w:before="240" w:after="240" w:line="240" w:lineRule="auto"/>
      <w:ind w:left="5103"/>
    </w:pPr>
    <w:rPr>
      <w:rFonts w:ascii="Times New Roman" w:hAnsi="Times New Roman" w:cs="Times New Roman"/>
      <w:i/>
      <w:sz w:val="32"/>
    </w:rPr>
  </w:style>
  <w:style w:type="paragraph" w:customStyle="1" w:styleId="Considrant">
    <w:name w:val="Considérant"/>
    <w:basedOn w:val="Normal"/>
    <w:rsid w:val="006A41D9"/>
    <w:pPr>
      <w:numPr>
        <w:numId w:val="14"/>
      </w:numPr>
      <w:spacing w:before="120" w:after="120" w:line="240" w:lineRule="auto"/>
      <w:jc w:val="both"/>
    </w:pPr>
    <w:rPr>
      <w:rFonts w:ascii="Times New Roman" w:hAnsi="Times New Roman" w:cs="Times New Roman"/>
      <w:sz w:val="24"/>
    </w:rPr>
  </w:style>
  <w:style w:type="paragraph" w:customStyle="1" w:styleId="Corrigendum">
    <w:name w:val="Corrigendum"/>
    <w:basedOn w:val="Normal"/>
    <w:next w:val="Normal"/>
    <w:rsid w:val="006A41D9"/>
    <w:pPr>
      <w:spacing w:after="240" w:line="240" w:lineRule="auto"/>
    </w:pPr>
    <w:rPr>
      <w:rFonts w:ascii="Times New Roman" w:hAnsi="Times New Roman" w:cs="Times New Roman"/>
      <w:sz w:val="24"/>
    </w:rPr>
  </w:style>
  <w:style w:type="paragraph" w:customStyle="1" w:styleId="Datedadoption">
    <w:name w:val="Date d'adoption"/>
    <w:basedOn w:val="Normal"/>
    <w:next w:val="IntrtEEE"/>
    <w:rsid w:val="006A41D9"/>
    <w:pPr>
      <w:spacing w:before="360" w:after="0" w:line="240" w:lineRule="auto"/>
      <w:jc w:val="center"/>
    </w:pPr>
    <w:rPr>
      <w:rFonts w:ascii="Times New Roman" w:hAnsi="Times New Roman" w:cs="Times New Roman"/>
      <w:b/>
      <w:sz w:val="24"/>
    </w:rPr>
  </w:style>
  <w:style w:type="paragraph" w:customStyle="1" w:styleId="Exposdesmotifstitre">
    <w:name w:val="Exposé des motifs titre"/>
    <w:basedOn w:val="Normal"/>
    <w:next w:val="Normal"/>
    <w:rsid w:val="006A41D9"/>
    <w:pPr>
      <w:spacing w:before="120" w:after="120" w:line="240" w:lineRule="auto"/>
      <w:jc w:val="center"/>
    </w:pPr>
    <w:rPr>
      <w:rFonts w:ascii="Times New Roman" w:hAnsi="Times New Roman" w:cs="Times New Roman"/>
      <w:b/>
      <w:sz w:val="24"/>
      <w:u w:val="single"/>
    </w:rPr>
  </w:style>
  <w:style w:type="paragraph" w:customStyle="1" w:styleId="Fait">
    <w:name w:val="Fait à"/>
    <w:basedOn w:val="Normal"/>
    <w:next w:val="Institutionquisigne"/>
    <w:rsid w:val="006A41D9"/>
    <w:pPr>
      <w:keepNext/>
      <w:spacing w:before="120" w:after="0" w:line="240" w:lineRule="auto"/>
      <w:jc w:val="both"/>
    </w:pPr>
    <w:rPr>
      <w:rFonts w:ascii="Times New Roman" w:hAnsi="Times New Roman" w:cs="Times New Roman"/>
      <w:sz w:val="24"/>
    </w:rPr>
  </w:style>
  <w:style w:type="paragraph" w:customStyle="1" w:styleId="Formuledadoption">
    <w:name w:val="Formule d'adoption"/>
    <w:basedOn w:val="Normal"/>
    <w:next w:val="Titrearticle"/>
    <w:rsid w:val="006A41D9"/>
    <w:pPr>
      <w:keepNext/>
      <w:spacing w:before="120" w:after="120" w:line="240" w:lineRule="auto"/>
      <w:jc w:val="both"/>
    </w:pPr>
    <w:rPr>
      <w:rFonts w:ascii="Times New Roman" w:hAnsi="Times New Roman" w:cs="Times New Roman"/>
      <w:sz w:val="24"/>
    </w:rPr>
  </w:style>
  <w:style w:type="paragraph" w:customStyle="1" w:styleId="Institutionquiagit">
    <w:name w:val="Institution qui agit"/>
    <w:basedOn w:val="Normal"/>
    <w:next w:val="Normal"/>
    <w:rsid w:val="006A41D9"/>
    <w:pPr>
      <w:keepNext/>
      <w:spacing w:before="600" w:after="120" w:line="240" w:lineRule="auto"/>
      <w:jc w:val="both"/>
    </w:pPr>
    <w:rPr>
      <w:rFonts w:ascii="Times New Roman" w:hAnsi="Times New Roman" w:cs="Times New Roman"/>
      <w:sz w:val="24"/>
    </w:rPr>
  </w:style>
  <w:style w:type="paragraph" w:customStyle="1" w:styleId="Institutionquisigne">
    <w:name w:val="Institution qui signe"/>
    <w:basedOn w:val="Normal"/>
    <w:next w:val="Personnequisigne"/>
    <w:rsid w:val="006A41D9"/>
    <w:pPr>
      <w:keepNext/>
      <w:tabs>
        <w:tab w:val="left" w:pos="4252"/>
      </w:tabs>
      <w:spacing w:before="720" w:after="0" w:line="240" w:lineRule="auto"/>
      <w:jc w:val="both"/>
    </w:pPr>
    <w:rPr>
      <w:rFonts w:ascii="Times New Roman" w:hAnsi="Times New Roman" w:cs="Times New Roman"/>
      <w:i/>
      <w:sz w:val="24"/>
    </w:rPr>
  </w:style>
  <w:style w:type="paragraph" w:customStyle="1" w:styleId="ManualConsidrant">
    <w:name w:val="Manual Considérant"/>
    <w:basedOn w:val="Normal"/>
    <w:rsid w:val="006A41D9"/>
    <w:pPr>
      <w:spacing w:before="120" w:after="120" w:line="240" w:lineRule="auto"/>
      <w:ind w:left="709" w:hanging="709"/>
      <w:jc w:val="both"/>
    </w:pPr>
    <w:rPr>
      <w:rFonts w:ascii="Times New Roman" w:hAnsi="Times New Roman" w:cs="Times New Roman"/>
      <w:sz w:val="24"/>
    </w:rPr>
  </w:style>
  <w:style w:type="paragraph" w:customStyle="1" w:styleId="Personnequisigne">
    <w:name w:val="Personne qui signe"/>
    <w:basedOn w:val="Normal"/>
    <w:next w:val="Institutionquisigne"/>
    <w:rsid w:val="006A41D9"/>
    <w:pPr>
      <w:tabs>
        <w:tab w:val="left" w:pos="4252"/>
      </w:tabs>
      <w:spacing w:after="0" w:line="240" w:lineRule="auto"/>
    </w:pPr>
    <w:rPr>
      <w:rFonts w:ascii="Times New Roman" w:hAnsi="Times New Roman" w:cs="Times New Roman"/>
      <w:i/>
      <w:sz w:val="24"/>
    </w:rPr>
  </w:style>
  <w:style w:type="paragraph" w:customStyle="1" w:styleId="Rfrenceinterinstitutionnelle">
    <w:name w:val="Référence interinstitutionnelle"/>
    <w:basedOn w:val="Normal"/>
    <w:next w:val="Statut"/>
    <w:rsid w:val="006A41D9"/>
    <w:pPr>
      <w:spacing w:after="0" w:line="240" w:lineRule="auto"/>
      <w:ind w:left="5103"/>
    </w:pPr>
    <w:rPr>
      <w:rFonts w:ascii="Times New Roman" w:hAnsi="Times New Roman" w:cs="Times New Roman"/>
      <w:sz w:val="24"/>
    </w:rPr>
  </w:style>
  <w:style w:type="paragraph" w:customStyle="1" w:styleId="Rfrenceinterne">
    <w:name w:val="Référence interne"/>
    <w:basedOn w:val="Normal"/>
    <w:next w:val="Rfrenceinterinstitutionnelle"/>
    <w:rsid w:val="006A41D9"/>
    <w:pPr>
      <w:spacing w:after="0" w:line="240" w:lineRule="auto"/>
      <w:ind w:left="5103"/>
    </w:pPr>
    <w:rPr>
      <w:rFonts w:ascii="Times New Roman" w:hAnsi="Times New Roman" w:cs="Times New Roman"/>
      <w:sz w:val="24"/>
    </w:rPr>
  </w:style>
  <w:style w:type="paragraph" w:customStyle="1" w:styleId="Statut">
    <w:name w:val="Statut"/>
    <w:basedOn w:val="Normal"/>
    <w:next w:val="Typedudocument"/>
    <w:rsid w:val="006A41D9"/>
    <w:pPr>
      <w:spacing w:after="240" w:line="240" w:lineRule="auto"/>
      <w:jc w:val="center"/>
    </w:pPr>
    <w:rPr>
      <w:rFonts w:ascii="Times New Roman" w:hAnsi="Times New Roman" w:cs="Times New Roman"/>
      <w:sz w:val="24"/>
    </w:rPr>
  </w:style>
  <w:style w:type="paragraph" w:customStyle="1" w:styleId="Titrearticle">
    <w:name w:val="Titre article"/>
    <w:basedOn w:val="Normal"/>
    <w:next w:val="Normal"/>
    <w:rsid w:val="006A41D9"/>
    <w:pPr>
      <w:keepNext/>
      <w:spacing w:before="360" w:after="120" w:line="240" w:lineRule="auto"/>
      <w:jc w:val="center"/>
    </w:pPr>
    <w:rPr>
      <w:rFonts w:ascii="Times New Roman" w:hAnsi="Times New Roman" w:cs="Times New Roman"/>
      <w:i/>
      <w:sz w:val="24"/>
    </w:rPr>
  </w:style>
  <w:style w:type="paragraph" w:customStyle="1" w:styleId="Typedudocument">
    <w:name w:val="Type du document"/>
    <w:basedOn w:val="Normal"/>
    <w:next w:val="Accompagnant"/>
    <w:rsid w:val="006A41D9"/>
    <w:pPr>
      <w:spacing w:before="360" w:after="180" w:line="240" w:lineRule="auto"/>
      <w:jc w:val="center"/>
    </w:pPr>
    <w:rPr>
      <w:rFonts w:ascii="Times New Roman" w:hAnsi="Times New Roman" w:cs="Times New Roman"/>
      <w:b/>
      <w:sz w:val="24"/>
    </w:rPr>
  </w:style>
  <w:style w:type="character" w:customStyle="1" w:styleId="Added">
    <w:name w:val="Added"/>
    <w:basedOn w:val="DefaultParagraphFont"/>
    <w:rsid w:val="006A41D9"/>
    <w:rPr>
      <w:b/>
      <w:u w:val="single"/>
      <w:shd w:val="clear" w:color="auto" w:fill="auto"/>
    </w:rPr>
  </w:style>
  <w:style w:type="character" w:customStyle="1" w:styleId="Deleted">
    <w:name w:val="Deleted"/>
    <w:basedOn w:val="DefaultParagraphFont"/>
    <w:rsid w:val="006A41D9"/>
    <w:rPr>
      <w:strike/>
      <w:dstrike w:val="0"/>
      <w:shd w:val="clear" w:color="auto" w:fill="auto"/>
    </w:rPr>
  </w:style>
  <w:style w:type="paragraph" w:customStyle="1" w:styleId="Address">
    <w:name w:val="Address"/>
    <w:basedOn w:val="Normal"/>
    <w:next w:val="Normal"/>
    <w:rsid w:val="006A41D9"/>
    <w:pPr>
      <w:keepLines/>
      <w:spacing w:before="120" w:after="120" w:line="360" w:lineRule="auto"/>
      <w:ind w:left="3402"/>
    </w:pPr>
    <w:rPr>
      <w:rFonts w:ascii="Times New Roman" w:hAnsi="Times New Roman" w:cs="Times New Roman"/>
      <w:sz w:val="24"/>
    </w:rPr>
  </w:style>
  <w:style w:type="paragraph" w:customStyle="1" w:styleId="Objetexterne">
    <w:name w:val="Objet externe"/>
    <w:basedOn w:val="Normal"/>
    <w:next w:val="Normal"/>
    <w:rsid w:val="006A41D9"/>
    <w:pPr>
      <w:spacing w:before="120" w:after="120" w:line="240" w:lineRule="auto"/>
      <w:jc w:val="both"/>
    </w:pPr>
    <w:rPr>
      <w:rFonts w:ascii="Times New Roman" w:hAnsi="Times New Roman" w:cs="Times New Roman"/>
      <w:i/>
      <w:caps/>
      <w:sz w:val="24"/>
    </w:rPr>
  </w:style>
  <w:style w:type="paragraph" w:customStyle="1" w:styleId="Supertitre">
    <w:name w:val="Supertitre"/>
    <w:basedOn w:val="Normal"/>
    <w:next w:val="Normal"/>
    <w:rsid w:val="006A41D9"/>
    <w:pPr>
      <w:spacing w:after="600" w:line="240" w:lineRule="auto"/>
      <w:jc w:val="center"/>
    </w:pPr>
    <w:rPr>
      <w:rFonts w:ascii="Times New Roman" w:hAnsi="Times New Roman" w:cs="Times New Roman"/>
      <w:b/>
      <w:sz w:val="24"/>
    </w:rPr>
  </w:style>
  <w:style w:type="paragraph" w:customStyle="1" w:styleId="Languesfaisantfoi">
    <w:name w:val="Langues faisant foi"/>
    <w:basedOn w:val="Normal"/>
    <w:next w:val="Normal"/>
    <w:rsid w:val="006A41D9"/>
    <w:pPr>
      <w:spacing w:before="360" w:after="0" w:line="240" w:lineRule="auto"/>
      <w:jc w:val="center"/>
    </w:pPr>
    <w:rPr>
      <w:rFonts w:ascii="Times New Roman" w:hAnsi="Times New Roman" w:cs="Times New Roman"/>
      <w:sz w:val="24"/>
    </w:rPr>
  </w:style>
  <w:style w:type="paragraph" w:customStyle="1" w:styleId="Rfrencecroise">
    <w:name w:val="Référence croisée"/>
    <w:basedOn w:val="Normal"/>
    <w:rsid w:val="006A41D9"/>
    <w:pPr>
      <w:spacing w:after="0" w:line="240" w:lineRule="auto"/>
      <w:jc w:val="center"/>
    </w:pPr>
    <w:rPr>
      <w:rFonts w:ascii="Times New Roman" w:hAnsi="Times New Roman" w:cs="Times New Roman"/>
      <w:sz w:val="24"/>
    </w:rPr>
  </w:style>
  <w:style w:type="paragraph" w:customStyle="1" w:styleId="Fichefinanciretitre">
    <w:name w:val="Fiche financière titre"/>
    <w:basedOn w:val="Normal"/>
    <w:next w:val="Normal"/>
    <w:rsid w:val="006A41D9"/>
    <w:pPr>
      <w:spacing w:before="120" w:after="120" w:line="240" w:lineRule="auto"/>
      <w:jc w:val="center"/>
    </w:pPr>
    <w:rPr>
      <w:rFonts w:ascii="Times New Roman" w:hAnsi="Times New Roman" w:cs="Times New Roman"/>
      <w:b/>
      <w:sz w:val="24"/>
      <w:u w:val="single"/>
    </w:rPr>
  </w:style>
  <w:style w:type="paragraph" w:customStyle="1" w:styleId="DatedadoptionPagedecouverture">
    <w:name w:val="Date d'adoption (Page de couverture)"/>
    <w:basedOn w:val="Datedadoption"/>
    <w:next w:val="IntrtEEEPagedecouverture"/>
    <w:rsid w:val="006A41D9"/>
  </w:style>
  <w:style w:type="paragraph" w:customStyle="1" w:styleId="RfrenceinterinstitutionnellePagedecouverture">
    <w:name w:val="Référence interinstitutionnelle (Page de couverture)"/>
    <w:basedOn w:val="Rfrenceinterinstitutionnelle"/>
    <w:next w:val="Confidentialit"/>
    <w:rsid w:val="006A41D9"/>
  </w:style>
  <w:style w:type="paragraph" w:customStyle="1" w:styleId="StatutPagedecouverture">
    <w:name w:val="Statut (Page de couverture)"/>
    <w:basedOn w:val="Statut"/>
    <w:next w:val="TypedudocumentPagedecouverture"/>
    <w:rsid w:val="006A41D9"/>
  </w:style>
  <w:style w:type="paragraph" w:customStyle="1" w:styleId="TypedudocumentPagedecouverture">
    <w:name w:val="Type du document (Page de couverture)"/>
    <w:basedOn w:val="Typedudocument"/>
    <w:next w:val="AccompagnantPagedecouverture"/>
    <w:rsid w:val="006A41D9"/>
  </w:style>
  <w:style w:type="paragraph" w:customStyle="1" w:styleId="Volume">
    <w:name w:val="Volume"/>
    <w:basedOn w:val="Normal"/>
    <w:next w:val="Confidentialit"/>
    <w:rsid w:val="006A41D9"/>
    <w:pPr>
      <w:spacing w:after="240" w:line="240" w:lineRule="auto"/>
      <w:ind w:left="5103"/>
    </w:pPr>
    <w:rPr>
      <w:rFonts w:ascii="Times New Roman" w:hAnsi="Times New Roman" w:cs="Times New Roman"/>
      <w:sz w:val="24"/>
    </w:rPr>
  </w:style>
  <w:style w:type="paragraph" w:customStyle="1" w:styleId="IntrtEEE">
    <w:name w:val="Intérêt EEE"/>
    <w:basedOn w:val="Languesfaisantfoi"/>
    <w:next w:val="Normal"/>
    <w:rsid w:val="006A41D9"/>
    <w:pPr>
      <w:spacing w:after="240"/>
    </w:pPr>
  </w:style>
  <w:style w:type="paragraph" w:customStyle="1" w:styleId="Accompagnant">
    <w:name w:val="Accompagnant"/>
    <w:basedOn w:val="Normal"/>
    <w:next w:val="Typeacteprincipal"/>
    <w:rsid w:val="006A41D9"/>
    <w:pPr>
      <w:spacing w:before="180" w:after="240" w:line="240" w:lineRule="auto"/>
      <w:jc w:val="center"/>
    </w:pPr>
    <w:rPr>
      <w:rFonts w:ascii="Times New Roman" w:hAnsi="Times New Roman" w:cs="Times New Roman"/>
      <w:b/>
      <w:sz w:val="24"/>
    </w:rPr>
  </w:style>
  <w:style w:type="paragraph" w:customStyle="1" w:styleId="Typeacteprincipal">
    <w:name w:val="Type acte principal"/>
    <w:basedOn w:val="Normal"/>
    <w:next w:val="Objetacteprincipal"/>
    <w:rsid w:val="006A41D9"/>
    <w:pPr>
      <w:spacing w:after="240" w:line="240" w:lineRule="auto"/>
      <w:jc w:val="center"/>
    </w:pPr>
    <w:rPr>
      <w:rFonts w:ascii="Times New Roman" w:hAnsi="Times New Roman" w:cs="Times New Roman"/>
      <w:b/>
      <w:sz w:val="24"/>
    </w:rPr>
  </w:style>
  <w:style w:type="paragraph" w:customStyle="1" w:styleId="Objetacteprincipal">
    <w:name w:val="Objet acte principal"/>
    <w:basedOn w:val="Normal"/>
    <w:next w:val="Titrearticle"/>
    <w:rsid w:val="006A41D9"/>
    <w:pPr>
      <w:spacing w:after="360" w:line="240" w:lineRule="auto"/>
      <w:jc w:val="center"/>
    </w:pPr>
    <w:rPr>
      <w:rFonts w:ascii="Times New Roman" w:hAnsi="Times New Roman" w:cs="Times New Roman"/>
      <w:b/>
      <w:sz w:val="24"/>
    </w:rPr>
  </w:style>
  <w:style w:type="paragraph" w:customStyle="1" w:styleId="IntrtEEEPagedecouverture">
    <w:name w:val="Intérêt EEE (Page de couverture)"/>
    <w:basedOn w:val="IntrtEEE"/>
    <w:next w:val="Rfrencecroise"/>
    <w:rsid w:val="006A41D9"/>
  </w:style>
  <w:style w:type="paragraph" w:customStyle="1" w:styleId="AccompagnantPagedecouverture">
    <w:name w:val="Accompagnant (Page de couverture)"/>
    <w:basedOn w:val="Accompagnant"/>
    <w:next w:val="TypeacteprincipalPagedecouverture"/>
    <w:rsid w:val="006A41D9"/>
  </w:style>
  <w:style w:type="paragraph" w:customStyle="1" w:styleId="TypeacteprincipalPagedecouverture">
    <w:name w:val="Type acte principal (Page de couverture)"/>
    <w:basedOn w:val="Typeacteprincipal"/>
    <w:next w:val="ObjetacteprincipalPagedecouverture"/>
    <w:rsid w:val="006A41D9"/>
  </w:style>
  <w:style w:type="paragraph" w:customStyle="1" w:styleId="ObjetacteprincipalPagedecouverture">
    <w:name w:val="Objet acte principal (Page de couverture)"/>
    <w:basedOn w:val="Objetacteprincipal"/>
    <w:next w:val="Rfrencecroise"/>
    <w:rsid w:val="006A41D9"/>
  </w:style>
  <w:style w:type="paragraph" w:customStyle="1" w:styleId="LanguesfaisantfoiPagedecouverture">
    <w:name w:val="Langues faisant foi (Page de couverture)"/>
    <w:basedOn w:val="Normal"/>
    <w:next w:val="Normal"/>
    <w:rsid w:val="006A41D9"/>
    <w:pPr>
      <w:spacing w:before="360" w:after="0" w:line="240" w:lineRule="auto"/>
      <w:jc w:val="center"/>
    </w:pPr>
    <w:rPr>
      <w:rFonts w:ascii="Times New Roman" w:hAnsi="Times New Roman" w:cs="Times New Roman"/>
      <w:sz w:val="24"/>
    </w:rPr>
  </w:style>
  <w:style w:type="paragraph" w:styleId="Caption">
    <w:name w:val="caption"/>
    <w:basedOn w:val="Normal"/>
    <w:next w:val="Normal"/>
    <w:uiPriority w:val="35"/>
    <w:unhideWhenUsed/>
    <w:qFormat/>
    <w:rsid w:val="006A41D9"/>
    <w:pPr>
      <w:spacing w:after="200" w:line="240" w:lineRule="auto"/>
      <w:jc w:val="both"/>
    </w:pPr>
    <w:rPr>
      <w:rFonts w:ascii="Times New Roman" w:hAnsi="Times New Roman" w:cs="Times New Roman"/>
      <w:i/>
      <w:iCs/>
      <w:color w:val="44546A" w:themeColor="text2"/>
      <w:sz w:val="18"/>
      <w:szCs w:val="18"/>
    </w:rPr>
  </w:style>
  <w:style w:type="paragraph" w:styleId="TableofFigures">
    <w:name w:val="table of figures"/>
    <w:basedOn w:val="Normal"/>
    <w:next w:val="Normal"/>
    <w:uiPriority w:val="99"/>
    <w:semiHidden/>
    <w:unhideWhenUsed/>
    <w:rsid w:val="006A41D9"/>
    <w:pPr>
      <w:spacing w:before="120" w:after="0" w:line="240" w:lineRule="auto"/>
      <w:jc w:val="both"/>
    </w:pPr>
    <w:rPr>
      <w:rFonts w:ascii="Times New Roman" w:hAnsi="Times New Roman" w:cs="Times New Roman"/>
      <w:sz w:val="24"/>
    </w:rPr>
  </w:style>
  <w:style w:type="paragraph" w:styleId="ListNumber">
    <w:name w:val="List Number"/>
    <w:basedOn w:val="Normal"/>
    <w:uiPriority w:val="99"/>
    <w:semiHidden/>
    <w:unhideWhenUsed/>
    <w:rsid w:val="006A41D9"/>
    <w:pPr>
      <w:numPr>
        <w:numId w:val="19"/>
      </w:numPr>
      <w:spacing w:before="120" w:after="120" w:line="240" w:lineRule="auto"/>
      <w:contextualSpacing/>
      <w:jc w:val="both"/>
    </w:pPr>
    <w:rPr>
      <w:rFonts w:ascii="Times New Roman" w:hAnsi="Times New Roman" w:cs="Times New Roman"/>
      <w:sz w:val="24"/>
    </w:rPr>
  </w:style>
  <w:style w:type="paragraph" w:styleId="ListNumber2">
    <w:name w:val="List Number 2"/>
    <w:basedOn w:val="Normal"/>
    <w:uiPriority w:val="99"/>
    <w:semiHidden/>
    <w:unhideWhenUsed/>
    <w:rsid w:val="006A41D9"/>
    <w:pPr>
      <w:numPr>
        <w:numId w:val="20"/>
      </w:numPr>
      <w:spacing w:before="120" w:after="120" w:line="240" w:lineRule="auto"/>
      <w:contextualSpacing/>
      <w:jc w:val="both"/>
    </w:pPr>
    <w:rPr>
      <w:rFonts w:ascii="Times New Roman" w:hAnsi="Times New Roman" w:cs="Times New Roman"/>
      <w:sz w:val="24"/>
    </w:rPr>
  </w:style>
  <w:style w:type="paragraph" w:styleId="ListNumber3">
    <w:name w:val="List Number 3"/>
    <w:basedOn w:val="Normal"/>
    <w:uiPriority w:val="99"/>
    <w:semiHidden/>
    <w:unhideWhenUsed/>
    <w:rsid w:val="006A41D9"/>
    <w:pPr>
      <w:numPr>
        <w:numId w:val="21"/>
      </w:numPr>
      <w:spacing w:before="120" w:after="120" w:line="240" w:lineRule="auto"/>
      <w:contextualSpacing/>
      <w:jc w:val="both"/>
    </w:pPr>
    <w:rPr>
      <w:rFonts w:ascii="Times New Roman" w:hAnsi="Times New Roman" w:cs="Times New Roman"/>
      <w:sz w:val="24"/>
    </w:rPr>
  </w:style>
  <w:style w:type="paragraph" w:styleId="ListNumber4">
    <w:name w:val="List Number 4"/>
    <w:basedOn w:val="Normal"/>
    <w:uiPriority w:val="99"/>
    <w:semiHidden/>
    <w:unhideWhenUsed/>
    <w:rsid w:val="006A41D9"/>
    <w:pPr>
      <w:numPr>
        <w:numId w:val="22"/>
      </w:numPr>
      <w:spacing w:before="120" w:after="120" w:line="240" w:lineRule="auto"/>
      <w:contextualSpacing/>
      <w:jc w:val="both"/>
    </w:pPr>
    <w:rPr>
      <w:rFonts w:ascii="Times New Roman" w:hAnsi="Times New Roman" w:cs="Times New Roman"/>
      <w:sz w:val="24"/>
    </w:rPr>
  </w:style>
  <w:style w:type="paragraph" w:customStyle="1" w:styleId="FooterCoverPage">
    <w:name w:val="Footer Cover Page"/>
    <w:basedOn w:val="Normal"/>
    <w:link w:val="FooterCoverPageChar"/>
    <w:rsid w:val="006A41D9"/>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6A41D9"/>
    <w:rPr>
      <w:rFonts w:ascii="Times New Roman" w:hAnsi="Times New Roman" w:cs="Times New Roman"/>
      <w:sz w:val="24"/>
    </w:rPr>
  </w:style>
  <w:style w:type="paragraph" w:customStyle="1" w:styleId="HeaderCoverPage">
    <w:name w:val="Header Cover Page"/>
    <w:basedOn w:val="Normal"/>
    <w:link w:val="HeaderCoverPageChar"/>
    <w:rsid w:val="006A41D9"/>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6A41D9"/>
    <w:rPr>
      <w:rFonts w:ascii="Times New Roman" w:hAnsi="Times New Roman" w:cs="Times New Roman"/>
      <w:sz w:val="24"/>
    </w:rPr>
  </w:style>
  <w:style w:type="character" w:customStyle="1" w:styleId="Bodytext5">
    <w:name w:val="Body text|5_"/>
    <w:basedOn w:val="DefaultParagraphFont"/>
    <w:link w:val="Bodytext50"/>
    <w:rsid w:val="006A41D9"/>
    <w:rPr>
      <w:rFonts w:ascii="Arial" w:eastAsia="Arial" w:hAnsi="Arial" w:cs="Arial"/>
      <w:sz w:val="17"/>
      <w:szCs w:val="17"/>
      <w:shd w:val="clear" w:color="auto" w:fill="FFFFFF"/>
    </w:rPr>
  </w:style>
  <w:style w:type="paragraph" w:customStyle="1" w:styleId="Bodytext21">
    <w:name w:val="Body text|2"/>
    <w:basedOn w:val="Normal"/>
    <w:qFormat/>
    <w:rsid w:val="006A41D9"/>
    <w:pPr>
      <w:widowControl w:val="0"/>
      <w:shd w:val="clear" w:color="auto" w:fill="FFFFFF"/>
      <w:spacing w:after="0" w:line="446" w:lineRule="exact"/>
      <w:ind w:hanging="660"/>
      <w:jc w:val="both"/>
    </w:pPr>
    <w:rPr>
      <w:rFonts w:ascii="Arial" w:eastAsia="Arial" w:hAnsi="Arial" w:cs="Arial"/>
      <w:sz w:val="21"/>
      <w:szCs w:val="21"/>
    </w:rPr>
  </w:style>
  <w:style w:type="paragraph" w:customStyle="1" w:styleId="Bodytext50">
    <w:name w:val="Body text|5"/>
    <w:basedOn w:val="Normal"/>
    <w:link w:val="Bodytext5"/>
    <w:rsid w:val="006A41D9"/>
    <w:pPr>
      <w:widowControl w:val="0"/>
      <w:shd w:val="clear" w:color="auto" w:fill="FFFFFF"/>
      <w:spacing w:before="1000" w:after="1000" w:line="190" w:lineRule="exact"/>
    </w:pPr>
    <w:rPr>
      <w:rFonts w:ascii="Arial" w:eastAsia="Arial" w:hAnsi="Arial" w:cs="Arial"/>
      <w:sz w:val="17"/>
      <w:szCs w:val="17"/>
    </w:rPr>
  </w:style>
  <w:style w:type="table" w:customStyle="1" w:styleId="GridTable1Light-Accent11">
    <w:name w:val="Grid Table 1 Light - Accent 11"/>
    <w:basedOn w:val="TableNormal"/>
    <w:uiPriority w:val="46"/>
    <w:rsid w:val="006A41D9"/>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SUPERSChar">
    <w:name w:val="SUPERS Char"/>
    <w:aliases w:val="EN Footnote Reference Char"/>
    <w:basedOn w:val="Normal"/>
    <w:link w:val="FootnoteReference"/>
    <w:uiPriority w:val="99"/>
    <w:rsid w:val="006A41D9"/>
    <w:pPr>
      <w:widowControl w:val="0"/>
      <w:adjustRightInd w:val="0"/>
      <w:spacing w:line="240" w:lineRule="exact"/>
      <w:jc w:val="both"/>
    </w:pPr>
    <w:rPr>
      <w:vertAlign w:val="superscript"/>
    </w:rPr>
  </w:style>
  <w:style w:type="paragraph" w:customStyle="1" w:styleId="TechnicalBlock">
    <w:name w:val="Technical Block"/>
    <w:basedOn w:val="Text1"/>
    <w:link w:val="TechnicalBlockChar"/>
    <w:rsid w:val="006A41D9"/>
    <w:pPr>
      <w:spacing w:before="0" w:after="240"/>
      <w:ind w:left="0"/>
      <w:jc w:val="center"/>
    </w:pPr>
    <w:rPr>
      <w:noProof/>
      <w:lang w:eastAsia="en-GB"/>
    </w:rPr>
  </w:style>
  <w:style w:type="character" w:customStyle="1" w:styleId="Text1Char">
    <w:name w:val="Text 1 Char"/>
    <w:basedOn w:val="DefaultParagraphFont"/>
    <w:link w:val="Text1"/>
    <w:rsid w:val="006A41D9"/>
    <w:rPr>
      <w:rFonts w:ascii="Times New Roman" w:hAnsi="Times New Roman" w:cs="Times New Roman"/>
      <w:sz w:val="24"/>
    </w:rPr>
  </w:style>
  <w:style w:type="character" w:customStyle="1" w:styleId="TechnicalBlockChar">
    <w:name w:val="Technical Block Char"/>
    <w:basedOn w:val="Text1Char"/>
    <w:link w:val="TechnicalBlock"/>
    <w:rsid w:val="006A41D9"/>
    <w:rPr>
      <w:rFonts w:ascii="Times New Roman" w:hAnsi="Times New Roman" w:cs="Times New Roman"/>
      <w:noProof/>
      <w:sz w:val="24"/>
      <w:lang w:eastAsia="en-GB"/>
    </w:rPr>
  </w:style>
  <w:style w:type="paragraph" w:customStyle="1" w:styleId="EntText">
    <w:name w:val="EntText"/>
    <w:basedOn w:val="Normal"/>
    <w:rsid w:val="006A41D9"/>
    <w:pPr>
      <w:spacing w:before="120" w:after="120" w:line="360" w:lineRule="auto"/>
    </w:pPr>
    <w:rPr>
      <w:rFonts w:ascii="Times New Roman" w:hAnsi="Times New Roman" w:cs="Times New Roman"/>
      <w:sz w:val="24"/>
    </w:rPr>
  </w:style>
  <w:style w:type="paragraph" w:customStyle="1" w:styleId="Lignefinal">
    <w:name w:val="Ligne final"/>
    <w:basedOn w:val="Normal"/>
    <w:next w:val="Normal"/>
    <w:rsid w:val="006A41D9"/>
    <w:pPr>
      <w:pBdr>
        <w:bottom w:val="single" w:sz="4" w:space="0" w:color="000000"/>
      </w:pBdr>
      <w:spacing w:before="360" w:after="120" w:line="360" w:lineRule="auto"/>
      <w:ind w:left="3400" w:right="3400"/>
      <w:jc w:val="center"/>
    </w:pPr>
    <w:rPr>
      <w:rFonts w:ascii="Times New Roman" w:hAnsi="Times New Roman" w:cs="Times New Roman"/>
      <w:b/>
      <w:sz w:val="24"/>
    </w:rPr>
  </w:style>
  <w:style w:type="paragraph" w:customStyle="1" w:styleId="pj">
    <w:name w:val="p.j."/>
    <w:basedOn w:val="Normal"/>
    <w:link w:val="pjChar"/>
    <w:rsid w:val="006A41D9"/>
    <w:pPr>
      <w:spacing w:before="1200" w:after="120" w:line="240" w:lineRule="auto"/>
      <w:ind w:left="1440" w:hanging="1440"/>
    </w:pPr>
    <w:rPr>
      <w:rFonts w:ascii="Times New Roman" w:hAnsi="Times New Roman" w:cs="Times New Roman"/>
      <w:sz w:val="24"/>
    </w:rPr>
  </w:style>
  <w:style w:type="character" w:customStyle="1" w:styleId="pjChar">
    <w:name w:val="p.j. Char"/>
    <w:basedOn w:val="Text1Char"/>
    <w:link w:val="pj"/>
    <w:rsid w:val="006A41D9"/>
    <w:rPr>
      <w:rFonts w:ascii="Times New Roman" w:hAnsi="Times New Roman" w:cs="Times New Roman"/>
      <w:sz w:val="24"/>
    </w:rPr>
  </w:style>
  <w:style w:type="paragraph" w:customStyle="1" w:styleId="nbbordered">
    <w:name w:val="nb bordered"/>
    <w:basedOn w:val="Normal"/>
    <w:link w:val="nbborderedChar"/>
    <w:rsid w:val="006A41D9"/>
    <w:pPr>
      <w:pBdr>
        <w:top w:val="single" w:sz="4" w:space="1" w:color="auto"/>
        <w:left w:val="single" w:sz="4" w:space="4" w:color="auto"/>
        <w:bottom w:val="single" w:sz="4" w:space="1" w:color="auto"/>
        <w:right w:val="single" w:sz="4" w:space="4" w:color="auto"/>
        <w:between w:val="single" w:sz="4" w:space="0" w:color="auto"/>
      </w:pBdr>
      <w:spacing w:line="240" w:lineRule="auto"/>
      <w:ind w:left="480" w:hanging="480"/>
    </w:pPr>
    <w:rPr>
      <w:rFonts w:ascii="Times New Roman" w:hAnsi="Times New Roman" w:cs="Times New Roman"/>
      <w:b/>
      <w:sz w:val="24"/>
    </w:rPr>
  </w:style>
  <w:style w:type="character" w:customStyle="1" w:styleId="nbborderedChar">
    <w:name w:val="nb bordered Char"/>
    <w:basedOn w:val="Text1Char"/>
    <w:link w:val="nbbordered"/>
    <w:rsid w:val="006A41D9"/>
    <w:rPr>
      <w:rFonts w:ascii="Times New Roman" w:hAnsi="Times New Roman" w:cs="Times New Roman"/>
      <w:b/>
      <w:sz w:val="24"/>
    </w:rPr>
  </w:style>
  <w:style w:type="paragraph" w:customStyle="1" w:styleId="HeaderCouncil">
    <w:name w:val="Header Council"/>
    <w:basedOn w:val="Normal"/>
    <w:link w:val="HeaderCouncilChar"/>
    <w:rsid w:val="006A41D9"/>
    <w:pPr>
      <w:spacing w:after="0" w:line="276" w:lineRule="auto"/>
    </w:pPr>
    <w:rPr>
      <w:noProof/>
      <w:sz w:val="2"/>
    </w:rPr>
  </w:style>
  <w:style w:type="character" w:customStyle="1" w:styleId="HeaderCouncilChar">
    <w:name w:val="Header Council Char"/>
    <w:basedOn w:val="DefaultParagraphFont"/>
    <w:link w:val="HeaderCouncil"/>
    <w:rsid w:val="006A41D9"/>
    <w:rPr>
      <w:noProof/>
      <w:sz w:val="2"/>
    </w:rPr>
  </w:style>
  <w:style w:type="paragraph" w:customStyle="1" w:styleId="HeaderCouncilLarge">
    <w:name w:val="Header Council Large"/>
    <w:basedOn w:val="Normal"/>
    <w:link w:val="HeaderCouncilLargeChar"/>
    <w:rsid w:val="006A41D9"/>
    <w:pPr>
      <w:spacing w:after="440" w:line="276" w:lineRule="auto"/>
    </w:pPr>
    <w:rPr>
      <w:noProof/>
      <w:sz w:val="2"/>
    </w:rPr>
  </w:style>
  <w:style w:type="character" w:customStyle="1" w:styleId="HeaderCouncilLargeChar">
    <w:name w:val="Header Council Large Char"/>
    <w:basedOn w:val="DefaultParagraphFont"/>
    <w:link w:val="HeaderCouncilLarge"/>
    <w:rsid w:val="006A41D9"/>
    <w:rPr>
      <w:noProof/>
      <w:sz w:val="2"/>
    </w:rPr>
  </w:style>
  <w:style w:type="paragraph" w:customStyle="1" w:styleId="FooterCouncil">
    <w:name w:val="Footer Council"/>
    <w:basedOn w:val="Normal"/>
    <w:link w:val="FooterCouncilChar"/>
    <w:rsid w:val="006A41D9"/>
    <w:pPr>
      <w:spacing w:after="0" w:line="276" w:lineRule="auto"/>
    </w:pPr>
    <w:rPr>
      <w:noProof/>
      <w:sz w:val="2"/>
    </w:rPr>
  </w:style>
  <w:style w:type="character" w:customStyle="1" w:styleId="FooterCouncilChar">
    <w:name w:val="Footer Council Char"/>
    <w:basedOn w:val="DefaultParagraphFont"/>
    <w:link w:val="FooterCouncil"/>
    <w:rsid w:val="006A41D9"/>
    <w:rPr>
      <w:noProof/>
      <w:sz w:val="2"/>
    </w:rPr>
  </w:style>
  <w:style w:type="paragraph" w:customStyle="1" w:styleId="FooterText">
    <w:name w:val="Footer Text"/>
    <w:basedOn w:val="Normal"/>
    <w:rsid w:val="006A41D9"/>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6A41D9"/>
    <w:rPr>
      <w:color w:val="808080"/>
    </w:rPr>
  </w:style>
  <w:style w:type="character" w:styleId="FollowedHyperlink">
    <w:name w:val="FollowedHyperlink"/>
    <w:basedOn w:val="DefaultParagraphFont"/>
    <w:uiPriority w:val="99"/>
    <w:semiHidden/>
    <w:unhideWhenUsed/>
    <w:rsid w:val="006A41D9"/>
    <w:rPr>
      <w:color w:val="954F72" w:themeColor="followedHyperlink"/>
      <w:u w:val="single"/>
    </w:rPr>
  </w:style>
  <w:style w:type="character" w:customStyle="1" w:styleId="Mention1">
    <w:name w:val="Mention1"/>
    <w:basedOn w:val="DefaultParagraphFont"/>
    <w:uiPriority w:val="99"/>
    <w:unhideWhenUsed/>
    <w:rsid w:val="006A41D9"/>
    <w:rPr>
      <w:color w:val="2B579A"/>
      <w:shd w:val="clear" w:color="auto" w:fill="E6E6E6"/>
    </w:rPr>
  </w:style>
  <w:style w:type="character" w:customStyle="1" w:styleId="Mention2">
    <w:name w:val="Mention2"/>
    <w:basedOn w:val="DefaultParagraphFont"/>
    <w:uiPriority w:val="99"/>
    <w:unhideWhenUsed/>
    <w:rsid w:val="006A41D9"/>
    <w:rPr>
      <w:color w:val="2B579A"/>
      <w:shd w:val="clear" w:color="auto" w:fill="E1DFDD"/>
    </w:rPr>
  </w:style>
  <w:style w:type="character" w:customStyle="1" w:styleId="cf01">
    <w:name w:val="cf01"/>
    <w:basedOn w:val="DefaultParagraphFont"/>
    <w:rsid w:val="006A41D9"/>
    <w:rPr>
      <w:rFonts w:ascii="Segoe UI" w:hAnsi="Segoe UI" w:cs="Segoe UI" w:hint="default"/>
      <w:sz w:val="18"/>
      <w:szCs w:val="18"/>
    </w:rPr>
  </w:style>
  <w:style w:type="character" w:customStyle="1" w:styleId="Mention3">
    <w:name w:val="Mention3"/>
    <w:basedOn w:val="DefaultParagraphFont"/>
    <w:uiPriority w:val="99"/>
    <w:unhideWhenUsed/>
    <w:rsid w:val="006A41D9"/>
    <w:rPr>
      <w:color w:val="2B579A"/>
      <w:shd w:val="clear" w:color="auto" w:fill="E6E6E6"/>
    </w:rPr>
  </w:style>
  <w:style w:type="character" w:customStyle="1" w:styleId="Mention20">
    <w:name w:val="Mention20"/>
    <w:basedOn w:val="DefaultParagraphFont"/>
    <w:uiPriority w:val="99"/>
    <w:unhideWhenUsed/>
    <w:rsid w:val="006A41D9"/>
    <w:rPr>
      <w:color w:val="2B579A"/>
      <w:shd w:val="clear" w:color="auto" w:fill="E1DFDD"/>
    </w:rPr>
  </w:style>
  <w:style w:type="character" w:customStyle="1" w:styleId="UnresolvedMention1">
    <w:name w:val="Unresolved Mention1"/>
    <w:basedOn w:val="DefaultParagraphFont"/>
    <w:uiPriority w:val="99"/>
    <w:unhideWhenUsed/>
    <w:rsid w:val="006A41D9"/>
    <w:rPr>
      <w:color w:val="605E5C"/>
      <w:shd w:val="clear" w:color="auto" w:fill="E1DFDD"/>
    </w:rPr>
  </w:style>
  <w:style w:type="character" w:customStyle="1" w:styleId="Mention4">
    <w:name w:val="Mention4"/>
    <w:basedOn w:val="DefaultParagraphFont"/>
    <w:uiPriority w:val="99"/>
    <w:unhideWhenUsed/>
    <w:rsid w:val="006A41D9"/>
    <w:rPr>
      <w:color w:val="2B579A"/>
      <w:shd w:val="clear" w:color="auto" w:fill="E6E6E6"/>
    </w:rPr>
  </w:style>
  <w:style w:type="character" w:customStyle="1" w:styleId="Other1">
    <w:name w:val="Other|1_"/>
    <w:basedOn w:val="DefaultParagraphFont"/>
    <w:link w:val="Other10"/>
    <w:rsid w:val="006A41D9"/>
  </w:style>
  <w:style w:type="paragraph" w:customStyle="1" w:styleId="Other10">
    <w:name w:val="Other|1"/>
    <w:basedOn w:val="Normal"/>
    <w:link w:val="Other1"/>
    <w:rsid w:val="006A41D9"/>
    <w:pPr>
      <w:widowControl w:val="0"/>
      <w:spacing w:after="140"/>
    </w:pPr>
  </w:style>
  <w:style w:type="character" w:customStyle="1" w:styleId="Heading5Char">
    <w:name w:val="Heading 5 Char"/>
    <w:basedOn w:val="DefaultParagraphFont"/>
    <w:link w:val="Heading5"/>
    <w:uiPriority w:val="9"/>
    <w:rsid w:val="006A41D9"/>
    <w:rPr>
      <w:rFonts w:asciiTheme="majorHAnsi" w:eastAsiaTheme="majorEastAsia" w:hAnsiTheme="majorHAnsi" w:cstheme="majorBidi"/>
      <w:color w:val="2F5496" w:themeColor="accent1" w:themeShade="BF"/>
      <w:lang w:val="de-DE"/>
    </w:rPr>
  </w:style>
  <w:style w:type="character" w:customStyle="1" w:styleId="Heading8Char">
    <w:name w:val="Heading 8 Char"/>
    <w:basedOn w:val="DefaultParagraphFont"/>
    <w:link w:val="Heading8"/>
    <w:uiPriority w:val="9"/>
    <w:rsid w:val="006A41D9"/>
    <w:rPr>
      <w:rFonts w:asciiTheme="majorHAnsi" w:eastAsiaTheme="majorEastAsia" w:hAnsiTheme="majorHAnsi" w:cstheme="majorBidi"/>
      <w:color w:val="272727" w:themeColor="text1" w:themeTint="D8"/>
      <w:sz w:val="21"/>
      <w:szCs w:val="21"/>
      <w:lang w:val="de-DE"/>
    </w:rPr>
  </w:style>
  <w:style w:type="paragraph" w:customStyle="1" w:styleId="Default">
    <w:name w:val="Default"/>
    <w:rsid w:val="006A41D9"/>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6A41D9"/>
    <w:pPr>
      <w:spacing w:after="0" w:line="240" w:lineRule="auto"/>
    </w:pPr>
  </w:style>
  <w:style w:type="paragraph" w:customStyle="1" w:styleId="xmsolistparagraph">
    <w:name w:val="x_msolistparagraph"/>
    <w:basedOn w:val="Normal"/>
    <w:rsid w:val="006A41D9"/>
    <w:pPr>
      <w:spacing w:after="0" w:line="240" w:lineRule="auto"/>
      <w:ind w:left="720"/>
    </w:pPr>
    <w:rPr>
      <w:rFonts w:ascii="Calibri" w:hAnsi="Calibri" w:cs="Times New Roman"/>
      <w:sz w:val="20"/>
      <w:szCs w:val="20"/>
      <w:lang w:eastAsia="fr-BE"/>
    </w:rPr>
  </w:style>
  <w:style w:type="paragraph" w:customStyle="1" w:styleId="Titreaxe">
    <w:name w:val="Titre axe"/>
    <w:basedOn w:val="Heading3"/>
    <w:link w:val="TitreaxeCar"/>
    <w:qFormat/>
    <w:rsid w:val="006A41D9"/>
    <w:pPr>
      <w:keepLines/>
      <w:tabs>
        <w:tab w:val="clear" w:pos="850"/>
      </w:tabs>
      <w:spacing w:before="40" w:after="0" w:line="259" w:lineRule="auto"/>
      <w:ind w:left="0" w:firstLine="0"/>
      <w:jc w:val="left"/>
    </w:pPr>
    <w:rPr>
      <w:rFonts w:asciiTheme="majorHAnsi" w:hAnsiTheme="majorHAnsi" w:cstheme="majorBidi"/>
      <w:bCs w:val="0"/>
      <w:i w:val="0"/>
      <w:color w:val="1F3763" w:themeColor="accent1" w:themeShade="7F"/>
      <w:szCs w:val="24"/>
    </w:rPr>
  </w:style>
  <w:style w:type="paragraph" w:customStyle="1" w:styleId="Gdtitrechapitre">
    <w:name w:val="Gd titre chapitre"/>
    <w:basedOn w:val="ListParagraph"/>
    <w:link w:val="GdtitrechapitreCar"/>
    <w:qFormat/>
    <w:rsid w:val="006A41D9"/>
    <w:pPr>
      <w:numPr>
        <w:numId w:val="40"/>
      </w:numPr>
      <w:spacing w:after="80" w:line="240" w:lineRule="auto"/>
      <w:outlineLvl w:val="0"/>
    </w:pPr>
    <w:rPr>
      <w:rFonts w:ascii="Times New Roman" w:eastAsia="Times New Roman" w:hAnsi="Times New Roman" w:cs="Times New Roman"/>
      <w:b/>
      <w:bCs/>
      <w:color w:val="44546A" w:themeColor="text2"/>
      <w:sz w:val="50"/>
      <w:szCs w:val="50"/>
    </w:rPr>
  </w:style>
  <w:style w:type="character" w:customStyle="1" w:styleId="TitreaxeCar">
    <w:name w:val="Titre axe Car"/>
    <w:basedOn w:val="Heading3Char"/>
    <w:link w:val="Titreaxe"/>
    <w:rsid w:val="006A41D9"/>
    <w:rPr>
      <w:rFonts w:asciiTheme="majorHAnsi" w:eastAsiaTheme="majorEastAsia" w:hAnsiTheme="majorHAnsi" w:cstheme="majorBidi"/>
      <w:bCs w:val="0"/>
      <w:i w:val="0"/>
      <w:color w:val="1F3763" w:themeColor="accent1" w:themeShade="7F"/>
      <w:sz w:val="24"/>
      <w:szCs w:val="24"/>
      <w:lang w:val="de-DE"/>
    </w:rPr>
  </w:style>
  <w:style w:type="paragraph" w:customStyle="1" w:styleId="Titresection">
    <w:name w:val="Titre section"/>
    <w:link w:val="TitresectionCar"/>
    <w:qFormat/>
    <w:rsid w:val="006A41D9"/>
    <w:pPr>
      <w:numPr>
        <w:numId w:val="41"/>
      </w:numPr>
      <w:spacing w:after="80" w:line="240" w:lineRule="auto"/>
    </w:pPr>
    <w:rPr>
      <w:rFonts w:ascii="Times New Roman" w:eastAsia="Times New Roman" w:hAnsi="Times New Roman" w:cs="Times New Roman"/>
      <w:b/>
      <w:bCs/>
      <w:color w:val="44546A" w:themeColor="text2"/>
      <w:sz w:val="32"/>
      <w:szCs w:val="32"/>
      <w:u w:val="single"/>
    </w:rPr>
  </w:style>
  <w:style w:type="character" w:customStyle="1" w:styleId="GdtitrechapitreCar">
    <w:name w:val="Gd titre chapitre Car"/>
    <w:basedOn w:val="ListParagraphChar"/>
    <w:link w:val="Gdtitrechapitre"/>
    <w:rsid w:val="006A41D9"/>
    <w:rPr>
      <w:rFonts w:ascii="Times New Roman" w:eastAsia="Times New Roman" w:hAnsi="Times New Roman" w:cs="Times New Roman"/>
      <w:b/>
      <w:bCs/>
      <w:color w:val="44546A" w:themeColor="text2"/>
      <w:sz w:val="50"/>
      <w:szCs w:val="50"/>
      <w:lang w:val="de-DE"/>
    </w:rPr>
  </w:style>
  <w:style w:type="character" w:customStyle="1" w:styleId="TitresectionCar">
    <w:name w:val="Titre section Car"/>
    <w:basedOn w:val="DefaultParagraphFont"/>
    <w:link w:val="Titresection"/>
    <w:rsid w:val="006A41D9"/>
    <w:rPr>
      <w:rFonts w:ascii="Times New Roman" w:eastAsia="Times New Roman" w:hAnsi="Times New Roman" w:cs="Times New Roman"/>
      <w:b/>
      <w:bCs/>
      <w:color w:val="44546A" w:themeColor="text2"/>
      <w:sz w:val="32"/>
      <w:szCs w:val="32"/>
      <w:u w:val="single"/>
      <w:lang w:val="de-DE"/>
    </w:rPr>
  </w:style>
  <w:style w:type="paragraph" w:customStyle="1" w:styleId="Sous-sous-section">
    <w:name w:val="Sous- sous-section"/>
    <w:basedOn w:val="Default"/>
    <w:qFormat/>
    <w:rsid w:val="006A41D9"/>
    <w:pPr>
      <w:ind w:left="1440" w:hanging="360"/>
      <w:jc w:val="both"/>
    </w:pPr>
    <w:rPr>
      <w:rFonts w:ascii="Avenir Next LT Pro" w:hAnsi="Avenir Next LT Pro" w:cs="Arial"/>
      <w:b/>
      <w:bCs/>
      <w:color w:val="auto"/>
      <w:sz w:val="28"/>
      <w:szCs w:val="28"/>
    </w:rPr>
  </w:style>
  <w:style w:type="paragraph" w:customStyle="1" w:styleId="Titresous-section">
    <w:name w:val="Titre sous-section"/>
    <w:basedOn w:val="Titresection"/>
    <w:qFormat/>
    <w:rsid w:val="006A41D9"/>
    <w:pPr>
      <w:numPr>
        <w:numId w:val="42"/>
      </w:numPr>
    </w:pPr>
    <w:rPr>
      <w:sz w:val="24"/>
      <w:szCs w:val="24"/>
      <w:u w:val="none"/>
    </w:rPr>
  </w:style>
  <w:style w:type="paragraph" w:customStyle="1" w:styleId="TitreAxe0">
    <w:name w:val="Titre Axe"/>
    <w:basedOn w:val="Normal"/>
    <w:link w:val="TitreAxeCar0"/>
    <w:qFormat/>
    <w:rsid w:val="006A41D9"/>
    <w:pPr>
      <w:spacing w:after="0" w:line="240" w:lineRule="auto"/>
    </w:pPr>
    <w:rPr>
      <w:rFonts w:ascii="Times New Roman" w:hAnsi="Times New Roman" w:cs="Times New Roman"/>
      <w:b/>
      <w:bCs/>
      <w:color w:val="44546A" w:themeColor="text2"/>
      <w:sz w:val="72"/>
      <w:szCs w:val="72"/>
    </w:rPr>
  </w:style>
  <w:style w:type="character" w:customStyle="1" w:styleId="TitreAxeCar0">
    <w:name w:val="Titre Axe Car"/>
    <w:basedOn w:val="DefaultParagraphFont"/>
    <w:link w:val="TitreAxe0"/>
    <w:rsid w:val="006A41D9"/>
    <w:rPr>
      <w:rFonts w:ascii="Times New Roman" w:hAnsi="Times New Roman" w:cs="Times New Roman"/>
      <w:b/>
      <w:bCs/>
      <w:color w:val="44546A" w:themeColor="text2"/>
      <w:sz w:val="72"/>
      <w:szCs w:val="72"/>
      <w:lang w:val="de-DE"/>
    </w:rPr>
  </w:style>
  <w:style w:type="paragraph" w:customStyle="1" w:styleId="TitreComposante">
    <w:name w:val="Titre Composante"/>
    <w:basedOn w:val="Normal"/>
    <w:link w:val="TitreComposanteCar"/>
    <w:qFormat/>
    <w:rsid w:val="006A41D9"/>
    <w:pPr>
      <w:spacing w:line="276" w:lineRule="auto"/>
    </w:pPr>
    <w:rPr>
      <w:rFonts w:ascii="Times New Roman" w:eastAsia="Times New Roman" w:hAnsi="Times New Roman" w:cs="Times New Roman"/>
      <w:b/>
      <w:color w:val="44546A" w:themeColor="text2"/>
      <w:sz w:val="32"/>
      <w:szCs w:val="32"/>
    </w:rPr>
  </w:style>
  <w:style w:type="character" w:customStyle="1" w:styleId="TitreComposanteCar">
    <w:name w:val="Titre Composante Car"/>
    <w:basedOn w:val="DefaultParagraphFont"/>
    <w:link w:val="TitreComposante"/>
    <w:rsid w:val="006A41D9"/>
    <w:rPr>
      <w:rFonts w:ascii="Times New Roman" w:eastAsia="Times New Roman" w:hAnsi="Times New Roman" w:cs="Times New Roman"/>
      <w:b/>
      <w:color w:val="44546A" w:themeColor="text2"/>
      <w:sz w:val="32"/>
      <w:szCs w:val="32"/>
      <w:lang w:val="de-DE"/>
    </w:rPr>
  </w:style>
  <w:style w:type="paragraph" w:customStyle="1" w:styleId="Projet">
    <w:name w:val="Projet"/>
    <w:basedOn w:val="Normal"/>
    <w:link w:val="ProjetCar"/>
    <w:qFormat/>
    <w:rsid w:val="006A41D9"/>
    <w:rPr>
      <w:rFonts w:ascii="Avenir Next LT Pro" w:hAnsi="Avenir Next LT Pro"/>
      <w:b/>
      <w:bCs/>
      <w:color w:val="0070C0"/>
      <w:sz w:val="26"/>
      <w:szCs w:val="26"/>
    </w:rPr>
  </w:style>
  <w:style w:type="paragraph" w:customStyle="1" w:styleId="Sous-sectionprojet">
    <w:name w:val="Sous-section projet"/>
    <w:basedOn w:val="Normal"/>
    <w:link w:val="Sous-sectionprojetCar"/>
    <w:qFormat/>
    <w:rsid w:val="006A41D9"/>
    <w:pPr>
      <w:jc w:val="both"/>
    </w:pPr>
    <w:rPr>
      <w:rFonts w:ascii="Avenir Next LT Pro" w:hAnsi="Avenir Next LT Pro"/>
      <w:b/>
      <w:bCs/>
      <w:color w:val="00B0F0"/>
      <w:sz w:val="24"/>
      <w:szCs w:val="24"/>
    </w:rPr>
  </w:style>
  <w:style w:type="character" w:customStyle="1" w:styleId="ProjetCar">
    <w:name w:val="Projet Car"/>
    <w:basedOn w:val="DefaultParagraphFont"/>
    <w:link w:val="Projet"/>
    <w:rsid w:val="006A41D9"/>
    <w:rPr>
      <w:rFonts w:ascii="Avenir Next LT Pro" w:hAnsi="Avenir Next LT Pro"/>
      <w:b/>
      <w:bCs/>
      <w:color w:val="0070C0"/>
      <w:sz w:val="26"/>
      <w:szCs w:val="26"/>
      <w:lang w:val="de-DE"/>
    </w:rPr>
  </w:style>
  <w:style w:type="character" w:customStyle="1" w:styleId="Sous-sectionprojetCar">
    <w:name w:val="Sous-section projet Car"/>
    <w:basedOn w:val="DefaultParagraphFont"/>
    <w:link w:val="Sous-sectionprojet"/>
    <w:rsid w:val="006A41D9"/>
    <w:rPr>
      <w:rFonts w:ascii="Avenir Next LT Pro" w:hAnsi="Avenir Next LT Pro"/>
      <w:b/>
      <w:bCs/>
      <w:color w:val="00B0F0"/>
      <w:sz w:val="24"/>
      <w:szCs w:val="24"/>
      <w:lang w:val="de-DE"/>
    </w:rPr>
  </w:style>
  <w:style w:type="paragraph" w:customStyle="1" w:styleId="Jalonsetcibles">
    <w:name w:val="Jalons et cibles"/>
    <w:basedOn w:val="TitreComposante"/>
    <w:link w:val="JalonsetciblesCar"/>
    <w:qFormat/>
    <w:rsid w:val="006A41D9"/>
    <w:rPr>
      <w:rFonts w:eastAsia="Yu Gothic"/>
    </w:rPr>
  </w:style>
  <w:style w:type="character" w:customStyle="1" w:styleId="JalonsetciblesCar">
    <w:name w:val="Jalons et cibles Car"/>
    <w:basedOn w:val="TitreComposanteCar"/>
    <w:link w:val="Jalonsetcibles"/>
    <w:rsid w:val="006A41D9"/>
    <w:rPr>
      <w:rFonts w:ascii="Times New Roman" w:eastAsia="Yu Gothic" w:hAnsi="Times New Roman" w:cs="Times New Roman"/>
      <w:b/>
      <w:color w:val="44546A" w:themeColor="text2"/>
      <w:sz w:val="32"/>
      <w:szCs w:val="32"/>
      <w:lang w:val="de-DE"/>
    </w:rPr>
  </w:style>
  <w:style w:type="table" w:styleId="TableGridLight">
    <w:name w:val="Grid Table Light"/>
    <w:basedOn w:val="TableNormal"/>
    <w:uiPriority w:val="40"/>
    <w:rsid w:val="006A41D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Titresous-section"/>
    <w:link w:val="BodyTextChar"/>
    <w:uiPriority w:val="1"/>
    <w:qFormat/>
    <w:rsid w:val="006A41D9"/>
    <w:pPr>
      <w:widowControl w:val="0"/>
      <w:numPr>
        <w:numId w:val="0"/>
      </w:numPr>
      <w:autoSpaceDE w:val="0"/>
      <w:autoSpaceDN w:val="0"/>
      <w:spacing w:after="0"/>
      <w:ind w:left="720" w:hanging="360"/>
    </w:pPr>
    <w:rPr>
      <w:rFonts w:ascii="Tahoma" w:eastAsia="Tahoma" w:hAnsi="Tahoma" w:cs="Tahoma"/>
      <w:szCs w:val="21"/>
    </w:rPr>
  </w:style>
  <w:style w:type="character" w:customStyle="1" w:styleId="BodyTextChar">
    <w:name w:val="Body Text Char"/>
    <w:basedOn w:val="DefaultParagraphFont"/>
    <w:link w:val="BodyText"/>
    <w:uiPriority w:val="1"/>
    <w:rsid w:val="006A41D9"/>
    <w:rPr>
      <w:rFonts w:ascii="Tahoma" w:eastAsia="Tahoma" w:hAnsi="Tahoma" w:cs="Tahoma"/>
      <w:b/>
      <w:bCs/>
      <w:color w:val="44546A" w:themeColor="text2"/>
      <w:sz w:val="24"/>
      <w:szCs w:val="21"/>
      <w:lang w:val="de-DE"/>
    </w:rPr>
  </w:style>
  <w:style w:type="character" w:customStyle="1" w:styleId="findhit">
    <w:name w:val="findhit"/>
    <w:basedOn w:val="DefaultParagraphFont"/>
    <w:rsid w:val="006A41D9"/>
  </w:style>
  <w:style w:type="character" w:customStyle="1" w:styleId="Sous-projetCar">
    <w:name w:val="Sous-projet Car"/>
    <w:basedOn w:val="DefaultParagraphFont"/>
    <w:link w:val="Sous-projet"/>
    <w:locked/>
    <w:rsid w:val="006A41D9"/>
    <w:rPr>
      <w:rFonts w:ascii="Avenir Next LT Pro" w:hAnsi="Avenir Next LT Pro" w:cs="Arial"/>
      <w:b/>
      <w:bCs/>
      <w:color w:val="4472C4" w:themeColor="accent1"/>
    </w:rPr>
  </w:style>
  <w:style w:type="paragraph" w:customStyle="1" w:styleId="Sous-projet">
    <w:name w:val="Sous-projet"/>
    <w:basedOn w:val="Normal"/>
    <w:link w:val="Sous-projetCar"/>
    <w:qFormat/>
    <w:rsid w:val="006A41D9"/>
    <w:pPr>
      <w:spacing w:after="80" w:line="240" w:lineRule="auto"/>
    </w:pPr>
    <w:rPr>
      <w:rFonts w:ascii="Avenir Next LT Pro" w:hAnsi="Avenir Next LT Pro" w:cs="Arial"/>
      <w:b/>
      <w:bCs/>
      <w:color w:val="4472C4" w:themeColor="accent1"/>
    </w:rPr>
  </w:style>
  <w:style w:type="character" w:customStyle="1" w:styleId="Mention10">
    <w:name w:val="Mention10"/>
    <w:basedOn w:val="DefaultParagraphFont"/>
    <w:uiPriority w:val="99"/>
    <w:unhideWhenUsed/>
    <w:rsid w:val="006A41D9"/>
    <w:rPr>
      <w:color w:val="2B579A"/>
      <w:shd w:val="clear" w:color="auto" w:fill="E1DFDD"/>
    </w:rPr>
  </w:style>
  <w:style w:type="character" w:customStyle="1" w:styleId="scxw241096750">
    <w:name w:val="scxw241096750"/>
    <w:basedOn w:val="DefaultParagraphFont"/>
    <w:rsid w:val="00122B06"/>
  </w:style>
  <w:style w:type="character" w:customStyle="1" w:styleId="scxw251687969">
    <w:name w:val="scxw251687969"/>
    <w:basedOn w:val="DefaultParagraphFont"/>
    <w:rsid w:val="004F4607"/>
  </w:style>
  <w:style w:type="character" w:customStyle="1" w:styleId="UnresolvedMention2">
    <w:name w:val="Unresolved Mention2"/>
    <w:basedOn w:val="DefaultParagraphFont"/>
    <w:uiPriority w:val="99"/>
    <w:semiHidden/>
    <w:unhideWhenUsed/>
    <w:rsid w:val="00AA48E3"/>
    <w:rPr>
      <w:color w:val="605E5C"/>
      <w:shd w:val="clear" w:color="auto" w:fill="E1DFDD"/>
    </w:rPr>
  </w:style>
  <w:style w:type="paragraph" w:customStyle="1" w:styleId="pf1">
    <w:name w:val="pf1"/>
    <w:basedOn w:val="Normal"/>
    <w:rsid w:val="00ED1312"/>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Mention200">
    <w:name w:val="Mention200"/>
    <w:basedOn w:val="DefaultParagraphFont"/>
    <w:uiPriority w:val="99"/>
    <w:unhideWhenUsed/>
    <w:rsid w:val="00A4101C"/>
    <w:rPr>
      <w:color w:val="2B579A"/>
      <w:shd w:val="clear" w:color="auto" w:fill="E1DFDD"/>
    </w:rPr>
  </w:style>
  <w:style w:type="character" w:customStyle="1" w:styleId="Mention2000">
    <w:name w:val="Mention2000"/>
    <w:basedOn w:val="DefaultParagraphFont"/>
    <w:uiPriority w:val="99"/>
    <w:unhideWhenUsed/>
    <w:rsid w:val="00A343C3"/>
    <w:rPr>
      <w:color w:val="2B579A"/>
      <w:shd w:val="clear" w:color="auto" w:fill="E1DFDD"/>
    </w:rPr>
  </w:style>
  <w:style w:type="character" w:customStyle="1" w:styleId="Mention">
    <w:name w:val="Mention"/>
    <w:basedOn w:val="DefaultParagraphFont"/>
    <w:uiPriority w:val="99"/>
    <w:unhideWhenUsed/>
    <w:rsid w:val="007A366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3572727">
      <w:bodyDiv w:val="1"/>
      <w:marLeft w:val="0"/>
      <w:marRight w:val="0"/>
      <w:marTop w:val="0"/>
      <w:marBottom w:val="0"/>
      <w:divBdr>
        <w:top w:val="none" w:sz="0" w:space="0" w:color="auto"/>
        <w:left w:val="none" w:sz="0" w:space="0" w:color="auto"/>
        <w:bottom w:val="none" w:sz="0" w:space="0" w:color="auto"/>
        <w:right w:val="none" w:sz="0" w:space="0" w:color="auto"/>
      </w:divBdr>
    </w:div>
    <w:div w:id="1259370866">
      <w:bodyDiv w:val="1"/>
      <w:marLeft w:val="0"/>
      <w:marRight w:val="0"/>
      <w:marTop w:val="0"/>
      <w:marBottom w:val="0"/>
      <w:divBdr>
        <w:top w:val="none" w:sz="0" w:space="0" w:color="auto"/>
        <w:left w:val="none" w:sz="0" w:space="0" w:color="auto"/>
        <w:bottom w:val="none" w:sz="0" w:space="0" w:color="auto"/>
        <w:right w:val="none" w:sz="0" w:space="0" w:color="auto"/>
      </w:divBdr>
    </w:div>
    <w:div w:id="1743408309">
      <w:bodyDiv w:val="1"/>
      <w:marLeft w:val="0"/>
      <w:marRight w:val="0"/>
      <w:marTop w:val="0"/>
      <w:marBottom w:val="0"/>
      <w:divBdr>
        <w:top w:val="none" w:sz="0" w:space="0" w:color="auto"/>
        <w:left w:val="none" w:sz="0" w:space="0" w:color="auto"/>
        <w:bottom w:val="none" w:sz="0" w:space="0" w:color="auto"/>
        <w:right w:val="none" w:sz="0" w:space="0" w:color="auto"/>
      </w:divBdr>
    </w:div>
    <w:div w:id="2106149635">
      <w:bodyDiv w:val="1"/>
      <w:marLeft w:val="0"/>
      <w:marRight w:val="0"/>
      <w:marTop w:val="0"/>
      <w:marBottom w:val="0"/>
      <w:divBdr>
        <w:top w:val="none" w:sz="0" w:space="0" w:color="auto"/>
        <w:left w:val="none" w:sz="0" w:space="0" w:color="auto"/>
        <w:bottom w:val="none" w:sz="0" w:space="0" w:color="auto"/>
        <w:right w:val="none" w:sz="0" w:space="0" w:color="auto"/>
      </w:divBdr>
    </w:div>
    <w:div w:id="2106798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footer" Target="footer53.xml"/><Relationship Id="rId299" Type="http://schemas.openxmlformats.org/officeDocument/2006/relationships/footer" Target="footer144.xml"/><Relationship Id="rId303" Type="http://schemas.openxmlformats.org/officeDocument/2006/relationships/footer" Target="footer146.xml"/><Relationship Id="rId21" Type="http://schemas.openxmlformats.org/officeDocument/2006/relationships/footer" Target="footer5.xml"/><Relationship Id="rId42" Type="http://schemas.openxmlformats.org/officeDocument/2006/relationships/header" Target="header16.xml"/><Relationship Id="rId63" Type="http://schemas.openxmlformats.org/officeDocument/2006/relationships/footer" Target="footer26.xml"/><Relationship Id="rId84" Type="http://schemas.openxmlformats.org/officeDocument/2006/relationships/header" Target="header37.xml"/><Relationship Id="rId138" Type="http://schemas.openxmlformats.org/officeDocument/2006/relationships/header" Target="header64.xml"/><Relationship Id="rId159" Type="http://schemas.openxmlformats.org/officeDocument/2006/relationships/footer" Target="footer74.xml"/><Relationship Id="rId324" Type="http://schemas.openxmlformats.org/officeDocument/2006/relationships/header" Target="header157.xml"/><Relationship Id="rId170" Type="http://schemas.openxmlformats.org/officeDocument/2006/relationships/footer" Target="footer79.xml"/><Relationship Id="rId191" Type="http://schemas.openxmlformats.org/officeDocument/2006/relationships/footer" Target="footer90.xml"/><Relationship Id="rId205" Type="http://schemas.openxmlformats.org/officeDocument/2006/relationships/header" Target="header98.xml"/><Relationship Id="rId226" Type="http://schemas.openxmlformats.org/officeDocument/2006/relationships/header" Target="header108.xml"/><Relationship Id="rId247" Type="http://schemas.openxmlformats.org/officeDocument/2006/relationships/header" Target="header119.xml"/><Relationship Id="rId107" Type="http://schemas.openxmlformats.org/officeDocument/2006/relationships/footer" Target="footer48.xml"/><Relationship Id="rId268" Type="http://schemas.openxmlformats.org/officeDocument/2006/relationships/header" Target="header129.xml"/><Relationship Id="rId289" Type="http://schemas.openxmlformats.org/officeDocument/2006/relationships/header" Target="header140.xml"/><Relationship Id="rId11" Type="http://schemas.openxmlformats.org/officeDocument/2006/relationships/image" Target="media/image1.emf"/><Relationship Id="rId32" Type="http://schemas.openxmlformats.org/officeDocument/2006/relationships/footer" Target="footer10.xml"/><Relationship Id="rId53" Type="http://schemas.openxmlformats.org/officeDocument/2006/relationships/footer" Target="footer21.xml"/><Relationship Id="rId74" Type="http://schemas.openxmlformats.org/officeDocument/2006/relationships/footer" Target="footer31.xml"/><Relationship Id="rId128" Type="http://schemas.openxmlformats.org/officeDocument/2006/relationships/footer" Target="footer58.xml"/><Relationship Id="rId149" Type="http://schemas.openxmlformats.org/officeDocument/2006/relationships/footer" Target="footer69.xml"/><Relationship Id="rId314" Type="http://schemas.openxmlformats.org/officeDocument/2006/relationships/footer" Target="footer151.xml"/><Relationship Id="rId335" Type="http://schemas.openxmlformats.org/officeDocument/2006/relationships/footer" Target="footer162.xml"/><Relationship Id="rId5" Type="http://schemas.openxmlformats.org/officeDocument/2006/relationships/numbering" Target="numbering.xml"/><Relationship Id="rId95" Type="http://schemas.openxmlformats.org/officeDocument/2006/relationships/footer" Target="footer42.xml"/><Relationship Id="rId160" Type="http://schemas.openxmlformats.org/officeDocument/2006/relationships/header" Target="header75.xml"/><Relationship Id="rId181" Type="http://schemas.openxmlformats.org/officeDocument/2006/relationships/header" Target="header86.xml"/><Relationship Id="rId216" Type="http://schemas.openxmlformats.org/officeDocument/2006/relationships/header" Target="header103.xml"/><Relationship Id="rId237" Type="http://schemas.openxmlformats.org/officeDocument/2006/relationships/footer" Target="footer113.xml"/><Relationship Id="rId258" Type="http://schemas.openxmlformats.org/officeDocument/2006/relationships/header" Target="header124.xml"/><Relationship Id="rId279" Type="http://schemas.openxmlformats.org/officeDocument/2006/relationships/footer" Target="footer134.xml"/><Relationship Id="rId22" Type="http://schemas.openxmlformats.org/officeDocument/2006/relationships/header" Target="header6.xml"/><Relationship Id="rId43" Type="http://schemas.openxmlformats.org/officeDocument/2006/relationships/header" Target="header17.xml"/><Relationship Id="rId64" Type="http://schemas.openxmlformats.org/officeDocument/2006/relationships/header" Target="header27.xml"/><Relationship Id="rId118" Type="http://schemas.openxmlformats.org/officeDocument/2006/relationships/header" Target="header54.xml"/><Relationship Id="rId139" Type="http://schemas.openxmlformats.org/officeDocument/2006/relationships/header" Target="header65.xml"/><Relationship Id="rId290" Type="http://schemas.openxmlformats.org/officeDocument/2006/relationships/footer" Target="footer139.xml"/><Relationship Id="rId304" Type="http://schemas.openxmlformats.org/officeDocument/2006/relationships/header" Target="header147.xml"/><Relationship Id="rId325" Type="http://schemas.openxmlformats.org/officeDocument/2006/relationships/header" Target="header158.xml"/><Relationship Id="rId85" Type="http://schemas.openxmlformats.org/officeDocument/2006/relationships/header" Target="header38.xml"/><Relationship Id="rId150" Type="http://schemas.openxmlformats.org/officeDocument/2006/relationships/header" Target="header70.xml"/><Relationship Id="rId171" Type="http://schemas.openxmlformats.org/officeDocument/2006/relationships/footer" Target="footer80.xml"/><Relationship Id="rId192" Type="http://schemas.openxmlformats.org/officeDocument/2006/relationships/header" Target="header91.xml"/><Relationship Id="rId206" Type="http://schemas.openxmlformats.org/officeDocument/2006/relationships/footer" Target="footer97.xml"/><Relationship Id="rId227" Type="http://schemas.openxmlformats.org/officeDocument/2006/relationships/footer" Target="footer108.xml"/><Relationship Id="rId248" Type="http://schemas.openxmlformats.org/officeDocument/2006/relationships/footer" Target="footer118.xml"/><Relationship Id="rId269" Type="http://schemas.openxmlformats.org/officeDocument/2006/relationships/footer" Target="footer129.xml"/><Relationship Id="rId12" Type="http://schemas.openxmlformats.org/officeDocument/2006/relationships/header" Target="header1.xml"/><Relationship Id="rId33" Type="http://schemas.openxmlformats.org/officeDocument/2006/relationships/footer" Target="footer11.xml"/><Relationship Id="rId108" Type="http://schemas.openxmlformats.org/officeDocument/2006/relationships/header" Target="header49.xml"/><Relationship Id="rId129" Type="http://schemas.openxmlformats.org/officeDocument/2006/relationships/footer" Target="footer59.xml"/><Relationship Id="rId280" Type="http://schemas.openxmlformats.org/officeDocument/2006/relationships/header" Target="header135.xml"/><Relationship Id="rId315" Type="http://schemas.openxmlformats.org/officeDocument/2006/relationships/footer" Target="footer152.xml"/><Relationship Id="rId336" Type="http://schemas.openxmlformats.org/officeDocument/2006/relationships/fontTable" Target="fontTable.xml"/><Relationship Id="rId54" Type="http://schemas.openxmlformats.org/officeDocument/2006/relationships/header" Target="header22.xml"/><Relationship Id="rId75" Type="http://schemas.openxmlformats.org/officeDocument/2006/relationships/footer" Target="footer32.xml"/><Relationship Id="rId96" Type="http://schemas.openxmlformats.org/officeDocument/2006/relationships/header" Target="header43.xml"/><Relationship Id="rId140" Type="http://schemas.openxmlformats.org/officeDocument/2006/relationships/footer" Target="footer64.xml"/><Relationship Id="rId161" Type="http://schemas.openxmlformats.org/officeDocument/2006/relationships/footer" Target="footer75.xml"/><Relationship Id="rId182" Type="http://schemas.openxmlformats.org/officeDocument/2006/relationships/footer" Target="footer85.xml"/><Relationship Id="rId217" Type="http://schemas.openxmlformats.org/officeDocument/2006/relationships/header" Target="header104.xml"/><Relationship Id="rId6" Type="http://schemas.openxmlformats.org/officeDocument/2006/relationships/styles" Target="styles.xml"/><Relationship Id="rId238" Type="http://schemas.openxmlformats.org/officeDocument/2006/relationships/header" Target="header114.xml"/><Relationship Id="rId259" Type="http://schemas.openxmlformats.org/officeDocument/2006/relationships/header" Target="header125.xml"/><Relationship Id="rId23" Type="http://schemas.openxmlformats.org/officeDocument/2006/relationships/footer" Target="footer6.xml"/><Relationship Id="rId119" Type="http://schemas.openxmlformats.org/officeDocument/2006/relationships/footer" Target="footer54.xml"/><Relationship Id="rId270" Type="http://schemas.openxmlformats.org/officeDocument/2006/relationships/header" Target="header130.xml"/><Relationship Id="rId291" Type="http://schemas.openxmlformats.org/officeDocument/2006/relationships/footer" Target="footer140.xml"/><Relationship Id="rId305" Type="http://schemas.openxmlformats.org/officeDocument/2006/relationships/footer" Target="footer147.xml"/><Relationship Id="rId326" Type="http://schemas.openxmlformats.org/officeDocument/2006/relationships/footer" Target="footer157.xml"/><Relationship Id="rId44" Type="http://schemas.openxmlformats.org/officeDocument/2006/relationships/footer" Target="footer16.xml"/><Relationship Id="rId65" Type="http://schemas.openxmlformats.org/officeDocument/2006/relationships/footer" Target="footer27.xml"/><Relationship Id="rId86" Type="http://schemas.openxmlformats.org/officeDocument/2006/relationships/footer" Target="footer37.xml"/><Relationship Id="rId130" Type="http://schemas.openxmlformats.org/officeDocument/2006/relationships/header" Target="header60.xml"/><Relationship Id="rId151" Type="http://schemas.openxmlformats.org/officeDocument/2006/relationships/header" Target="header71.xml"/><Relationship Id="rId172" Type="http://schemas.openxmlformats.org/officeDocument/2006/relationships/header" Target="header81.xml"/><Relationship Id="rId193" Type="http://schemas.openxmlformats.org/officeDocument/2006/relationships/header" Target="header92.xml"/><Relationship Id="rId207" Type="http://schemas.openxmlformats.org/officeDocument/2006/relationships/footer" Target="footer98.xml"/><Relationship Id="rId228" Type="http://schemas.openxmlformats.org/officeDocument/2006/relationships/header" Target="header109.xml"/><Relationship Id="rId249" Type="http://schemas.openxmlformats.org/officeDocument/2006/relationships/footer" Target="footer119.xml"/><Relationship Id="rId13" Type="http://schemas.openxmlformats.org/officeDocument/2006/relationships/header" Target="header2.xml"/><Relationship Id="rId109" Type="http://schemas.openxmlformats.org/officeDocument/2006/relationships/header" Target="header50.xml"/><Relationship Id="rId260" Type="http://schemas.openxmlformats.org/officeDocument/2006/relationships/footer" Target="footer124.xml"/><Relationship Id="rId281" Type="http://schemas.openxmlformats.org/officeDocument/2006/relationships/footer" Target="footer135.xml"/><Relationship Id="rId316" Type="http://schemas.openxmlformats.org/officeDocument/2006/relationships/header" Target="header153.xml"/><Relationship Id="rId337" Type="http://schemas.openxmlformats.org/officeDocument/2006/relationships/theme" Target="theme/theme1.xml"/><Relationship Id="rId34" Type="http://schemas.openxmlformats.org/officeDocument/2006/relationships/header" Target="header12.xml"/><Relationship Id="rId55" Type="http://schemas.openxmlformats.org/officeDocument/2006/relationships/header" Target="header23.xml"/><Relationship Id="rId76" Type="http://schemas.openxmlformats.org/officeDocument/2006/relationships/header" Target="header33.xml"/><Relationship Id="rId97" Type="http://schemas.openxmlformats.org/officeDocument/2006/relationships/header" Target="header44.xml"/><Relationship Id="rId120" Type="http://schemas.openxmlformats.org/officeDocument/2006/relationships/header" Target="header55.xml"/><Relationship Id="rId141" Type="http://schemas.openxmlformats.org/officeDocument/2006/relationships/footer" Target="footer65.xml"/><Relationship Id="rId7" Type="http://schemas.openxmlformats.org/officeDocument/2006/relationships/settings" Target="settings.xml"/><Relationship Id="rId162" Type="http://schemas.openxmlformats.org/officeDocument/2006/relationships/header" Target="header76.xml"/><Relationship Id="rId183" Type="http://schemas.openxmlformats.org/officeDocument/2006/relationships/footer" Target="footer86.xml"/><Relationship Id="rId218" Type="http://schemas.openxmlformats.org/officeDocument/2006/relationships/footer" Target="footer103.xml"/><Relationship Id="rId239" Type="http://schemas.openxmlformats.org/officeDocument/2006/relationships/footer" Target="footer114.xml"/><Relationship Id="rId250" Type="http://schemas.openxmlformats.org/officeDocument/2006/relationships/header" Target="header120.xml"/><Relationship Id="rId271" Type="http://schemas.openxmlformats.org/officeDocument/2006/relationships/header" Target="header131.xml"/><Relationship Id="rId292" Type="http://schemas.openxmlformats.org/officeDocument/2006/relationships/header" Target="header141.xml"/><Relationship Id="rId306" Type="http://schemas.openxmlformats.org/officeDocument/2006/relationships/header" Target="header148.xml"/><Relationship Id="rId24" Type="http://schemas.openxmlformats.org/officeDocument/2006/relationships/header" Target="header7.xml"/><Relationship Id="rId45" Type="http://schemas.openxmlformats.org/officeDocument/2006/relationships/footer" Target="footer17.xml"/><Relationship Id="rId66" Type="http://schemas.openxmlformats.org/officeDocument/2006/relationships/header" Target="header28.xml"/><Relationship Id="rId87" Type="http://schemas.openxmlformats.org/officeDocument/2006/relationships/footer" Target="footer38.xml"/><Relationship Id="rId110" Type="http://schemas.openxmlformats.org/officeDocument/2006/relationships/footer" Target="footer49.xml"/><Relationship Id="rId131" Type="http://schemas.openxmlformats.org/officeDocument/2006/relationships/footer" Target="footer60.xml"/><Relationship Id="rId327" Type="http://schemas.openxmlformats.org/officeDocument/2006/relationships/footer" Target="footer158.xml"/><Relationship Id="rId152" Type="http://schemas.openxmlformats.org/officeDocument/2006/relationships/footer" Target="footer70.xml"/><Relationship Id="rId173" Type="http://schemas.openxmlformats.org/officeDocument/2006/relationships/footer" Target="footer81.xml"/><Relationship Id="rId194" Type="http://schemas.openxmlformats.org/officeDocument/2006/relationships/footer" Target="footer91.xml"/><Relationship Id="rId208" Type="http://schemas.openxmlformats.org/officeDocument/2006/relationships/header" Target="header99.xml"/><Relationship Id="rId229" Type="http://schemas.openxmlformats.org/officeDocument/2006/relationships/header" Target="header110.xml"/><Relationship Id="rId240" Type="http://schemas.openxmlformats.org/officeDocument/2006/relationships/header" Target="header115.xml"/><Relationship Id="rId261" Type="http://schemas.openxmlformats.org/officeDocument/2006/relationships/footer" Target="footer125.xml"/><Relationship Id="rId14" Type="http://schemas.openxmlformats.org/officeDocument/2006/relationships/footer" Target="footer1.xml"/><Relationship Id="rId35" Type="http://schemas.openxmlformats.org/officeDocument/2006/relationships/footer" Target="footer12.xml"/><Relationship Id="rId56" Type="http://schemas.openxmlformats.org/officeDocument/2006/relationships/footer" Target="footer22.xml"/><Relationship Id="rId77" Type="http://schemas.openxmlformats.org/officeDocument/2006/relationships/footer" Target="footer33.xml"/><Relationship Id="rId100" Type="http://schemas.openxmlformats.org/officeDocument/2006/relationships/header" Target="header45.xml"/><Relationship Id="rId282" Type="http://schemas.openxmlformats.org/officeDocument/2006/relationships/header" Target="header136.xml"/><Relationship Id="rId317" Type="http://schemas.openxmlformats.org/officeDocument/2006/relationships/footer" Target="footer153.xml"/><Relationship Id="rId8" Type="http://schemas.openxmlformats.org/officeDocument/2006/relationships/webSettings" Target="webSettings.xml"/><Relationship Id="rId98" Type="http://schemas.openxmlformats.org/officeDocument/2006/relationships/footer" Target="footer43.xml"/><Relationship Id="rId121" Type="http://schemas.openxmlformats.org/officeDocument/2006/relationships/header" Target="header56.xml"/><Relationship Id="rId142" Type="http://schemas.openxmlformats.org/officeDocument/2006/relationships/header" Target="header66.xml"/><Relationship Id="rId163" Type="http://schemas.openxmlformats.org/officeDocument/2006/relationships/header" Target="header77.xml"/><Relationship Id="rId184" Type="http://schemas.openxmlformats.org/officeDocument/2006/relationships/header" Target="header87.xml"/><Relationship Id="rId219" Type="http://schemas.openxmlformats.org/officeDocument/2006/relationships/footer" Target="footer104.xml"/><Relationship Id="rId3" Type="http://schemas.openxmlformats.org/officeDocument/2006/relationships/customXml" Target="../customXml/item3.xml"/><Relationship Id="rId214" Type="http://schemas.openxmlformats.org/officeDocument/2006/relationships/header" Target="header102.xml"/><Relationship Id="rId230" Type="http://schemas.openxmlformats.org/officeDocument/2006/relationships/footer" Target="footer109.xml"/><Relationship Id="rId235" Type="http://schemas.openxmlformats.org/officeDocument/2006/relationships/header" Target="header113.xml"/><Relationship Id="rId251" Type="http://schemas.openxmlformats.org/officeDocument/2006/relationships/footer" Target="footer120.xml"/><Relationship Id="rId256" Type="http://schemas.openxmlformats.org/officeDocument/2006/relationships/header" Target="header123.xml"/><Relationship Id="rId277" Type="http://schemas.openxmlformats.org/officeDocument/2006/relationships/header" Target="header134.xml"/><Relationship Id="rId298" Type="http://schemas.openxmlformats.org/officeDocument/2006/relationships/header" Target="header144.xml"/><Relationship Id="rId25" Type="http://schemas.openxmlformats.org/officeDocument/2006/relationships/header" Target="header8.xml"/><Relationship Id="rId46" Type="http://schemas.openxmlformats.org/officeDocument/2006/relationships/header" Target="header18.xml"/><Relationship Id="rId67" Type="http://schemas.openxmlformats.org/officeDocument/2006/relationships/header" Target="header29.xml"/><Relationship Id="rId116" Type="http://schemas.openxmlformats.org/officeDocument/2006/relationships/footer" Target="footer52.xml"/><Relationship Id="rId137" Type="http://schemas.openxmlformats.org/officeDocument/2006/relationships/footer" Target="footer63.xml"/><Relationship Id="rId158" Type="http://schemas.openxmlformats.org/officeDocument/2006/relationships/footer" Target="footer73.xml"/><Relationship Id="rId272" Type="http://schemas.openxmlformats.org/officeDocument/2006/relationships/footer" Target="footer130.xml"/><Relationship Id="rId293" Type="http://schemas.openxmlformats.org/officeDocument/2006/relationships/footer" Target="footer141.xml"/><Relationship Id="rId302" Type="http://schemas.openxmlformats.org/officeDocument/2006/relationships/footer" Target="footer145.xml"/><Relationship Id="rId307" Type="http://schemas.openxmlformats.org/officeDocument/2006/relationships/header" Target="header149.xml"/><Relationship Id="rId323" Type="http://schemas.openxmlformats.org/officeDocument/2006/relationships/footer" Target="footer156.xml"/><Relationship Id="rId328" Type="http://schemas.openxmlformats.org/officeDocument/2006/relationships/header" Target="header159.xml"/><Relationship Id="rId20" Type="http://schemas.openxmlformats.org/officeDocument/2006/relationships/footer" Target="footer4.xml"/><Relationship Id="rId41" Type="http://schemas.openxmlformats.org/officeDocument/2006/relationships/footer" Target="footer15.xml"/><Relationship Id="rId62" Type="http://schemas.openxmlformats.org/officeDocument/2006/relationships/footer" Target="footer25.xml"/><Relationship Id="rId83" Type="http://schemas.openxmlformats.org/officeDocument/2006/relationships/footer" Target="footer36.xml"/><Relationship Id="rId88" Type="http://schemas.openxmlformats.org/officeDocument/2006/relationships/header" Target="header39.xml"/><Relationship Id="rId111" Type="http://schemas.openxmlformats.org/officeDocument/2006/relationships/footer" Target="footer50.xml"/><Relationship Id="rId132" Type="http://schemas.openxmlformats.org/officeDocument/2006/relationships/header" Target="header61.xml"/><Relationship Id="rId153" Type="http://schemas.openxmlformats.org/officeDocument/2006/relationships/footer" Target="footer71.xml"/><Relationship Id="rId174" Type="http://schemas.openxmlformats.org/officeDocument/2006/relationships/header" Target="header82.xml"/><Relationship Id="rId179" Type="http://schemas.openxmlformats.org/officeDocument/2006/relationships/footer" Target="footer84.xml"/><Relationship Id="rId195" Type="http://schemas.openxmlformats.org/officeDocument/2006/relationships/footer" Target="footer92.xml"/><Relationship Id="rId209" Type="http://schemas.openxmlformats.org/officeDocument/2006/relationships/footer" Target="footer99.xml"/><Relationship Id="rId190" Type="http://schemas.openxmlformats.org/officeDocument/2006/relationships/header" Target="header90.xml"/><Relationship Id="rId204" Type="http://schemas.openxmlformats.org/officeDocument/2006/relationships/header" Target="header97.xml"/><Relationship Id="rId220" Type="http://schemas.openxmlformats.org/officeDocument/2006/relationships/header" Target="header105.xml"/><Relationship Id="rId225" Type="http://schemas.openxmlformats.org/officeDocument/2006/relationships/footer" Target="footer107.xml"/><Relationship Id="rId241" Type="http://schemas.openxmlformats.org/officeDocument/2006/relationships/header" Target="header116.xml"/><Relationship Id="rId246" Type="http://schemas.openxmlformats.org/officeDocument/2006/relationships/header" Target="header118.xml"/><Relationship Id="rId267" Type="http://schemas.openxmlformats.org/officeDocument/2006/relationships/footer" Target="footer128.xml"/><Relationship Id="rId288" Type="http://schemas.openxmlformats.org/officeDocument/2006/relationships/header" Target="header139.xml"/><Relationship Id="rId15" Type="http://schemas.openxmlformats.org/officeDocument/2006/relationships/footer" Target="footer2.xml"/><Relationship Id="rId36" Type="http://schemas.openxmlformats.org/officeDocument/2006/relationships/header" Target="header13.xml"/><Relationship Id="rId57" Type="http://schemas.openxmlformats.org/officeDocument/2006/relationships/footer" Target="footer23.xml"/><Relationship Id="rId106" Type="http://schemas.openxmlformats.org/officeDocument/2006/relationships/header" Target="header48.xml"/><Relationship Id="rId127" Type="http://schemas.openxmlformats.org/officeDocument/2006/relationships/header" Target="header59.xml"/><Relationship Id="rId262" Type="http://schemas.openxmlformats.org/officeDocument/2006/relationships/header" Target="header126.xml"/><Relationship Id="rId283" Type="http://schemas.openxmlformats.org/officeDocument/2006/relationships/header" Target="header137.xml"/><Relationship Id="rId313" Type="http://schemas.openxmlformats.org/officeDocument/2006/relationships/header" Target="header152.xml"/><Relationship Id="rId318" Type="http://schemas.openxmlformats.org/officeDocument/2006/relationships/header" Target="header154.xml"/><Relationship Id="rId10" Type="http://schemas.openxmlformats.org/officeDocument/2006/relationships/endnotes" Target="endnotes.xml"/><Relationship Id="rId31" Type="http://schemas.openxmlformats.org/officeDocument/2006/relationships/header" Target="header11.xml"/><Relationship Id="rId52" Type="http://schemas.openxmlformats.org/officeDocument/2006/relationships/header" Target="header21.xml"/><Relationship Id="rId73" Type="http://schemas.openxmlformats.org/officeDocument/2006/relationships/header" Target="header32.xml"/><Relationship Id="rId78" Type="http://schemas.openxmlformats.org/officeDocument/2006/relationships/header" Target="header34.xml"/><Relationship Id="rId94" Type="http://schemas.openxmlformats.org/officeDocument/2006/relationships/header" Target="header42.xml"/><Relationship Id="rId99" Type="http://schemas.openxmlformats.org/officeDocument/2006/relationships/footer" Target="footer44.xml"/><Relationship Id="rId101" Type="http://schemas.openxmlformats.org/officeDocument/2006/relationships/footer" Target="footer45.xml"/><Relationship Id="rId122" Type="http://schemas.openxmlformats.org/officeDocument/2006/relationships/footer" Target="footer55.xml"/><Relationship Id="rId143" Type="http://schemas.openxmlformats.org/officeDocument/2006/relationships/footer" Target="footer66.xml"/><Relationship Id="rId148" Type="http://schemas.openxmlformats.org/officeDocument/2006/relationships/header" Target="header69.xml"/><Relationship Id="rId164" Type="http://schemas.openxmlformats.org/officeDocument/2006/relationships/footer" Target="footer76.xml"/><Relationship Id="rId169" Type="http://schemas.openxmlformats.org/officeDocument/2006/relationships/header" Target="header80.xml"/><Relationship Id="rId185" Type="http://schemas.openxmlformats.org/officeDocument/2006/relationships/footer" Target="footer87.xml"/><Relationship Id="rId334" Type="http://schemas.openxmlformats.org/officeDocument/2006/relationships/header" Target="header162.xm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eader" Target="header85.xml"/><Relationship Id="rId210" Type="http://schemas.openxmlformats.org/officeDocument/2006/relationships/header" Target="header100.xml"/><Relationship Id="rId215" Type="http://schemas.openxmlformats.org/officeDocument/2006/relationships/footer" Target="footer102.xml"/><Relationship Id="rId236" Type="http://schemas.openxmlformats.org/officeDocument/2006/relationships/footer" Target="footer112.xml"/><Relationship Id="rId257" Type="http://schemas.openxmlformats.org/officeDocument/2006/relationships/footer" Target="footer123.xml"/><Relationship Id="rId278" Type="http://schemas.openxmlformats.org/officeDocument/2006/relationships/footer" Target="footer133.xml"/><Relationship Id="rId26" Type="http://schemas.openxmlformats.org/officeDocument/2006/relationships/footer" Target="footer7.xml"/><Relationship Id="rId231" Type="http://schemas.openxmlformats.org/officeDocument/2006/relationships/footer" Target="footer110.xml"/><Relationship Id="rId252" Type="http://schemas.openxmlformats.org/officeDocument/2006/relationships/header" Target="header121.xml"/><Relationship Id="rId273" Type="http://schemas.openxmlformats.org/officeDocument/2006/relationships/footer" Target="footer131.xml"/><Relationship Id="rId294" Type="http://schemas.openxmlformats.org/officeDocument/2006/relationships/header" Target="header142.xml"/><Relationship Id="rId308" Type="http://schemas.openxmlformats.org/officeDocument/2006/relationships/footer" Target="footer148.xml"/><Relationship Id="rId329" Type="http://schemas.openxmlformats.org/officeDocument/2006/relationships/footer" Target="footer159.xml"/><Relationship Id="rId47" Type="http://schemas.openxmlformats.org/officeDocument/2006/relationships/footer" Target="footer18.xml"/><Relationship Id="rId68" Type="http://schemas.openxmlformats.org/officeDocument/2006/relationships/footer" Target="footer28.xml"/><Relationship Id="rId89" Type="http://schemas.openxmlformats.org/officeDocument/2006/relationships/footer" Target="footer39.xml"/><Relationship Id="rId112" Type="http://schemas.openxmlformats.org/officeDocument/2006/relationships/header" Target="header51.xml"/><Relationship Id="rId133" Type="http://schemas.openxmlformats.org/officeDocument/2006/relationships/header" Target="header62.xml"/><Relationship Id="rId154" Type="http://schemas.openxmlformats.org/officeDocument/2006/relationships/header" Target="header72.xml"/><Relationship Id="rId175" Type="http://schemas.openxmlformats.org/officeDocument/2006/relationships/header" Target="header83.xml"/><Relationship Id="rId196" Type="http://schemas.openxmlformats.org/officeDocument/2006/relationships/header" Target="header93.xml"/><Relationship Id="rId200" Type="http://schemas.openxmlformats.org/officeDocument/2006/relationships/footer" Target="footer94.xml"/><Relationship Id="rId16" Type="http://schemas.openxmlformats.org/officeDocument/2006/relationships/header" Target="header3.xml"/><Relationship Id="rId221" Type="http://schemas.openxmlformats.org/officeDocument/2006/relationships/footer" Target="footer105.xml"/><Relationship Id="rId242" Type="http://schemas.openxmlformats.org/officeDocument/2006/relationships/footer" Target="footer115.xml"/><Relationship Id="rId263" Type="http://schemas.openxmlformats.org/officeDocument/2006/relationships/footer" Target="footer126.xml"/><Relationship Id="rId284" Type="http://schemas.openxmlformats.org/officeDocument/2006/relationships/footer" Target="footer136.xml"/><Relationship Id="rId319" Type="http://schemas.openxmlformats.org/officeDocument/2006/relationships/header" Target="header155.xml"/><Relationship Id="rId37" Type="http://schemas.openxmlformats.org/officeDocument/2006/relationships/header" Target="header14.xml"/><Relationship Id="rId58" Type="http://schemas.openxmlformats.org/officeDocument/2006/relationships/header" Target="header24.xml"/><Relationship Id="rId79" Type="http://schemas.openxmlformats.org/officeDocument/2006/relationships/header" Target="header35.xml"/><Relationship Id="rId102" Type="http://schemas.openxmlformats.org/officeDocument/2006/relationships/header" Target="header46.xml"/><Relationship Id="rId123" Type="http://schemas.openxmlformats.org/officeDocument/2006/relationships/footer" Target="footer56.xml"/><Relationship Id="rId144" Type="http://schemas.openxmlformats.org/officeDocument/2006/relationships/header" Target="header67.xml"/><Relationship Id="rId330" Type="http://schemas.openxmlformats.org/officeDocument/2006/relationships/header" Target="header160.xml"/><Relationship Id="rId90" Type="http://schemas.openxmlformats.org/officeDocument/2006/relationships/header" Target="header40.xml"/><Relationship Id="rId165" Type="http://schemas.openxmlformats.org/officeDocument/2006/relationships/footer" Target="footer77.xml"/><Relationship Id="rId186" Type="http://schemas.openxmlformats.org/officeDocument/2006/relationships/header" Target="header88.xml"/><Relationship Id="rId211" Type="http://schemas.openxmlformats.org/officeDocument/2006/relationships/header" Target="header101.xml"/><Relationship Id="rId232" Type="http://schemas.openxmlformats.org/officeDocument/2006/relationships/header" Target="header111.xml"/><Relationship Id="rId253" Type="http://schemas.openxmlformats.org/officeDocument/2006/relationships/header" Target="header122.xml"/><Relationship Id="rId274" Type="http://schemas.openxmlformats.org/officeDocument/2006/relationships/header" Target="header132.xml"/><Relationship Id="rId295" Type="http://schemas.openxmlformats.org/officeDocument/2006/relationships/header" Target="header143.xml"/><Relationship Id="rId309" Type="http://schemas.openxmlformats.org/officeDocument/2006/relationships/footer" Target="footer149.xml"/><Relationship Id="rId27" Type="http://schemas.openxmlformats.org/officeDocument/2006/relationships/footer" Target="footer8.xml"/><Relationship Id="rId48" Type="http://schemas.openxmlformats.org/officeDocument/2006/relationships/header" Target="header19.xml"/><Relationship Id="rId69" Type="http://schemas.openxmlformats.org/officeDocument/2006/relationships/footer" Target="footer29.xml"/><Relationship Id="rId113" Type="http://schemas.openxmlformats.org/officeDocument/2006/relationships/footer" Target="footer51.xml"/><Relationship Id="rId134" Type="http://schemas.openxmlformats.org/officeDocument/2006/relationships/footer" Target="footer61.xml"/><Relationship Id="rId320" Type="http://schemas.openxmlformats.org/officeDocument/2006/relationships/footer" Target="footer154.xml"/><Relationship Id="rId80" Type="http://schemas.openxmlformats.org/officeDocument/2006/relationships/footer" Target="footer34.xml"/><Relationship Id="rId155" Type="http://schemas.openxmlformats.org/officeDocument/2006/relationships/footer" Target="footer72.xml"/><Relationship Id="rId176" Type="http://schemas.openxmlformats.org/officeDocument/2006/relationships/footer" Target="footer82.xml"/><Relationship Id="rId197" Type="http://schemas.openxmlformats.org/officeDocument/2006/relationships/footer" Target="footer93.xml"/><Relationship Id="rId201" Type="http://schemas.openxmlformats.org/officeDocument/2006/relationships/footer" Target="footer95.xml"/><Relationship Id="rId222" Type="http://schemas.openxmlformats.org/officeDocument/2006/relationships/header" Target="header106.xml"/><Relationship Id="rId243" Type="http://schemas.openxmlformats.org/officeDocument/2006/relationships/footer" Target="footer116.xml"/><Relationship Id="rId264" Type="http://schemas.openxmlformats.org/officeDocument/2006/relationships/header" Target="header127.xml"/><Relationship Id="rId285" Type="http://schemas.openxmlformats.org/officeDocument/2006/relationships/footer" Target="footer137.xml"/><Relationship Id="rId17" Type="http://schemas.openxmlformats.org/officeDocument/2006/relationships/footer" Target="footer3.xml"/><Relationship Id="rId38" Type="http://schemas.openxmlformats.org/officeDocument/2006/relationships/footer" Target="footer13.xml"/><Relationship Id="rId59" Type="http://schemas.openxmlformats.org/officeDocument/2006/relationships/footer" Target="footer24.xml"/><Relationship Id="rId103" Type="http://schemas.openxmlformats.org/officeDocument/2006/relationships/header" Target="header47.xml"/><Relationship Id="rId124" Type="http://schemas.openxmlformats.org/officeDocument/2006/relationships/header" Target="header57.xml"/><Relationship Id="rId310" Type="http://schemas.openxmlformats.org/officeDocument/2006/relationships/header" Target="header150.xml"/><Relationship Id="rId70" Type="http://schemas.openxmlformats.org/officeDocument/2006/relationships/header" Target="header30.xml"/><Relationship Id="rId91" Type="http://schemas.openxmlformats.org/officeDocument/2006/relationships/header" Target="header41.xml"/><Relationship Id="rId145" Type="http://schemas.openxmlformats.org/officeDocument/2006/relationships/header" Target="header68.xml"/><Relationship Id="rId166" Type="http://schemas.openxmlformats.org/officeDocument/2006/relationships/header" Target="header78.xml"/><Relationship Id="rId187" Type="http://schemas.openxmlformats.org/officeDocument/2006/relationships/header" Target="header89.xml"/><Relationship Id="rId331" Type="http://schemas.openxmlformats.org/officeDocument/2006/relationships/header" Target="header161.xml"/><Relationship Id="rId1" Type="http://schemas.openxmlformats.org/officeDocument/2006/relationships/customXml" Target="../customXml/item1.xml"/><Relationship Id="rId212" Type="http://schemas.openxmlformats.org/officeDocument/2006/relationships/footer" Target="footer100.xml"/><Relationship Id="rId233" Type="http://schemas.openxmlformats.org/officeDocument/2006/relationships/footer" Target="footer111.xml"/><Relationship Id="rId254" Type="http://schemas.openxmlformats.org/officeDocument/2006/relationships/footer" Target="footer121.xml"/><Relationship Id="rId28" Type="http://schemas.openxmlformats.org/officeDocument/2006/relationships/header" Target="header9.xml"/><Relationship Id="rId49" Type="http://schemas.openxmlformats.org/officeDocument/2006/relationships/header" Target="header20.xml"/><Relationship Id="rId114" Type="http://schemas.openxmlformats.org/officeDocument/2006/relationships/header" Target="header52.xml"/><Relationship Id="rId275" Type="http://schemas.openxmlformats.org/officeDocument/2006/relationships/footer" Target="footer132.xml"/><Relationship Id="rId296" Type="http://schemas.openxmlformats.org/officeDocument/2006/relationships/footer" Target="footer142.xml"/><Relationship Id="rId300" Type="http://schemas.openxmlformats.org/officeDocument/2006/relationships/header" Target="header145.xml"/><Relationship Id="rId60" Type="http://schemas.openxmlformats.org/officeDocument/2006/relationships/header" Target="header25.xml"/><Relationship Id="rId81" Type="http://schemas.openxmlformats.org/officeDocument/2006/relationships/footer" Target="footer35.xml"/><Relationship Id="rId135" Type="http://schemas.openxmlformats.org/officeDocument/2006/relationships/footer" Target="footer62.xml"/><Relationship Id="rId156" Type="http://schemas.openxmlformats.org/officeDocument/2006/relationships/header" Target="header73.xml"/><Relationship Id="rId177" Type="http://schemas.openxmlformats.org/officeDocument/2006/relationships/footer" Target="footer83.xml"/><Relationship Id="rId198" Type="http://schemas.openxmlformats.org/officeDocument/2006/relationships/header" Target="header94.xml"/><Relationship Id="rId321" Type="http://schemas.openxmlformats.org/officeDocument/2006/relationships/footer" Target="footer155.xml"/><Relationship Id="rId202" Type="http://schemas.openxmlformats.org/officeDocument/2006/relationships/header" Target="header96.xml"/><Relationship Id="rId223" Type="http://schemas.openxmlformats.org/officeDocument/2006/relationships/header" Target="header107.xml"/><Relationship Id="rId244" Type="http://schemas.openxmlformats.org/officeDocument/2006/relationships/header" Target="header117.xml"/><Relationship Id="rId18" Type="http://schemas.openxmlformats.org/officeDocument/2006/relationships/header" Target="header4.xml"/><Relationship Id="rId39" Type="http://schemas.openxmlformats.org/officeDocument/2006/relationships/footer" Target="footer14.xml"/><Relationship Id="rId265" Type="http://schemas.openxmlformats.org/officeDocument/2006/relationships/header" Target="header128.xml"/><Relationship Id="rId286" Type="http://schemas.openxmlformats.org/officeDocument/2006/relationships/header" Target="header138.xml"/><Relationship Id="rId50" Type="http://schemas.openxmlformats.org/officeDocument/2006/relationships/footer" Target="footer19.xml"/><Relationship Id="rId104" Type="http://schemas.openxmlformats.org/officeDocument/2006/relationships/footer" Target="footer46.xml"/><Relationship Id="rId125" Type="http://schemas.openxmlformats.org/officeDocument/2006/relationships/footer" Target="footer57.xml"/><Relationship Id="rId146" Type="http://schemas.openxmlformats.org/officeDocument/2006/relationships/footer" Target="footer67.xml"/><Relationship Id="rId167" Type="http://schemas.openxmlformats.org/officeDocument/2006/relationships/footer" Target="footer78.xml"/><Relationship Id="rId188" Type="http://schemas.openxmlformats.org/officeDocument/2006/relationships/footer" Target="footer88.xml"/><Relationship Id="rId311" Type="http://schemas.openxmlformats.org/officeDocument/2006/relationships/footer" Target="footer150.xml"/><Relationship Id="rId332" Type="http://schemas.openxmlformats.org/officeDocument/2006/relationships/footer" Target="footer160.xml"/><Relationship Id="rId71" Type="http://schemas.openxmlformats.org/officeDocument/2006/relationships/footer" Target="footer30.xml"/><Relationship Id="rId92" Type="http://schemas.openxmlformats.org/officeDocument/2006/relationships/footer" Target="footer40.xml"/><Relationship Id="rId213" Type="http://schemas.openxmlformats.org/officeDocument/2006/relationships/footer" Target="footer101.xml"/><Relationship Id="rId234" Type="http://schemas.openxmlformats.org/officeDocument/2006/relationships/header" Target="header112.xml"/><Relationship Id="rId2" Type="http://schemas.openxmlformats.org/officeDocument/2006/relationships/customXml" Target="../customXml/item2.xml"/><Relationship Id="rId29" Type="http://schemas.openxmlformats.org/officeDocument/2006/relationships/footer" Target="footer9.xml"/><Relationship Id="rId255" Type="http://schemas.openxmlformats.org/officeDocument/2006/relationships/footer" Target="footer122.xml"/><Relationship Id="rId276" Type="http://schemas.openxmlformats.org/officeDocument/2006/relationships/header" Target="header133.xml"/><Relationship Id="rId297" Type="http://schemas.openxmlformats.org/officeDocument/2006/relationships/footer" Target="footer143.xml"/><Relationship Id="rId40" Type="http://schemas.openxmlformats.org/officeDocument/2006/relationships/header" Target="header15.xml"/><Relationship Id="rId115" Type="http://schemas.openxmlformats.org/officeDocument/2006/relationships/header" Target="header53.xml"/><Relationship Id="rId136" Type="http://schemas.openxmlformats.org/officeDocument/2006/relationships/header" Target="header63.xml"/><Relationship Id="rId157" Type="http://schemas.openxmlformats.org/officeDocument/2006/relationships/header" Target="header74.xml"/><Relationship Id="rId178" Type="http://schemas.openxmlformats.org/officeDocument/2006/relationships/header" Target="header84.xml"/><Relationship Id="rId301" Type="http://schemas.openxmlformats.org/officeDocument/2006/relationships/header" Target="header146.xml"/><Relationship Id="rId322" Type="http://schemas.openxmlformats.org/officeDocument/2006/relationships/header" Target="header156.xml"/><Relationship Id="rId61" Type="http://schemas.openxmlformats.org/officeDocument/2006/relationships/header" Target="header26.xml"/><Relationship Id="rId82" Type="http://schemas.openxmlformats.org/officeDocument/2006/relationships/header" Target="header36.xml"/><Relationship Id="rId199" Type="http://schemas.openxmlformats.org/officeDocument/2006/relationships/header" Target="header95.xml"/><Relationship Id="rId203" Type="http://schemas.openxmlformats.org/officeDocument/2006/relationships/footer" Target="footer96.xml"/><Relationship Id="rId19" Type="http://schemas.openxmlformats.org/officeDocument/2006/relationships/header" Target="header5.xml"/><Relationship Id="rId224" Type="http://schemas.openxmlformats.org/officeDocument/2006/relationships/footer" Target="footer106.xml"/><Relationship Id="rId245" Type="http://schemas.openxmlformats.org/officeDocument/2006/relationships/footer" Target="footer117.xml"/><Relationship Id="rId266" Type="http://schemas.openxmlformats.org/officeDocument/2006/relationships/footer" Target="footer127.xml"/><Relationship Id="rId287" Type="http://schemas.openxmlformats.org/officeDocument/2006/relationships/footer" Target="footer138.xml"/><Relationship Id="rId30" Type="http://schemas.openxmlformats.org/officeDocument/2006/relationships/header" Target="header10.xml"/><Relationship Id="rId105" Type="http://schemas.openxmlformats.org/officeDocument/2006/relationships/footer" Target="footer47.xml"/><Relationship Id="rId126" Type="http://schemas.openxmlformats.org/officeDocument/2006/relationships/header" Target="header58.xml"/><Relationship Id="rId147" Type="http://schemas.openxmlformats.org/officeDocument/2006/relationships/footer" Target="footer68.xml"/><Relationship Id="rId168" Type="http://schemas.openxmlformats.org/officeDocument/2006/relationships/header" Target="header79.xml"/><Relationship Id="rId312" Type="http://schemas.openxmlformats.org/officeDocument/2006/relationships/header" Target="header151.xml"/><Relationship Id="rId333" Type="http://schemas.openxmlformats.org/officeDocument/2006/relationships/footer" Target="footer161.xml"/><Relationship Id="rId51" Type="http://schemas.openxmlformats.org/officeDocument/2006/relationships/footer" Target="footer20.xml"/><Relationship Id="rId72" Type="http://schemas.openxmlformats.org/officeDocument/2006/relationships/header" Target="header31.xml"/><Relationship Id="rId93" Type="http://schemas.openxmlformats.org/officeDocument/2006/relationships/footer" Target="footer41.xml"/><Relationship Id="rId189" Type="http://schemas.openxmlformats.org/officeDocument/2006/relationships/footer" Target="footer8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094E9F29D6C04F85860C631ABC812A" ma:contentTypeVersion="16" ma:contentTypeDescription="Crée un document." ma:contentTypeScope="" ma:versionID="e5fd99473fbbe8ae20c8cc9408488cf1">
  <xsd:schema xmlns:xsd="http://www.w3.org/2001/XMLSchema" xmlns:xs="http://www.w3.org/2001/XMLSchema" xmlns:p="http://schemas.microsoft.com/office/2006/metadata/properties" xmlns:ns2="1700ab43-7395-48ff-866c-657c86ba7f4e" xmlns:ns3="e6c3bc29-9e11-4027-900b-c73633d7928a" targetNamespace="http://schemas.microsoft.com/office/2006/metadata/properties" ma:root="true" ma:fieldsID="31c17702654da8f4e338a8fbb8211638" ns2:_="" ns3:_="">
    <xsd:import namespace="1700ab43-7395-48ff-866c-657c86ba7f4e"/>
    <xsd:import namespace="e6c3bc29-9e11-4027-900b-c73633d792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00ab43-7395-48ff-866c-657c86ba7f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c3bc29-9e11-4027-900b-c73633d7928a"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d7b46321-4863-49fd-9335-6bd80854a530}" ma:internalName="TaxCatchAll" ma:showField="CatchAllData" ma:web="e6c3bc29-9e11-4027-900b-c73633d79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6c3bc29-9e11-4027-900b-c73633d7928a" xsi:nil="true"/>
    <lcf76f155ced4ddcb4097134ff3c332f xmlns="1700ab43-7395-48ff-866c-657c86ba7f4e">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068D7D-1BE9-43AF-A2BA-9A81A42E0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00ab43-7395-48ff-866c-657c86ba7f4e"/>
    <ds:schemaRef ds:uri="e6c3bc29-9e11-4027-900b-c73633d79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39448B-3E38-4A61-8875-8BA6072211C4}">
  <ds:schemaRefs>
    <ds:schemaRef ds:uri="http://schemas.microsoft.com/sharepoint/v3/contenttype/forms"/>
  </ds:schemaRefs>
</ds:datastoreItem>
</file>

<file path=customXml/itemProps3.xml><?xml version="1.0" encoding="utf-8"?>
<ds:datastoreItem xmlns:ds="http://schemas.openxmlformats.org/officeDocument/2006/customXml" ds:itemID="{70AC9106-11AA-4795-889E-C08959391C79}">
  <ds:schemaRefs>
    <ds:schemaRef ds:uri="http://schemas.microsoft.com/office/2006/metadata/properties"/>
    <ds:schemaRef ds:uri="http://schemas.microsoft.com/office/infopath/2007/PartnerControls"/>
    <ds:schemaRef ds:uri="e6c3bc29-9e11-4027-900b-c73633d7928a"/>
    <ds:schemaRef ds:uri="1700ab43-7395-48ff-866c-657c86ba7f4e"/>
  </ds:schemaRefs>
</ds:datastoreItem>
</file>

<file path=customXml/itemProps4.xml><?xml version="1.0" encoding="utf-8"?>
<ds:datastoreItem xmlns:ds="http://schemas.openxmlformats.org/officeDocument/2006/customXml" ds:itemID="{60C89794-4F00-41F4-BE5A-FE642A8A8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14</Pages>
  <Words>47854</Words>
  <Characters>272768</Characters>
  <Application>Microsoft Office Word</Application>
  <DocSecurity>0</DocSecurity>
  <Lines>2273</Lines>
  <Paragraphs>639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319983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PRINCEN Savina (ECFIN)</dc:creator>
  <cp:keywords/>
  <dc:description/>
  <cp:lastModifiedBy>EC CoDe</cp:lastModifiedBy>
  <cp:revision>10</cp:revision>
  <cp:lastPrinted>2023-11-16T21:14:00Z</cp:lastPrinted>
  <dcterms:created xsi:type="dcterms:W3CDTF">2024-11-18T15:32:00Z</dcterms:created>
  <dcterms:modified xsi:type="dcterms:W3CDTF">2024-11-19T15:35:00Z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2023-09-29T16:32:01Z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bb15c96a-0d9c-4fea-9ab8-7d0c30dffb9f</vt:lpwstr>
  </property>
  <property fmtid="{D5CDD505-2E9C-101B-9397-08002B2CF9AE}" pid="8" name="MSIP_Label_6bd9ddd1-4d20-43f6-abfa-fc3c07406f94_ContentBits">
    <vt:lpwstr>0</vt:lpwstr>
  </property>
  <property fmtid="{D5CDD505-2E9C-101B-9397-08002B2CF9AE}" pid="9" name="ContentTypeId">
    <vt:lpwstr>0x01010062094E9F29D6C04F85860C631ABC812A</vt:lpwstr>
  </property>
  <property fmtid="{D5CDD505-2E9C-101B-9397-08002B2CF9AE}" pid="10" name="MediaServiceImageTags">
    <vt:lpwstr/>
  </property>
  <property fmtid="{D5CDD505-2E9C-101B-9397-08002B2CF9AE}" pid="11" name="Level of sensitivity">
    <vt:lpwstr>Standard treatment</vt:lpwstr>
  </property>
  <property fmtid="{D5CDD505-2E9C-101B-9397-08002B2CF9AE}" pid="12" name="First annex">
    <vt:lpwstr>1</vt:lpwstr>
  </property>
  <property fmtid="{D5CDD505-2E9C-101B-9397-08002B2CF9AE}" pid="13" name="Last annex">
    <vt:lpwstr>1</vt:lpwstr>
  </property>
  <property fmtid="{D5CDD505-2E9C-101B-9397-08002B2CF9AE}" pid="14" name="Unique annex">
    <vt:lpwstr>1</vt:lpwstr>
  </property>
  <property fmtid="{D5CDD505-2E9C-101B-9397-08002B2CF9AE}" pid="15" name="Part">
    <vt:lpwstr>1</vt:lpwstr>
  </property>
  <property fmtid="{D5CDD505-2E9C-101B-9397-08002B2CF9AE}" pid="16" name="Total parts">
    <vt:lpwstr>1</vt:lpwstr>
  </property>
  <property fmtid="{D5CDD505-2E9C-101B-9397-08002B2CF9AE}" pid="17" name="CPTemplateID">
    <vt:lpwstr>CP-036</vt:lpwstr>
  </property>
  <property fmtid="{D5CDD505-2E9C-101B-9397-08002B2CF9AE}" pid="18" name="Last edited using">
    <vt:lpwstr>LW 9.0, Build 20230317</vt:lpwstr>
  </property>
  <property fmtid="{D5CDD505-2E9C-101B-9397-08002B2CF9AE}" pid="19" name="Created using">
    <vt:lpwstr>LW 9.0, Build 20230317</vt:lpwstr>
  </property>
  <property fmtid="{D5CDD505-2E9C-101B-9397-08002B2CF9AE}" pid="20" name="DocStatus">
    <vt:lpwstr>Green</vt:lpwstr>
  </property>
</Properties>
</file>