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0FBAE" w14:textId="74033392" w:rsidR="00F8691B" w:rsidRDefault="00933DC6" w:rsidP="00933DC6">
      <w:pPr>
        <w:pStyle w:val="Pagedecouverture"/>
        <w:rPr>
          <w:noProof/>
        </w:rPr>
      </w:pPr>
      <w:bookmarkStart w:id="0" w:name="LW_BM_COVERPAGE"/>
      <w:r>
        <w:rPr>
          <w:noProof/>
        </w:rPr>
        <w:pict w14:anchorId="476C0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0FB0349-0DB0-4D97-9CA9-4195625F053E" style="width:455.25pt;height:324pt">
            <v:imagedata r:id="rId8" o:title=""/>
          </v:shape>
        </w:pict>
      </w:r>
    </w:p>
    <w:bookmarkEnd w:id="0"/>
    <w:p w14:paraId="5FB23BDC" w14:textId="77777777" w:rsidR="00F8691B" w:rsidRDefault="00F8691B" w:rsidP="00F8691B">
      <w:pPr>
        <w:rPr>
          <w:noProof/>
        </w:rPr>
        <w:sectPr w:rsidR="00F8691B" w:rsidSect="00933DC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60"/>
        </w:sectPr>
      </w:pPr>
    </w:p>
    <w:p w14:paraId="40865C06" w14:textId="796FB0DD" w:rsidR="00A433F8" w:rsidRDefault="00802D92">
      <w:pPr>
        <w:pStyle w:val="Heading1"/>
        <w:spacing w:before="0" w:after="120"/>
        <w:rPr>
          <w:rFonts w:ascii="Times New Roman" w:hAnsi="Times New Roman" w:cs="Times New Roman"/>
          <w:noProof/>
          <w:color w:val="000000" w:themeColor="text1"/>
        </w:rPr>
      </w:pPr>
      <w:bookmarkStart w:id="1" w:name="_GoBack"/>
      <w:bookmarkEnd w:id="1"/>
      <w:r>
        <w:rPr>
          <w:rFonts w:ascii="Times New Roman" w:hAnsi="Times New Roman" w:cs="Times New Roman"/>
          <w:noProof/>
          <w:color w:val="000000" w:themeColor="text1"/>
        </w:rPr>
        <w:lastRenderedPageBreak/>
        <w:t>Introduction</w:t>
      </w:r>
    </w:p>
    <w:p w14:paraId="7D853A54" w14:textId="6F137C2A" w:rsidR="00A433F8" w:rsidRPr="00B977EA" w:rsidRDefault="00802D92">
      <w:pPr>
        <w:pStyle w:val="Heading2"/>
        <w:spacing w:before="0" w:after="120"/>
        <w:rPr>
          <w:rFonts w:ascii="Times New Roman" w:hAnsi="Times New Roman" w:cs="Times New Roman"/>
          <w:noProof/>
          <w:color w:val="000000" w:themeColor="text1"/>
          <w:sz w:val="24"/>
          <w:szCs w:val="24"/>
        </w:rPr>
      </w:pPr>
      <w:r w:rsidRPr="00B977EA">
        <w:rPr>
          <w:rFonts w:ascii="Times New Roman" w:hAnsi="Times New Roman" w:cs="Times New Roman"/>
          <w:noProof/>
          <w:color w:val="000000" w:themeColor="text1"/>
          <w:sz w:val="24"/>
          <w:szCs w:val="24"/>
        </w:rPr>
        <w:t>Purpose of the evaluation</w:t>
      </w:r>
    </w:p>
    <w:p w14:paraId="193A5B2F" w14:textId="0E20A390" w:rsidR="006950E5" w:rsidRPr="00BB39D5" w:rsidRDefault="00700A71" w:rsidP="006950E5">
      <w:pPr>
        <w:keepNext/>
        <w:keepLines/>
        <w:widowControl w:val="0"/>
        <w:spacing w:before="60" w:after="60"/>
        <w:jc w:val="both"/>
        <w:rPr>
          <w:rFonts w:ascii="Times New Roman" w:hAnsi="Times New Roman" w:cs="Times New Roman"/>
          <w:noProof/>
          <w:sz w:val="24"/>
          <w:szCs w:val="24"/>
        </w:rPr>
      </w:pPr>
      <w:r w:rsidRPr="001E3C9B">
        <w:rPr>
          <w:rFonts w:ascii="Times New Roman" w:hAnsi="Times New Roman" w:cs="Times New Roman"/>
          <w:noProof/>
          <w:sz w:val="24"/>
          <w:szCs w:val="24"/>
        </w:rPr>
        <w:t xml:space="preserve">This report presents </w:t>
      </w:r>
      <w:r w:rsidR="006A4519" w:rsidRPr="001E3C9B">
        <w:rPr>
          <w:rFonts w:ascii="Times New Roman" w:hAnsi="Times New Roman" w:cs="Times New Roman"/>
          <w:noProof/>
          <w:sz w:val="24"/>
          <w:szCs w:val="24"/>
          <w:lang w:val="mt-MT"/>
        </w:rPr>
        <w:t xml:space="preserve">the </w:t>
      </w:r>
      <w:r w:rsidRPr="001E3C9B">
        <w:rPr>
          <w:rFonts w:ascii="Times New Roman" w:hAnsi="Times New Roman" w:cs="Times New Roman"/>
          <w:noProof/>
          <w:sz w:val="24"/>
          <w:szCs w:val="24"/>
        </w:rPr>
        <w:t xml:space="preserve">results of the </w:t>
      </w:r>
      <w:r w:rsidRPr="00C7423D">
        <w:rPr>
          <w:rFonts w:ascii="Times New Roman" w:hAnsi="Times New Roman" w:cs="Times New Roman"/>
          <w:i/>
          <w:noProof/>
          <w:sz w:val="24"/>
          <w:szCs w:val="24"/>
        </w:rPr>
        <w:t>ex</w:t>
      </w:r>
      <w:r w:rsidR="001C76E1" w:rsidRPr="00C7423D">
        <w:rPr>
          <w:rFonts w:ascii="Times New Roman" w:hAnsi="Times New Roman" w:cs="Times New Roman"/>
          <w:i/>
          <w:noProof/>
          <w:sz w:val="24"/>
          <w:szCs w:val="24"/>
        </w:rPr>
        <w:t xml:space="preserve"> </w:t>
      </w:r>
      <w:r w:rsidRPr="00C7423D">
        <w:rPr>
          <w:rFonts w:ascii="Times New Roman" w:hAnsi="Times New Roman" w:cs="Times New Roman"/>
          <w:i/>
          <w:noProof/>
          <w:sz w:val="24"/>
          <w:szCs w:val="24"/>
        </w:rPr>
        <w:t>post</w:t>
      </w:r>
      <w:r w:rsidRPr="001E3C9B">
        <w:rPr>
          <w:rFonts w:ascii="Times New Roman" w:hAnsi="Times New Roman" w:cs="Times New Roman"/>
          <w:noProof/>
          <w:sz w:val="24"/>
          <w:szCs w:val="24"/>
        </w:rPr>
        <w:t xml:space="preserve"> evaluation of the Euratom research and training programme</w:t>
      </w:r>
      <w:r w:rsidR="001D3751" w:rsidRPr="001E3C9B">
        <w:rPr>
          <w:rFonts w:ascii="Times New Roman" w:hAnsi="Times New Roman" w:cs="Times New Roman"/>
          <w:noProof/>
          <w:sz w:val="24"/>
          <w:szCs w:val="24"/>
          <w:lang w:val="mt-MT"/>
        </w:rPr>
        <w:t>s</w:t>
      </w:r>
      <w:r w:rsidRPr="001E3C9B">
        <w:rPr>
          <w:rFonts w:ascii="Times New Roman" w:hAnsi="Times New Roman" w:cs="Times New Roman"/>
          <w:noProof/>
          <w:sz w:val="24"/>
          <w:szCs w:val="24"/>
        </w:rPr>
        <w:t xml:space="preserve"> </w:t>
      </w:r>
      <w:r w:rsidR="00232654">
        <w:rPr>
          <w:rFonts w:ascii="Times New Roman" w:hAnsi="Times New Roman" w:cs="Times New Roman"/>
          <w:noProof/>
          <w:sz w:val="24"/>
          <w:szCs w:val="24"/>
        </w:rPr>
        <w:t xml:space="preserve">for </w:t>
      </w:r>
      <w:r w:rsidRPr="001E3C9B">
        <w:rPr>
          <w:rFonts w:ascii="Times New Roman" w:hAnsi="Times New Roman" w:cs="Times New Roman"/>
          <w:noProof/>
          <w:sz w:val="24"/>
          <w:szCs w:val="24"/>
        </w:rPr>
        <w:t>2014</w:t>
      </w:r>
      <w:r w:rsidR="001D3751" w:rsidRPr="001E3C9B">
        <w:rPr>
          <w:rFonts w:ascii="Times New Roman" w:hAnsi="Times New Roman" w:cs="Times New Roman"/>
          <w:noProof/>
          <w:sz w:val="24"/>
          <w:szCs w:val="24"/>
          <w:lang w:val="mt-MT"/>
        </w:rPr>
        <w:t>-2018</w:t>
      </w:r>
      <w:r w:rsidR="001D3751" w:rsidRPr="001E3C9B">
        <w:rPr>
          <w:rStyle w:val="FootnoteReference"/>
          <w:rFonts w:ascii="Times New Roman" w:hAnsi="Times New Roman" w:cs="Times New Roman"/>
          <w:noProof/>
          <w:sz w:val="24"/>
          <w:szCs w:val="24"/>
          <w:lang w:val="mt-MT"/>
        </w:rPr>
        <w:footnoteReference w:id="1"/>
      </w:r>
      <w:r w:rsidR="001D3751" w:rsidRPr="001E3C9B">
        <w:rPr>
          <w:rFonts w:ascii="Times New Roman" w:hAnsi="Times New Roman" w:cs="Times New Roman"/>
          <w:noProof/>
          <w:sz w:val="24"/>
          <w:szCs w:val="24"/>
          <w:lang w:val="mt-MT"/>
        </w:rPr>
        <w:t xml:space="preserve"> and 2019-</w:t>
      </w:r>
      <w:r w:rsidRPr="001E3C9B">
        <w:rPr>
          <w:rFonts w:ascii="Times New Roman" w:hAnsi="Times New Roman" w:cs="Times New Roman"/>
          <w:noProof/>
          <w:sz w:val="24"/>
          <w:szCs w:val="24"/>
        </w:rPr>
        <w:t>2020</w:t>
      </w:r>
      <w:r w:rsidR="001D3751" w:rsidRPr="001E3C9B">
        <w:rPr>
          <w:rStyle w:val="FootnoteReference"/>
          <w:rFonts w:ascii="Times New Roman" w:hAnsi="Times New Roman" w:cs="Times New Roman"/>
          <w:noProof/>
          <w:sz w:val="24"/>
          <w:szCs w:val="24"/>
        </w:rPr>
        <w:footnoteReference w:id="2"/>
      </w:r>
      <w:r w:rsidR="001D3751" w:rsidRPr="001E3C9B">
        <w:rPr>
          <w:rFonts w:ascii="Times New Roman" w:hAnsi="Times New Roman" w:cs="Times New Roman"/>
          <w:noProof/>
          <w:sz w:val="24"/>
          <w:szCs w:val="24"/>
          <w:lang w:val="mt-MT"/>
        </w:rPr>
        <w:t xml:space="preserve"> (</w:t>
      </w:r>
      <w:r w:rsidR="00EE5034" w:rsidRPr="001E3C9B">
        <w:rPr>
          <w:rFonts w:ascii="Times New Roman" w:hAnsi="Times New Roman" w:cs="Times New Roman"/>
          <w:noProof/>
          <w:sz w:val="24"/>
          <w:szCs w:val="24"/>
          <w:lang w:val="mt-MT"/>
        </w:rPr>
        <w:t>‘</w:t>
      </w:r>
      <w:r w:rsidR="001D3751" w:rsidRPr="001E3C9B">
        <w:rPr>
          <w:rFonts w:ascii="Times New Roman" w:hAnsi="Times New Roman" w:cs="Times New Roman"/>
          <w:noProof/>
          <w:sz w:val="24"/>
          <w:szCs w:val="24"/>
          <w:lang w:val="mt-MT"/>
        </w:rPr>
        <w:t>the Programme’)</w:t>
      </w:r>
      <w:r w:rsidRPr="001E3C9B">
        <w:rPr>
          <w:rStyle w:val="FootnoteReference"/>
          <w:rFonts w:ascii="Times New Roman" w:hAnsi="Times New Roman" w:cs="Times New Roman"/>
          <w:noProof/>
          <w:sz w:val="24"/>
          <w:szCs w:val="24"/>
        </w:rPr>
        <w:footnoteReference w:id="3"/>
      </w:r>
      <w:r w:rsidRPr="001E3C9B">
        <w:rPr>
          <w:rFonts w:ascii="Times New Roman" w:hAnsi="Times New Roman" w:cs="Times New Roman"/>
          <w:noProof/>
          <w:sz w:val="24"/>
          <w:szCs w:val="24"/>
        </w:rPr>
        <w:t xml:space="preserve">. The purpose </w:t>
      </w:r>
      <w:r w:rsidR="00232654">
        <w:rPr>
          <w:rFonts w:ascii="Times New Roman" w:hAnsi="Times New Roman" w:cs="Times New Roman"/>
          <w:noProof/>
          <w:sz w:val="24"/>
          <w:szCs w:val="24"/>
        </w:rPr>
        <w:t xml:space="preserve">of this report </w:t>
      </w:r>
      <w:r w:rsidRPr="001E3C9B">
        <w:rPr>
          <w:rFonts w:ascii="Times New Roman" w:hAnsi="Times New Roman" w:cs="Times New Roman"/>
          <w:noProof/>
          <w:sz w:val="24"/>
          <w:szCs w:val="24"/>
        </w:rPr>
        <w:t xml:space="preserve">is to analyse the </w:t>
      </w:r>
      <w:r w:rsidR="00FE4CED" w:rsidRPr="001E3C9B">
        <w:rPr>
          <w:rFonts w:ascii="Times New Roman" w:hAnsi="Times New Roman" w:cs="Times New Roman"/>
          <w:noProof/>
          <w:sz w:val="24"/>
          <w:szCs w:val="24"/>
        </w:rPr>
        <w:t xml:space="preserve">rationale, </w:t>
      </w:r>
      <w:r w:rsidRPr="001E3C9B">
        <w:rPr>
          <w:rFonts w:ascii="Times New Roman" w:hAnsi="Times New Roman" w:cs="Times New Roman"/>
          <w:noProof/>
          <w:sz w:val="24"/>
          <w:szCs w:val="24"/>
        </w:rPr>
        <w:t xml:space="preserve">implementation </w:t>
      </w:r>
      <w:r w:rsidR="00FE4CED" w:rsidRPr="001E3C9B">
        <w:rPr>
          <w:rFonts w:ascii="Times New Roman" w:hAnsi="Times New Roman" w:cs="Times New Roman"/>
          <w:noProof/>
          <w:sz w:val="24"/>
          <w:szCs w:val="24"/>
        </w:rPr>
        <w:t>and achievements of the Programme, as well as the longer-term</w:t>
      </w:r>
      <w:r w:rsidRPr="001E3C9B">
        <w:rPr>
          <w:rFonts w:ascii="Times New Roman" w:hAnsi="Times New Roman" w:cs="Times New Roman"/>
          <w:noProof/>
          <w:sz w:val="24"/>
          <w:szCs w:val="24"/>
        </w:rPr>
        <w:t xml:space="preserve"> impacts </w:t>
      </w:r>
      <w:r w:rsidR="006A4519" w:rsidRPr="001E3C9B">
        <w:rPr>
          <w:rFonts w:ascii="Times New Roman" w:hAnsi="Times New Roman" w:cs="Times New Roman"/>
          <w:noProof/>
          <w:sz w:val="24"/>
          <w:szCs w:val="24"/>
        </w:rPr>
        <w:t>and sustainability</w:t>
      </w:r>
      <w:r w:rsidR="006A4519" w:rsidRPr="001E3C9B">
        <w:rPr>
          <w:rFonts w:ascii="Times New Roman" w:hAnsi="Times New Roman" w:cs="Times New Roman"/>
          <w:noProof/>
          <w:sz w:val="24"/>
          <w:szCs w:val="24"/>
          <w:lang w:val="mt-MT"/>
        </w:rPr>
        <w:t xml:space="preserve"> </w:t>
      </w:r>
      <w:r w:rsidR="006A4519" w:rsidRPr="001E3C9B">
        <w:rPr>
          <w:rFonts w:ascii="Times New Roman" w:hAnsi="Times New Roman" w:cs="Times New Roman"/>
          <w:noProof/>
          <w:sz w:val="24"/>
          <w:szCs w:val="24"/>
        </w:rPr>
        <w:t>of measures</w:t>
      </w:r>
      <w:r w:rsidR="00232654">
        <w:rPr>
          <w:rFonts w:ascii="Times New Roman" w:hAnsi="Times New Roman" w:cs="Times New Roman"/>
          <w:noProof/>
          <w:sz w:val="24"/>
          <w:szCs w:val="24"/>
        </w:rPr>
        <w:t xml:space="preserve"> taken as part </w:t>
      </w:r>
      <w:r w:rsidR="00C4592F" w:rsidRPr="00177334">
        <w:rPr>
          <w:rFonts w:ascii="Times New Roman" w:hAnsi="Times New Roman" w:cs="Times New Roman"/>
          <w:noProof/>
          <w:sz w:val="24"/>
          <w:szCs w:val="24"/>
        </w:rPr>
        <w:t>of</w:t>
      </w:r>
      <w:r w:rsidR="00C4592F">
        <w:rPr>
          <w:rFonts w:ascii="Times New Roman" w:hAnsi="Times New Roman" w:cs="Times New Roman"/>
          <w:noProof/>
          <w:sz w:val="24"/>
          <w:szCs w:val="24"/>
        </w:rPr>
        <w:t xml:space="preserve"> </w:t>
      </w:r>
      <w:r w:rsidR="00232654">
        <w:rPr>
          <w:rFonts w:ascii="Times New Roman" w:hAnsi="Times New Roman" w:cs="Times New Roman"/>
          <w:noProof/>
          <w:sz w:val="24"/>
          <w:szCs w:val="24"/>
        </w:rPr>
        <w:t>the programme</w:t>
      </w:r>
      <w:r w:rsidR="006A4519" w:rsidRPr="001E3C9B">
        <w:rPr>
          <w:rFonts w:ascii="Times New Roman" w:hAnsi="Times New Roman" w:cs="Times New Roman"/>
          <w:noProof/>
          <w:sz w:val="24"/>
          <w:szCs w:val="24"/>
        </w:rPr>
        <w:t xml:space="preserve">, to </w:t>
      </w:r>
      <w:r w:rsidR="00232654">
        <w:rPr>
          <w:rFonts w:ascii="Times New Roman" w:hAnsi="Times New Roman" w:cs="Times New Roman"/>
          <w:noProof/>
          <w:sz w:val="24"/>
          <w:szCs w:val="24"/>
        </w:rPr>
        <w:t>inform</w:t>
      </w:r>
      <w:r w:rsidR="006A4519" w:rsidRPr="001E3C9B">
        <w:rPr>
          <w:rFonts w:ascii="Times New Roman" w:hAnsi="Times New Roman" w:cs="Times New Roman"/>
          <w:noProof/>
          <w:sz w:val="24"/>
          <w:szCs w:val="24"/>
        </w:rPr>
        <w:t xml:space="preserve"> </w:t>
      </w:r>
      <w:r w:rsidR="00B8083A">
        <w:rPr>
          <w:rFonts w:ascii="Times New Roman" w:hAnsi="Times New Roman" w:cs="Times New Roman"/>
          <w:noProof/>
          <w:sz w:val="24"/>
          <w:szCs w:val="24"/>
        </w:rPr>
        <w:t xml:space="preserve">the </w:t>
      </w:r>
      <w:r w:rsidR="006950E5" w:rsidRPr="00BB39D5">
        <w:rPr>
          <w:rFonts w:ascii="Times New Roman" w:hAnsi="Times New Roman" w:cs="Times New Roman"/>
          <w:noProof/>
          <w:sz w:val="24"/>
          <w:szCs w:val="24"/>
        </w:rPr>
        <w:t xml:space="preserve">preparation and design of </w:t>
      </w:r>
      <w:r w:rsidR="006950E5">
        <w:rPr>
          <w:rFonts w:ascii="Times New Roman" w:hAnsi="Times New Roman" w:cs="Times New Roman"/>
          <w:noProof/>
          <w:sz w:val="24"/>
          <w:szCs w:val="24"/>
        </w:rPr>
        <w:t>future Euratom programmes.</w:t>
      </w:r>
    </w:p>
    <w:p w14:paraId="7B1B94C9" w14:textId="5044740D" w:rsidR="00A433F8" w:rsidRPr="002F3145" w:rsidRDefault="006950E5" w:rsidP="002F3145">
      <w:pPr>
        <w:spacing w:after="120"/>
        <w:jc w:val="both"/>
        <w:rPr>
          <w:rFonts w:ascii="Times New Roman" w:hAnsi="Times New Roman" w:cs="Times New Roman"/>
          <w:noProof/>
          <w:sz w:val="24"/>
          <w:szCs w:val="24"/>
        </w:rPr>
      </w:pPr>
      <w:r w:rsidRPr="00BB39D5">
        <w:rPr>
          <w:rFonts w:ascii="Times New Roman" w:hAnsi="Times New Roman" w:cs="Times New Roman"/>
          <w:noProof/>
          <w:sz w:val="24"/>
          <w:szCs w:val="24"/>
        </w:rPr>
        <w:t xml:space="preserve">The evaluation is based on </w:t>
      </w:r>
      <w:r w:rsidRPr="00BB39D5">
        <w:rPr>
          <w:rFonts w:ascii="Times New Roman" w:hAnsi="Times New Roman" w:cs="Times New Roman"/>
          <w:noProof/>
          <w:sz w:val="24"/>
          <w:szCs w:val="24"/>
          <w:lang w:val="mt-MT"/>
        </w:rPr>
        <w:t xml:space="preserve">the </w:t>
      </w:r>
      <w:r w:rsidRPr="00BB39D5">
        <w:rPr>
          <w:rFonts w:ascii="Times New Roman" w:hAnsi="Times New Roman" w:cs="Times New Roman"/>
          <w:noProof/>
          <w:sz w:val="24"/>
          <w:szCs w:val="24"/>
        </w:rPr>
        <w:t xml:space="preserve">legal requirement in the </w:t>
      </w:r>
      <w:r w:rsidR="00350063">
        <w:rPr>
          <w:rFonts w:ascii="Times New Roman" w:hAnsi="Times New Roman" w:cs="Times New Roman"/>
          <w:noProof/>
          <w:sz w:val="24"/>
          <w:szCs w:val="24"/>
        </w:rPr>
        <w:t>r</w:t>
      </w:r>
      <w:r w:rsidR="00B760E5">
        <w:rPr>
          <w:rFonts w:ascii="Times New Roman" w:hAnsi="Times New Roman" w:cs="Times New Roman"/>
          <w:noProof/>
          <w:sz w:val="24"/>
          <w:szCs w:val="24"/>
        </w:rPr>
        <w:t>egulations</w:t>
      </w:r>
      <w:r w:rsidRPr="00BB39D5">
        <w:rPr>
          <w:rFonts w:ascii="Times New Roman" w:hAnsi="Times New Roman" w:cs="Times New Roman"/>
          <w:noProof/>
          <w:sz w:val="24"/>
          <w:szCs w:val="24"/>
        </w:rPr>
        <w:t xml:space="preserve"> </w:t>
      </w:r>
      <w:r w:rsidR="00232654">
        <w:rPr>
          <w:rFonts w:ascii="Times New Roman" w:hAnsi="Times New Roman" w:cs="Times New Roman"/>
          <w:noProof/>
          <w:sz w:val="24"/>
          <w:szCs w:val="24"/>
        </w:rPr>
        <w:t>laying down</w:t>
      </w:r>
      <w:r w:rsidR="00232654" w:rsidRPr="00BB39D5">
        <w:rPr>
          <w:rFonts w:ascii="Times New Roman" w:hAnsi="Times New Roman" w:cs="Times New Roman"/>
          <w:noProof/>
          <w:sz w:val="24"/>
          <w:szCs w:val="24"/>
        </w:rPr>
        <w:t xml:space="preserve"> </w:t>
      </w:r>
      <w:r w:rsidRPr="00BB39D5">
        <w:rPr>
          <w:rFonts w:ascii="Times New Roman" w:hAnsi="Times New Roman" w:cs="Times New Roman"/>
          <w:noProof/>
          <w:sz w:val="24"/>
          <w:szCs w:val="24"/>
        </w:rPr>
        <w:t xml:space="preserve">the </w:t>
      </w:r>
      <w:r w:rsidR="00A1369F">
        <w:rPr>
          <w:rFonts w:ascii="Times New Roman" w:hAnsi="Times New Roman" w:cs="Times New Roman"/>
          <w:noProof/>
          <w:sz w:val="24"/>
          <w:szCs w:val="24"/>
        </w:rPr>
        <w:t>p</w:t>
      </w:r>
      <w:r w:rsidRPr="00BB39D5">
        <w:rPr>
          <w:rFonts w:ascii="Times New Roman" w:hAnsi="Times New Roman" w:cs="Times New Roman"/>
          <w:noProof/>
          <w:sz w:val="24"/>
          <w:szCs w:val="24"/>
        </w:rPr>
        <w:t>rogramme</w:t>
      </w:r>
      <w:r w:rsidR="00A1369F">
        <w:rPr>
          <w:rFonts w:ascii="Times New Roman" w:hAnsi="Times New Roman" w:cs="Times New Roman"/>
          <w:noProof/>
          <w:sz w:val="24"/>
          <w:szCs w:val="24"/>
        </w:rPr>
        <w:t>s</w:t>
      </w:r>
      <w:r w:rsidRPr="00BB39D5">
        <w:rPr>
          <w:rStyle w:val="FootnoteReference"/>
          <w:rFonts w:ascii="Times New Roman" w:hAnsi="Times New Roman" w:cs="Times New Roman"/>
          <w:noProof/>
          <w:sz w:val="24"/>
          <w:szCs w:val="24"/>
        </w:rPr>
        <w:footnoteReference w:id="4"/>
      </w:r>
      <w:r w:rsidRPr="00BB39D5">
        <w:rPr>
          <w:rFonts w:ascii="Times New Roman" w:hAnsi="Times New Roman" w:cs="Times New Roman"/>
          <w:noProof/>
          <w:sz w:val="24"/>
          <w:szCs w:val="24"/>
        </w:rPr>
        <w:t>.</w:t>
      </w:r>
      <w:r w:rsidRPr="00BB39D5">
        <w:rPr>
          <w:rFonts w:ascii="Times New Roman" w:hAnsi="Times New Roman" w:cs="Times New Roman"/>
          <w:noProof/>
          <w:sz w:val="24"/>
          <w:szCs w:val="24"/>
          <w:lang w:val="mt-MT"/>
        </w:rPr>
        <w:t xml:space="preserve"> </w:t>
      </w:r>
      <w:r w:rsidRPr="00AC0500">
        <w:rPr>
          <w:rFonts w:ascii="Times New Roman" w:hAnsi="Times New Roman" w:cs="Times New Roman"/>
          <w:noProof/>
          <w:sz w:val="24"/>
          <w:szCs w:val="24"/>
        </w:rPr>
        <w:t xml:space="preserve">The evaluation was carried out by the Commission with </w:t>
      </w:r>
      <w:r w:rsidRPr="00AC0500">
        <w:rPr>
          <w:rFonts w:ascii="Times New Roman" w:hAnsi="Times New Roman" w:cs="Times New Roman"/>
          <w:noProof/>
          <w:sz w:val="24"/>
          <w:szCs w:val="24"/>
          <w:lang w:val="mt-MT"/>
        </w:rPr>
        <w:t xml:space="preserve">the </w:t>
      </w:r>
      <w:r w:rsidRPr="00AC0500">
        <w:rPr>
          <w:rFonts w:ascii="Times New Roman" w:hAnsi="Times New Roman" w:cs="Times New Roman"/>
          <w:noProof/>
          <w:sz w:val="24"/>
          <w:szCs w:val="24"/>
        </w:rPr>
        <w:t xml:space="preserve">assistance of </w:t>
      </w:r>
      <w:r w:rsidR="00B760E5">
        <w:rPr>
          <w:rFonts w:ascii="Times New Roman" w:hAnsi="Times New Roman" w:cs="Times New Roman"/>
          <w:noProof/>
          <w:sz w:val="24"/>
          <w:szCs w:val="24"/>
          <w:lang w:val="mt-MT"/>
        </w:rPr>
        <w:t>independent</w:t>
      </w:r>
      <w:r w:rsidRPr="00AC0500">
        <w:rPr>
          <w:rFonts w:ascii="Times New Roman" w:hAnsi="Times New Roman" w:cs="Times New Roman"/>
          <w:noProof/>
          <w:sz w:val="24"/>
          <w:szCs w:val="24"/>
        </w:rPr>
        <w:t xml:space="preserve"> experts</w:t>
      </w:r>
      <w:r w:rsidRPr="00AC0500">
        <w:rPr>
          <w:noProof/>
          <w:sz w:val="24"/>
          <w:szCs w:val="24"/>
        </w:rPr>
        <w:t xml:space="preserve"> </w:t>
      </w:r>
      <w:r w:rsidRPr="00AC0500">
        <w:rPr>
          <w:rFonts w:ascii="Times New Roman" w:hAnsi="Times New Roman" w:cs="Times New Roman"/>
          <w:noProof/>
          <w:sz w:val="24"/>
          <w:szCs w:val="24"/>
        </w:rPr>
        <w:t>selected on the basis of a transparent process.</w:t>
      </w:r>
      <w:r>
        <w:rPr>
          <w:rFonts w:ascii="Times New Roman" w:hAnsi="Times New Roman" w:cs="Times New Roman"/>
          <w:noProof/>
          <w:sz w:val="24"/>
          <w:szCs w:val="24"/>
        </w:rPr>
        <w:t xml:space="preserve"> </w:t>
      </w:r>
      <w:r w:rsidRPr="00BB39D5">
        <w:rPr>
          <w:rFonts w:ascii="Times New Roman" w:hAnsi="Times New Roman" w:cs="Times New Roman"/>
          <w:noProof/>
          <w:sz w:val="24"/>
          <w:szCs w:val="24"/>
        </w:rPr>
        <w:t>The report is structured according to the main evaluation questions, ending with conclusions.</w:t>
      </w:r>
      <w:r w:rsidRPr="00F47BD4">
        <w:rPr>
          <w:rFonts w:ascii="Times New Roman" w:hAnsi="Times New Roman" w:cs="Times New Roman"/>
          <w:noProof/>
          <w:sz w:val="24"/>
          <w:szCs w:val="24"/>
        </w:rPr>
        <w:t xml:space="preserve"> </w:t>
      </w:r>
      <w:r>
        <w:rPr>
          <w:rFonts w:ascii="Times New Roman" w:hAnsi="Times New Roman" w:cs="Times New Roman"/>
          <w:noProof/>
          <w:sz w:val="24"/>
          <w:szCs w:val="24"/>
        </w:rPr>
        <w:t>Annex</w:t>
      </w:r>
      <w:r w:rsidR="00DD2009">
        <w:rPr>
          <w:rFonts w:ascii="Times New Roman" w:hAnsi="Times New Roman" w:cs="Times New Roman"/>
          <w:noProof/>
          <w:sz w:val="24"/>
          <w:szCs w:val="24"/>
        </w:rPr>
        <w:t>es</w:t>
      </w:r>
      <w:r>
        <w:rPr>
          <w:rFonts w:ascii="Times New Roman" w:hAnsi="Times New Roman" w:cs="Times New Roman"/>
          <w:noProof/>
          <w:sz w:val="24"/>
          <w:szCs w:val="24"/>
        </w:rPr>
        <w:t xml:space="preserve"> to this report </w:t>
      </w:r>
      <w:r w:rsidRPr="00645B0C">
        <w:rPr>
          <w:rFonts w:ascii="Times New Roman" w:hAnsi="Times New Roman" w:cs="Times New Roman"/>
          <w:noProof/>
          <w:sz w:val="24"/>
          <w:szCs w:val="24"/>
        </w:rPr>
        <w:t xml:space="preserve">set out the findings and recommendations from the </w:t>
      </w:r>
      <w:r w:rsidRPr="004606B3">
        <w:rPr>
          <w:rFonts w:ascii="Times New Roman" w:hAnsi="Times New Roman" w:cs="Times New Roman"/>
          <w:noProof/>
          <w:sz w:val="24"/>
          <w:szCs w:val="24"/>
        </w:rPr>
        <w:t>experts and the</w:t>
      </w:r>
      <w:r w:rsidRPr="004606B3">
        <w:rPr>
          <w:rFonts w:ascii="Times New Roman" w:hAnsi="Times New Roman" w:cs="Times New Roman"/>
          <w:noProof/>
          <w:sz w:val="24"/>
          <w:szCs w:val="24"/>
          <w:lang w:val="mt-MT"/>
        </w:rPr>
        <w:t xml:space="preserve"> </w:t>
      </w:r>
      <w:r w:rsidRPr="004606B3">
        <w:rPr>
          <w:rFonts w:ascii="Times New Roman" w:hAnsi="Times New Roman" w:cs="Times New Roman"/>
          <w:noProof/>
          <w:sz w:val="24"/>
          <w:szCs w:val="24"/>
        </w:rPr>
        <w:t xml:space="preserve">Commission’s </w:t>
      </w:r>
      <w:r w:rsidR="00E27CD2">
        <w:rPr>
          <w:rFonts w:ascii="Times New Roman" w:hAnsi="Times New Roman" w:cs="Times New Roman"/>
          <w:noProof/>
          <w:sz w:val="24"/>
          <w:szCs w:val="24"/>
        </w:rPr>
        <w:t xml:space="preserve">own </w:t>
      </w:r>
      <w:r w:rsidRPr="004606B3">
        <w:rPr>
          <w:rFonts w:ascii="Times New Roman" w:hAnsi="Times New Roman" w:cs="Times New Roman"/>
          <w:noProof/>
          <w:sz w:val="24"/>
          <w:szCs w:val="24"/>
        </w:rPr>
        <w:t>observations.</w:t>
      </w:r>
      <w:r>
        <w:rPr>
          <w:rFonts w:ascii="Times New Roman" w:hAnsi="Times New Roman" w:cs="Times New Roman"/>
          <w:noProof/>
          <w:sz w:val="24"/>
          <w:szCs w:val="24"/>
        </w:rPr>
        <w:t xml:space="preserve"> </w:t>
      </w:r>
      <w:r w:rsidRPr="003B1F03">
        <w:rPr>
          <w:rFonts w:ascii="Times New Roman" w:hAnsi="Times New Roman" w:cs="Times New Roman"/>
          <w:noProof/>
          <w:sz w:val="24"/>
          <w:szCs w:val="24"/>
        </w:rPr>
        <w:t>The evaluation is underpinned by an extensive body of evidence, including</w:t>
      </w:r>
      <w:r w:rsidR="00E27CD2">
        <w:rPr>
          <w:rFonts w:ascii="Times New Roman" w:hAnsi="Times New Roman" w:cs="Times New Roman"/>
          <w:noProof/>
          <w:sz w:val="24"/>
          <w:szCs w:val="24"/>
        </w:rPr>
        <w:t>: (i)</w:t>
      </w:r>
      <w:r>
        <w:rPr>
          <w:rFonts w:ascii="Times New Roman" w:hAnsi="Times New Roman" w:cs="Times New Roman"/>
          <w:noProof/>
          <w:sz w:val="24"/>
          <w:szCs w:val="24"/>
        </w:rPr>
        <w:t xml:space="preserve"> four</w:t>
      </w:r>
      <w:r w:rsidRPr="00E11F39">
        <w:rPr>
          <w:rFonts w:ascii="Times New Roman" w:hAnsi="Times New Roman" w:cs="Times New Roman"/>
          <w:noProof/>
          <w:sz w:val="24"/>
          <w:szCs w:val="24"/>
        </w:rPr>
        <w:t xml:space="preserve"> thematic studies </w:t>
      </w:r>
      <w:r w:rsidR="00E27CD2">
        <w:rPr>
          <w:rFonts w:ascii="Times New Roman" w:hAnsi="Times New Roman" w:cs="Times New Roman"/>
          <w:noProof/>
          <w:sz w:val="24"/>
          <w:szCs w:val="24"/>
        </w:rPr>
        <w:t xml:space="preserve">prepared by experts </w:t>
      </w:r>
      <w:r w:rsidRPr="00E11F39">
        <w:rPr>
          <w:rFonts w:ascii="Times New Roman" w:hAnsi="Times New Roman" w:cs="Times New Roman"/>
          <w:noProof/>
          <w:sz w:val="24"/>
          <w:szCs w:val="24"/>
        </w:rPr>
        <w:t xml:space="preserve">on indirect actions </w:t>
      </w:r>
      <w:r w:rsidR="00E27CD2">
        <w:rPr>
          <w:rFonts w:ascii="Times New Roman" w:hAnsi="Times New Roman" w:cs="Times New Roman"/>
          <w:noProof/>
          <w:sz w:val="24"/>
          <w:szCs w:val="24"/>
        </w:rPr>
        <w:t>taken as part of the programme</w:t>
      </w:r>
      <w:r w:rsidRPr="00E11F39">
        <w:rPr>
          <w:rFonts w:ascii="Times New Roman" w:hAnsi="Times New Roman" w:cs="Times New Roman"/>
          <w:noProof/>
          <w:sz w:val="24"/>
          <w:szCs w:val="24"/>
        </w:rPr>
        <w:t xml:space="preserve"> </w:t>
      </w:r>
      <w:r w:rsidR="00E27CD2">
        <w:rPr>
          <w:rFonts w:ascii="Times New Roman" w:hAnsi="Times New Roman" w:cs="Times New Roman"/>
          <w:noProof/>
          <w:sz w:val="24"/>
          <w:szCs w:val="24"/>
        </w:rPr>
        <w:t xml:space="preserve">(these thematic reports are </w:t>
      </w:r>
      <w:r w:rsidRPr="00E11F39">
        <w:rPr>
          <w:rFonts w:ascii="Times New Roman" w:hAnsi="Times New Roman" w:cs="Times New Roman"/>
          <w:noProof/>
          <w:sz w:val="24"/>
          <w:szCs w:val="24"/>
        </w:rPr>
        <w:t>based on project reports</w:t>
      </w:r>
      <w:r>
        <w:rPr>
          <w:rFonts w:ascii="Times New Roman" w:hAnsi="Times New Roman" w:cs="Times New Roman"/>
          <w:noProof/>
          <w:sz w:val="24"/>
          <w:szCs w:val="24"/>
        </w:rPr>
        <w:t>,</w:t>
      </w:r>
      <w:r w:rsidRPr="00E11F39">
        <w:rPr>
          <w:rFonts w:ascii="Times New Roman" w:hAnsi="Times New Roman" w:cs="Times New Roman"/>
          <w:noProof/>
          <w:sz w:val="24"/>
          <w:szCs w:val="24"/>
        </w:rPr>
        <w:t xml:space="preserve"> deliverables and interviews</w:t>
      </w:r>
      <w:r>
        <w:rPr>
          <w:rFonts w:ascii="Times New Roman" w:hAnsi="Times New Roman" w:cs="Times New Roman"/>
          <w:noProof/>
          <w:sz w:val="24"/>
          <w:szCs w:val="24"/>
        </w:rPr>
        <w:t xml:space="preserve"> with coordinators</w:t>
      </w:r>
      <w:r w:rsidR="00E27CD2">
        <w:rPr>
          <w:rFonts w:ascii="Times New Roman" w:hAnsi="Times New Roman" w:cs="Times New Roman"/>
          <w:noProof/>
          <w:sz w:val="24"/>
          <w:szCs w:val="24"/>
        </w:rPr>
        <w:t>); (ii)</w:t>
      </w:r>
      <w:r w:rsidR="00DD2009">
        <w:rPr>
          <w:rFonts w:ascii="Times New Roman" w:hAnsi="Times New Roman" w:cs="Times New Roman"/>
          <w:noProof/>
          <w:sz w:val="24"/>
          <w:szCs w:val="24"/>
        </w:rPr>
        <w:t xml:space="preserve"> the </w:t>
      </w:r>
      <w:r>
        <w:rPr>
          <w:rFonts w:ascii="Times New Roman" w:hAnsi="Times New Roman" w:cs="Times New Roman"/>
          <w:noProof/>
          <w:sz w:val="24"/>
          <w:szCs w:val="24"/>
        </w:rPr>
        <w:t xml:space="preserve">report from the Commission expert group </w:t>
      </w:r>
      <w:r w:rsidRPr="00E11F39">
        <w:rPr>
          <w:rFonts w:ascii="Times New Roman" w:hAnsi="Times New Roman" w:cs="Times New Roman"/>
          <w:noProof/>
          <w:sz w:val="24"/>
          <w:szCs w:val="24"/>
        </w:rPr>
        <w:t>on direc</w:t>
      </w:r>
      <w:r>
        <w:rPr>
          <w:rFonts w:ascii="Times New Roman" w:hAnsi="Times New Roman" w:cs="Times New Roman"/>
          <w:noProof/>
          <w:sz w:val="24"/>
          <w:szCs w:val="24"/>
        </w:rPr>
        <w:t>t</w:t>
      </w:r>
      <w:r w:rsidRPr="00E11F39">
        <w:rPr>
          <w:rFonts w:ascii="Times New Roman" w:hAnsi="Times New Roman" w:cs="Times New Roman"/>
          <w:noProof/>
          <w:sz w:val="24"/>
          <w:szCs w:val="24"/>
        </w:rPr>
        <w:t xml:space="preserve"> actions</w:t>
      </w:r>
      <w:r w:rsidR="00E27CD2">
        <w:rPr>
          <w:rFonts w:ascii="Times New Roman" w:hAnsi="Times New Roman" w:cs="Times New Roman"/>
          <w:noProof/>
          <w:sz w:val="24"/>
          <w:szCs w:val="24"/>
        </w:rPr>
        <w:t>;</w:t>
      </w:r>
      <w:r w:rsidRPr="00E11F39">
        <w:rPr>
          <w:rFonts w:ascii="Times New Roman" w:hAnsi="Times New Roman" w:cs="Times New Roman"/>
          <w:noProof/>
          <w:sz w:val="24"/>
          <w:szCs w:val="24"/>
        </w:rPr>
        <w:t xml:space="preserve"> and </w:t>
      </w:r>
      <w:r w:rsidR="00E27CD2">
        <w:rPr>
          <w:rFonts w:ascii="Times New Roman" w:hAnsi="Times New Roman" w:cs="Times New Roman"/>
          <w:noProof/>
          <w:sz w:val="24"/>
          <w:szCs w:val="24"/>
        </w:rPr>
        <w:t xml:space="preserve">(iii) </w:t>
      </w:r>
      <w:r w:rsidR="00AD54E4">
        <w:rPr>
          <w:rFonts w:ascii="Times New Roman" w:hAnsi="Times New Roman" w:cs="Times New Roman"/>
          <w:noProof/>
          <w:sz w:val="24"/>
          <w:szCs w:val="24"/>
        </w:rPr>
        <w:t xml:space="preserve">a </w:t>
      </w:r>
      <w:r w:rsidRPr="00E11F39">
        <w:rPr>
          <w:rFonts w:ascii="Times New Roman" w:hAnsi="Times New Roman" w:cs="Times New Roman"/>
          <w:noProof/>
          <w:sz w:val="24"/>
          <w:szCs w:val="24"/>
        </w:rPr>
        <w:t>stakeholder consultation.</w:t>
      </w:r>
      <w:r>
        <w:rPr>
          <w:rFonts w:ascii="Times New Roman" w:hAnsi="Times New Roman" w:cs="Times New Roman"/>
          <w:noProof/>
          <w:sz w:val="24"/>
          <w:szCs w:val="24"/>
        </w:rPr>
        <w:t xml:space="preserve"> </w:t>
      </w:r>
      <w:r w:rsidRPr="00BB39D5">
        <w:rPr>
          <w:rFonts w:ascii="Times New Roman" w:hAnsi="Times New Roman" w:cs="Times New Roman"/>
          <w:noProof/>
          <w:sz w:val="24"/>
          <w:szCs w:val="24"/>
        </w:rPr>
        <w:t>Th</w:t>
      </w:r>
      <w:r>
        <w:rPr>
          <w:rFonts w:ascii="Times New Roman" w:hAnsi="Times New Roman" w:cs="Times New Roman"/>
          <w:noProof/>
          <w:sz w:val="24"/>
          <w:szCs w:val="24"/>
        </w:rPr>
        <w:t>e</w:t>
      </w:r>
      <w:r w:rsidRPr="00BB39D5">
        <w:rPr>
          <w:rFonts w:ascii="Times New Roman" w:hAnsi="Times New Roman" w:cs="Times New Roman"/>
          <w:noProof/>
          <w:sz w:val="24"/>
          <w:szCs w:val="24"/>
        </w:rPr>
        <w:t xml:space="preserve"> report is accompanied by two staff working documents</w:t>
      </w:r>
      <w:r w:rsidRPr="00BB39D5">
        <w:rPr>
          <w:rFonts w:ascii="Times New Roman" w:hAnsi="Times New Roman" w:cs="Times New Roman"/>
          <w:noProof/>
          <w:sz w:val="24"/>
          <w:szCs w:val="24"/>
          <w:lang w:val="mt-MT"/>
        </w:rPr>
        <w:t>,</w:t>
      </w:r>
      <w:r w:rsidRPr="00BB39D5">
        <w:rPr>
          <w:rFonts w:ascii="Times New Roman" w:hAnsi="Times New Roman" w:cs="Times New Roman"/>
          <w:noProof/>
          <w:sz w:val="24"/>
          <w:szCs w:val="24"/>
        </w:rPr>
        <w:t xml:space="preserve"> </w:t>
      </w:r>
      <w:r w:rsidR="00C575EB">
        <w:rPr>
          <w:rFonts w:ascii="Times New Roman" w:hAnsi="Times New Roman" w:cs="Times New Roman"/>
          <w:noProof/>
          <w:sz w:val="24"/>
          <w:szCs w:val="24"/>
        </w:rPr>
        <w:t xml:space="preserve">one </w:t>
      </w:r>
      <w:r w:rsidRPr="00BB39D5">
        <w:rPr>
          <w:rFonts w:ascii="Times New Roman" w:hAnsi="Times New Roman" w:cs="Times New Roman"/>
          <w:noProof/>
          <w:sz w:val="24"/>
          <w:szCs w:val="24"/>
        </w:rPr>
        <w:t xml:space="preserve">for direct </w:t>
      </w:r>
      <w:r w:rsidR="00C575EB">
        <w:rPr>
          <w:rFonts w:ascii="Times New Roman" w:hAnsi="Times New Roman" w:cs="Times New Roman"/>
          <w:noProof/>
          <w:sz w:val="24"/>
          <w:szCs w:val="24"/>
        </w:rPr>
        <w:t xml:space="preserve">actions </w:t>
      </w:r>
      <w:r w:rsidRPr="00BB39D5">
        <w:rPr>
          <w:rFonts w:ascii="Times New Roman" w:hAnsi="Times New Roman" w:cs="Times New Roman"/>
          <w:noProof/>
          <w:sz w:val="24"/>
          <w:szCs w:val="24"/>
        </w:rPr>
        <w:t xml:space="preserve">and </w:t>
      </w:r>
      <w:r w:rsidR="00C575EB">
        <w:rPr>
          <w:rFonts w:ascii="Times New Roman" w:hAnsi="Times New Roman" w:cs="Times New Roman"/>
          <w:noProof/>
          <w:sz w:val="24"/>
          <w:szCs w:val="24"/>
        </w:rPr>
        <w:t xml:space="preserve">another for </w:t>
      </w:r>
      <w:r w:rsidRPr="00BB39D5">
        <w:rPr>
          <w:rFonts w:ascii="Times New Roman" w:hAnsi="Times New Roman" w:cs="Times New Roman"/>
          <w:noProof/>
          <w:sz w:val="24"/>
          <w:szCs w:val="24"/>
        </w:rPr>
        <w:t>indirect actions</w:t>
      </w:r>
      <w:r w:rsidR="00C575EB">
        <w:rPr>
          <w:rFonts w:ascii="Times New Roman" w:hAnsi="Times New Roman" w:cs="Times New Roman"/>
          <w:noProof/>
          <w:sz w:val="24"/>
          <w:szCs w:val="24"/>
          <w:lang w:val="mt-MT"/>
        </w:rPr>
        <w:t>. These two staff working documents</w:t>
      </w:r>
      <w:r w:rsidRPr="00BB39D5">
        <w:rPr>
          <w:rFonts w:ascii="Times New Roman" w:hAnsi="Times New Roman" w:cs="Times New Roman"/>
          <w:noProof/>
          <w:sz w:val="24"/>
          <w:szCs w:val="24"/>
        </w:rPr>
        <w:t xml:space="preserve"> present </w:t>
      </w:r>
      <w:r w:rsidR="00C575EB">
        <w:rPr>
          <w:rFonts w:ascii="Times New Roman" w:hAnsi="Times New Roman" w:cs="Times New Roman"/>
          <w:noProof/>
          <w:sz w:val="24"/>
          <w:szCs w:val="24"/>
        </w:rPr>
        <w:t xml:space="preserve">a </w:t>
      </w:r>
      <w:r w:rsidRPr="00BB39D5">
        <w:rPr>
          <w:rFonts w:ascii="Times New Roman" w:hAnsi="Times New Roman" w:cs="Times New Roman"/>
          <w:noProof/>
          <w:sz w:val="24"/>
          <w:szCs w:val="24"/>
        </w:rPr>
        <w:t xml:space="preserve">detailed assessment of the activities of the </w:t>
      </w:r>
      <w:r w:rsidR="00B760E5">
        <w:rPr>
          <w:rFonts w:ascii="Times New Roman" w:hAnsi="Times New Roman" w:cs="Times New Roman"/>
          <w:noProof/>
          <w:sz w:val="24"/>
          <w:szCs w:val="24"/>
        </w:rPr>
        <w:t>Programme</w:t>
      </w:r>
      <w:r w:rsidR="00C575EB">
        <w:rPr>
          <w:rFonts w:ascii="Times New Roman" w:hAnsi="Times New Roman" w:cs="Times New Roman"/>
          <w:noProof/>
          <w:sz w:val="24"/>
          <w:szCs w:val="24"/>
        </w:rPr>
        <w:t>,</w:t>
      </w:r>
      <w:r>
        <w:rPr>
          <w:rFonts w:ascii="Times New Roman" w:hAnsi="Times New Roman" w:cs="Times New Roman"/>
          <w:noProof/>
          <w:sz w:val="24"/>
          <w:szCs w:val="24"/>
        </w:rPr>
        <w:t xml:space="preserve"> </w:t>
      </w:r>
      <w:r w:rsidR="00C575EB">
        <w:rPr>
          <w:rFonts w:ascii="Times New Roman" w:hAnsi="Times New Roman" w:cs="Times New Roman"/>
          <w:noProof/>
          <w:sz w:val="24"/>
          <w:szCs w:val="24"/>
        </w:rPr>
        <w:t>the</w:t>
      </w:r>
      <w:r>
        <w:rPr>
          <w:rFonts w:ascii="Times New Roman" w:hAnsi="Times New Roman" w:cs="Times New Roman"/>
          <w:noProof/>
          <w:sz w:val="24"/>
          <w:szCs w:val="24"/>
        </w:rPr>
        <w:t xml:space="preserve"> methodology </w:t>
      </w:r>
      <w:r w:rsidR="00B8083A">
        <w:rPr>
          <w:rFonts w:ascii="Times New Roman" w:hAnsi="Times New Roman" w:cs="Times New Roman"/>
          <w:noProof/>
          <w:sz w:val="24"/>
          <w:szCs w:val="24"/>
        </w:rPr>
        <w:t>used</w:t>
      </w:r>
      <w:r w:rsidR="00C575EB">
        <w:rPr>
          <w:rFonts w:ascii="Times New Roman" w:hAnsi="Times New Roman" w:cs="Times New Roman"/>
          <w:noProof/>
          <w:sz w:val="24"/>
          <w:szCs w:val="24"/>
        </w:rPr>
        <w:t>,</w:t>
      </w:r>
      <w:r w:rsidR="00B8083A">
        <w:rPr>
          <w:rFonts w:ascii="Times New Roman" w:hAnsi="Times New Roman" w:cs="Times New Roman"/>
          <w:noProof/>
          <w:sz w:val="24"/>
          <w:szCs w:val="24"/>
        </w:rPr>
        <w:t xml:space="preserve"> </w:t>
      </w:r>
      <w:r>
        <w:rPr>
          <w:rFonts w:ascii="Times New Roman" w:hAnsi="Times New Roman" w:cs="Times New Roman"/>
          <w:noProof/>
          <w:sz w:val="24"/>
          <w:szCs w:val="24"/>
        </w:rPr>
        <w:t>and</w:t>
      </w:r>
      <w:r w:rsidR="00C575EB">
        <w:rPr>
          <w:rFonts w:ascii="Times New Roman" w:hAnsi="Times New Roman" w:cs="Times New Roman"/>
          <w:noProof/>
          <w:sz w:val="24"/>
          <w:szCs w:val="24"/>
        </w:rPr>
        <w:t xml:space="preserve"> the</w:t>
      </w:r>
      <w:r>
        <w:rPr>
          <w:rFonts w:ascii="Times New Roman" w:hAnsi="Times New Roman" w:cs="Times New Roman"/>
          <w:noProof/>
          <w:sz w:val="24"/>
          <w:szCs w:val="24"/>
        </w:rPr>
        <w:t xml:space="preserve"> results of </w:t>
      </w:r>
      <w:r w:rsidR="00C575EB">
        <w:rPr>
          <w:rFonts w:ascii="Times New Roman" w:hAnsi="Times New Roman" w:cs="Times New Roman"/>
          <w:noProof/>
          <w:sz w:val="24"/>
          <w:szCs w:val="24"/>
        </w:rPr>
        <w:t xml:space="preserve">the </w:t>
      </w:r>
      <w:r>
        <w:rPr>
          <w:rFonts w:ascii="Times New Roman" w:hAnsi="Times New Roman" w:cs="Times New Roman"/>
          <w:noProof/>
          <w:sz w:val="24"/>
          <w:szCs w:val="24"/>
        </w:rPr>
        <w:t xml:space="preserve">stakeholder consultation. </w:t>
      </w:r>
      <w:r w:rsidRPr="001F0FA8">
        <w:rPr>
          <w:rFonts w:ascii="Times New Roman" w:hAnsi="Times New Roman" w:cs="Times New Roman"/>
          <w:noProof/>
          <w:sz w:val="24"/>
          <w:szCs w:val="24"/>
        </w:rPr>
        <w:t xml:space="preserve">The main limitation of this evaluation is that </w:t>
      </w:r>
      <w:r w:rsidR="00C575EB">
        <w:rPr>
          <w:rFonts w:ascii="Times New Roman" w:hAnsi="Times New Roman" w:cs="Times New Roman"/>
          <w:noProof/>
          <w:sz w:val="24"/>
          <w:szCs w:val="24"/>
        </w:rPr>
        <w:t>any</w:t>
      </w:r>
      <w:r w:rsidR="00C575EB" w:rsidRPr="001F0FA8">
        <w:rPr>
          <w:rFonts w:ascii="Times New Roman" w:hAnsi="Times New Roman" w:cs="Times New Roman"/>
          <w:noProof/>
          <w:sz w:val="24"/>
          <w:szCs w:val="24"/>
        </w:rPr>
        <w:t xml:space="preserve"> </w:t>
      </w:r>
      <w:r w:rsidRPr="001F0FA8">
        <w:rPr>
          <w:rFonts w:ascii="Times New Roman" w:hAnsi="Times New Roman" w:cs="Times New Roman"/>
          <w:noProof/>
          <w:sz w:val="24"/>
          <w:szCs w:val="24"/>
        </w:rPr>
        <w:t>picture of the Programme’</w:t>
      </w:r>
      <w:r w:rsidR="00A1369F">
        <w:rPr>
          <w:rFonts w:ascii="Times New Roman" w:hAnsi="Times New Roman" w:cs="Times New Roman"/>
          <w:noProof/>
          <w:sz w:val="24"/>
          <w:szCs w:val="24"/>
        </w:rPr>
        <w:t>s</w:t>
      </w:r>
      <w:r w:rsidRPr="001F0FA8">
        <w:rPr>
          <w:rFonts w:ascii="Times New Roman" w:hAnsi="Times New Roman" w:cs="Times New Roman"/>
          <w:noProof/>
          <w:sz w:val="24"/>
          <w:szCs w:val="24"/>
        </w:rPr>
        <w:t xml:space="preserve"> results and impacts can only be partial</w:t>
      </w:r>
      <w:r w:rsidR="00C575EB">
        <w:rPr>
          <w:rFonts w:ascii="Times New Roman" w:hAnsi="Times New Roman" w:cs="Times New Roman"/>
          <w:noProof/>
          <w:sz w:val="24"/>
          <w:szCs w:val="24"/>
        </w:rPr>
        <w:t xml:space="preserve"> at present</w:t>
      </w:r>
      <w:r w:rsidRPr="001F0FA8">
        <w:rPr>
          <w:rFonts w:ascii="Times New Roman" w:hAnsi="Times New Roman" w:cs="Times New Roman"/>
          <w:noProof/>
          <w:sz w:val="24"/>
          <w:szCs w:val="24"/>
        </w:rPr>
        <w:t xml:space="preserve">. </w:t>
      </w:r>
      <w:r w:rsidR="00C575EB">
        <w:rPr>
          <w:rFonts w:ascii="Times New Roman" w:hAnsi="Times New Roman" w:cs="Times New Roman"/>
          <w:noProof/>
          <w:sz w:val="24"/>
          <w:szCs w:val="24"/>
        </w:rPr>
        <w:t>The e</w:t>
      </w:r>
      <w:r w:rsidRPr="001F0FA8">
        <w:rPr>
          <w:rFonts w:ascii="Times New Roman" w:hAnsi="Times New Roman" w:cs="Times New Roman"/>
          <w:noProof/>
          <w:sz w:val="24"/>
          <w:szCs w:val="24"/>
        </w:rPr>
        <w:t xml:space="preserve">valuation is taking place </w:t>
      </w:r>
      <w:r w:rsidR="00C575EB">
        <w:rPr>
          <w:rFonts w:ascii="Times New Roman" w:hAnsi="Times New Roman" w:cs="Times New Roman"/>
          <w:noProof/>
          <w:sz w:val="24"/>
          <w:szCs w:val="24"/>
        </w:rPr>
        <w:t>3</w:t>
      </w:r>
      <w:r w:rsidR="00C575EB" w:rsidRPr="001F0FA8">
        <w:rPr>
          <w:rFonts w:ascii="Times New Roman" w:hAnsi="Times New Roman" w:cs="Times New Roman"/>
          <w:noProof/>
          <w:sz w:val="24"/>
          <w:szCs w:val="24"/>
        </w:rPr>
        <w:t xml:space="preserve"> </w:t>
      </w:r>
      <w:r w:rsidRPr="001F0FA8">
        <w:rPr>
          <w:rFonts w:ascii="Times New Roman" w:hAnsi="Times New Roman" w:cs="Times New Roman"/>
          <w:noProof/>
          <w:sz w:val="24"/>
          <w:szCs w:val="24"/>
        </w:rPr>
        <w:t>years after the end of the Programme</w:t>
      </w:r>
      <w:r>
        <w:rPr>
          <w:rFonts w:ascii="Times New Roman" w:hAnsi="Times New Roman" w:cs="Times New Roman"/>
          <w:noProof/>
          <w:sz w:val="24"/>
          <w:szCs w:val="24"/>
        </w:rPr>
        <w:t>,</w:t>
      </w:r>
      <w:r w:rsidRPr="001F0FA8">
        <w:rPr>
          <w:rFonts w:ascii="Times New Roman" w:hAnsi="Times New Roman" w:cs="Times New Roman"/>
          <w:noProof/>
          <w:sz w:val="24"/>
          <w:szCs w:val="24"/>
        </w:rPr>
        <w:t xml:space="preserve"> </w:t>
      </w:r>
      <w:r>
        <w:rPr>
          <w:rFonts w:ascii="Times New Roman" w:hAnsi="Times New Roman" w:cs="Times New Roman"/>
          <w:noProof/>
          <w:sz w:val="24"/>
          <w:szCs w:val="24"/>
        </w:rPr>
        <w:t>while</w:t>
      </w:r>
      <w:r w:rsidRPr="00501F33">
        <w:rPr>
          <w:rFonts w:ascii="Times New Roman" w:hAnsi="Times New Roman" w:cs="Times New Roman"/>
          <w:noProof/>
          <w:sz w:val="24"/>
          <w:szCs w:val="24"/>
        </w:rPr>
        <w:t xml:space="preserve"> almost a third of projects (29) will be completed in 2024 or 2025. The key challeng</w:t>
      </w:r>
      <w:r>
        <w:rPr>
          <w:rFonts w:ascii="Times New Roman" w:hAnsi="Times New Roman" w:cs="Times New Roman"/>
          <w:noProof/>
          <w:sz w:val="24"/>
          <w:szCs w:val="24"/>
        </w:rPr>
        <w:t>e for</w:t>
      </w:r>
      <w:r w:rsidR="003E643F">
        <w:rPr>
          <w:rFonts w:ascii="Times New Roman" w:hAnsi="Times New Roman" w:cs="Times New Roman"/>
          <w:noProof/>
          <w:sz w:val="24"/>
          <w:szCs w:val="24"/>
        </w:rPr>
        <w:t xml:space="preserve"> the</w:t>
      </w:r>
      <w:r>
        <w:rPr>
          <w:rFonts w:ascii="Times New Roman" w:hAnsi="Times New Roman" w:cs="Times New Roman"/>
          <w:noProof/>
          <w:sz w:val="24"/>
          <w:szCs w:val="24"/>
        </w:rPr>
        <w:t xml:space="preserve"> evaluators is the </w:t>
      </w:r>
      <w:r w:rsidRPr="007C101D">
        <w:rPr>
          <w:rFonts w:ascii="Times New Roman" w:hAnsi="Times New Roman" w:cs="Times New Roman"/>
          <w:noProof/>
          <w:sz w:val="24"/>
          <w:szCs w:val="24"/>
        </w:rPr>
        <w:t xml:space="preserve">long timespan required for projects to demonstrate their </w:t>
      </w:r>
      <w:r>
        <w:rPr>
          <w:rFonts w:ascii="Times New Roman" w:hAnsi="Times New Roman" w:cs="Times New Roman"/>
          <w:noProof/>
          <w:sz w:val="24"/>
          <w:szCs w:val="24"/>
        </w:rPr>
        <w:t>i</w:t>
      </w:r>
      <w:r w:rsidRPr="007C101D">
        <w:rPr>
          <w:rFonts w:ascii="Times New Roman" w:hAnsi="Times New Roman" w:cs="Times New Roman"/>
          <w:noProof/>
          <w:sz w:val="24"/>
          <w:szCs w:val="24"/>
        </w:rPr>
        <w:t xml:space="preserve">mpacts, </w:t>
      </w:r>
      <w:r w:rsidR="00C575EB">
        <w:rPr>
          <w:rFonts w:ascii="Times New Roman" w:hAnsi="Times New Roman" w:cs="Times New Roman"/>
          <w:noProof/>
          <w:sz w:val="24"/>
          <w:szCs w:val="24"/>
        </w:rPr>
        <w:t>and this</w:t>
      </w:r>
      <w:r w:rsidR="00C575EB" w:rsidRPr="007C101D">
        <w:rPr>
          <w:rFonts w:ascii="Times New Roman" w:hAnsi="Times New Roman" w:cs="Times New Roman"/>
          <w:noProof/>
          <w:sz w:val="24"/>
          <w:szCs w:val="24"/>
        </w:rPr>
        <w:t xml:space="preserve"> </w:t>
      </w:r>
      <w:r w:rsidRPr="007C101D">
        <w:rPr>
          <w:rFonts w:ascii="Times New Roman" w:hAnsi="Times New Roman" w:cs="Times New Roman"/>
          <w:noProof/>
          <w:sz w:val="24"/>
          <w:szCs w:val="24"/>
        </w:rPr>
        <w:t xml:space="preserve">complicates monitoring and </w:t>
      </w:r>
      <w:r w:rsidR="003E643F">
        <w:rPr>
          <w:rFonts w:ascii="Times New Roman" w:hAnsi="Times New Roman" w:cs="Times New Roman"/>
          <w:noProof/>
          <w:sz w:val="24"/>
          <w:szCs w:val="24"/>
        </w:rPr>
        <w:t xml:space="preserve">the </w:t>
      </w:r>
      <w:r w:rsidRPr="007C101D">
        <w:rPr>
          <w:rFonts w:ascii="Times New Roman" w:hAnsi="Times New Roman" w:cs="Times New Roman"/>
          <w:noProof/>
          <w:sz w:val="24"/>
          <w:szCs w:val="24"/>
        </w:rPr>
        <w:t>evaluation processe</w:t>
      </w:r>
      <w:r>
        <w:rPr>
          <w:rFonts w:ascii="Times New Roman" w:hAnsi="Times New Roman" w:cs="Times New Roman"/>
          <w:noProof/>
          <w:sz w:val="24"/>
          <w:szCs w:val="24"/>
        </w:rPr>
        <w:t>s</w:t>
      </w:r>
      <w:r w:rsidRPr="007C101D">
        <w:rPr>
          <w:rFonts w:ascii="Times New Roman" w:hAnsi="Times New Roman" w:cs="Times New Roman"/>
          <w:noProof/>
          <w:sz w:val="24"/>
          <w:szCs w:val="24"/>
        </w:rPr>
        <w:t>.</w:t>
      </w:r>
      <w:r>
        <w:rPr>
          <w:rFonts w:ascii="Times New Roman" w:hAnsi="Times New Roman" w:cs="Times New Roman"/>
          <w:noProof/>
          <w:sz w:val="24"/>
          <w:szCs w:val="24"/>
        </w:rPr>
        <w:t xml:space="preserve"> </w:t>
      </w:r>
      <w:r w:rsidR="00C575EB">
        <w:rPr>
          <w:rFonts w:ascii="Times New Roman" w:hAnsi="Times New Roman" w:cs="Times New Roman"/>
          <w:noProof/>
          <w:sz w:val="24"/>
          <w:szCs w:val="24"/>
        </w:rPr>
        <w:t>Alt</w:t>
      </w:r>
      <w:r w:rsidRPr="00432FDD">
        <w:rPr>
          <w:rFonts w:ascii="Times New Roman" w:hAnsi="Times New Roman" w:cs="Times New Roman"/>
          <w:noProof/>
          <w:sz w:val="24"/>
          <w:szCs w:val="24"/>
        </w:rPr>
        <w:t xml:space="preserve">hough </w:t>
      </w:r>
      <w:r w:rsidR="00836E28">
        <w:rPr>
          <w:rFonts w:ascii="Times New Roman" w:hAnsi="Times New Roman" w:cs="Times New Roman"/>
          <w:noProof/>
          <w:sz w:val="24"/>
          <w:szCs w:val="24"/>
        </w:rPr>
        <w:t xml:space="preserve">the Programme helped to produce </w:t>
      </w:r>
      <w:r w:rsidRPr="00432FDD">
        <w:rPr>
          <w:rFonts w:ascii="Times New Roman" w:hAnsi="Times New Roman" w:cs="Times New Roman"/>
          <w:noProof/>
          <w:sz w:val="24"/>
          <w:szCs w:val="24"/>
        </w:rPr>
        <w:t xml:space="preserve">important </w:t>
      </w:r>
      <w:r w:rsidR="00836E28">
        <w:rPr>
          <w:rFonts w:ascii="Times New Roman" w:hAnsi="Times New Roman" w:cs="Times New Roman"/>
          <w:noProof/>
          <w:sz w:val="24"/>
          <w:szCs w:val="24"/>
        </w:rPr>
        <w:t xml:space="preserve">research </w:t>
      </w:r>
      <w:r w:rsidRPr="00432FDD">
        <w:rPr>
          <w:rFonts w:ascii="Times New Roman" w:hAnsi="Times New Roman" w:cs="Times New Roman"/>
          <w:noProof/>
          <w:sz w:val="24"/>
          <w:szCs w:val="24"/>
        </w:rPr>
        <w:t>results, significant impacts</w:t>
      </w:r>
      <w:r w:rsidR="00836E28">
        <w:rPr>
          <w:rFonts w:ascii="Times New Roman" w:hAnsi="Times New Roman" w:cs="Times New Roman"/>
          <w:noProof/>
          <w:sz w:val="24"/>
          <w:szCs w:val="24"/>
        </w:rPr>
        <w:t xml:space="preserve"> from these research results</w:t>
      </w:r>
      <w:r w:rsidRPr="00432FDD">
        <w:rPr>
          <w:rFonts w:ascii="Times New Roman" w:hAnsi="Times New Roman" w:cs="Times New Roman"/>
          <w:noProof/>
          <w:sz w:val="24"/>
          <w:szCs w:val="24"/>
        </w:rPr>
        <w:t xml:space="preserve"> </w:t>
      </w:r>
      <w:r w:rsidR="00C575EB">
        <w:rPr>
          <w:rFonts w:ascii="Times New Roman" w:hAnsi="Times New Roman" w:cs="Times New Roman"/>
          <w:noProof/>
          <w:sz w:val="24"/>
          <w:szCs w:val="24"/>
        </w:rPr>
        <w:t>(</w:t>
      </w:r>
      <w:r w:rsidRPr="00432FDD">
        <w:rPr>
          <w:rFonts w:ascii="Times New Roman" w:hAnsi="Times New Roman" w:cs="Times New Roman"/>
          <w:noProof/>
          <w:sz w:val="24"/>
          <w:szCs w:val="24"/>
        </w:rPr>
        <w:t xml:space="preserve">such as </w:t>
      </w:r>
      <w:r w:rsidR="00B8083A">
        <w:rPr>
          <w:rFonts w:ascii="Times New Roman" w:hAnsi="Times New Roman" w:cs="Times New Roman"/>
          <w:noProof/>
          <w:sz w:val="24"/>
          <w:szCs w:val="24"/>
        </w:rPr>
        <w:t xml:space="preserve">the </w:t>
      </w:r>
      <w:r>
        <w:rPr>
          <w:rFonts w:ascii="Times New Roman" w:hAnsi="Times New Roman" w:cs="Times New Roman"/>
          <w:noProof/>
          <w:sz w:val="24"/>
          <w:szCs w:val="24"/>
        </w:rPr>
        <w:t xml:space="preserve">introduction of new solutions and techniques by </w:t>
      </w:r>
      <w:r w:rsidR="00C575EB">
        <w:rPr>
          <w:rFonts w:ascii="Times New Roman" w:hAnsi="Times New Roman" w:cs="Times New Roman"/>
          <w:noProof/>
          <w:sz w:val="24"/>
          <w:szCs w:val="24"/>
        </w:rPr>
        <w:t>n</w:t>
      </w:r>
      <w:r w:rsidR="00B8083A">
        <w:rPr>
          <w:rFonts w:ascii="Times New Roman" w:hAnsi="Times New Roman" w:cs="Times New Roman"/>
          <w:noProof/>
          <w:sz w:val="24"/>
          <w:szCs w:val="24"/>
        </w:rPr>
        <w:t xml:space="preserve">uclear </w:t>
      </w:r>
      <w:r w:rsidR="00C575EB">
        <w:rPr>
          <w:rFonts w:ascii="Times New Roman" w:hAnsi="Times New Roman" w:cs="Times New Roman"/>
          <w:noProof/>
          <w:sz w:val="24"/>
          <w:szCs w:val="24"/>
        </w:rPr>
        <w:t>p</w:t>
      </w:r>
      <w:r w:rsidR="00B8083A">
        <w:rPr>
          <w:rFonts w:ascii="Times New Roman" w:hAnsi="Times New Roman" w:cs="Times New Roman"/>
          <w:noProof/>
          <w:sz w:val="24"/>
          <w:szCs w:val="24"/>
        </w:rPr>
        <w:t>ower</w:t>
      </w:r>
      <w:r w:rsidR="00E86DB0">
        <w:rPr>
          <w:rFonts w:ascii="Times New Roman" w:hAnsi="Times New Roman" w:cs="Times New Roman"/>
          <w:noProof/>
          <w:sz w:val="24"/>
          <w:szCs w:val="24"/>
        </w:rPr>
        <w:t>-plant</w:t>
      </w:r>
      <w:r w:rsidR="00B8083A">
        <w:rPr>
          <w:rFonts w:ascii="Times New Roman" w:hAnsi="Times New Roman" w:cs="Times New Roman"/>
          <w:noProof/>
          <w:sz w:val="24"/>
          <w:szCs w:val="24"/>
        </w:rPr>
        <w:t xml:space="preserve"> (</w:t>
      </w:r>
      <w:r>
        <w:rPr>
          <w:rFonts w:ascii="Times New Roman" w:hAnsi="Times New Roman" w:cs="Times New Roman"/>
          <w:noProof/>
          <w:sz w:val="24"/>
          <w:szCs w:val="24"/>
        </w:rPr>
        <w:t>NPP</w:t>
      </w:r>
      <w:r w:rsidR="00B8083A">
        <w:rPr>
          <w:rFonts w:ascii="Times New Roman" w:hAnsi="Times New Roman" w:cs="Times New Roman"/>
          <w:noProof/>
          <w:sz w:val="24"/>
          <w:szCs w:val="24"/>
        </w:rPr>
        <w:t>)</w:t>
      </w:r>
      <w:r>
        <w:rPr>
          <w:rFonts w:ascii="Times New Roman" w:hAnsi="Times New Roman" w:cs="Times New Roman"/>
          <w:noProof/>
          <w:sz w:val="24"/>
          <w:szCs w:val="24"/>
        </w:rPr>
        <w:t xml:space="preserve"> operators and new designs or </w:t>
      </w:r>
      <w:r w:rsidRPr="00432FDD">
        <w:rPr>
          <w:rFonts w:ascii="Times New Roman" w:hAnsi="Times New Roman" w:cs="Times New Roman"/>
          <w:noProof/>
          <w:sz w:val="24"/>
          <w:szCs w:val="24"/>
        </w:rPr>
        <w:t>influence</w:t>
      </w:r>
      <w:r w:rsidR="00C575EB">
        <w:rPr>
          <w:rFonts w:ascii="Times New Roman" w:hAnsi="Times New Roman" w:cs="Times New Roman"/>
          <w:noProof/>
          <w:sz w:val="24"/>
          <w:szCs w:val="24"/>
        </w:rPr>
        <w:t>s</w:t>
      </w:r>
      <w:r w:rsidRPr="00432FDD">
        <w:rPr>
          <w:rFonts w:ascii="Times New Roman" w:hAnsi="Times New Roman" w:cs="Times New Roman"/>
          <w:noProof/>
          <w:sz w:val="24"/>
          <w:szCs w:val="24"/>
        </w:rPr>
        <w:t xml:space="preserve"> on the regulatory framework</w:t>
      </w:r>
      <w:r w:rsidR="00C575EB">
        <w:rPr>
          <w:rFonts w:ascii="Times New Roman" w:hAnsi="Times New Roman" w:cs="Times New Roman"/>
          <w:noProof/>
          <w:sz w:val="24"/>
          <w:szCs w:val="24"/>
        </w:rPr>
        <w:t>)</w:t>
      </w:r>
      <w:r w:rsidRPr="00432FDD">
        <w:rPr>
          <w:rFonts w:ascii="Times New Roman" w:hAnsi="Times New Roman" w:cs="Times New Roman"/>
          <w:noProof/>
          <w:sz w:val="24"/>
          <w:szCs w:val="24"/>
        </w:rPr>
        <w:t xml:space="preserve"> </w:t>
      </w:r>
      <w:r w:rsidR="00C575EB" w:rsidRPr="00432FDD">
        <w:rPr>
          <w:rFonts w:ascii="Times New Roman" w:hAnsi="Times New Roman" w:cs="Times New Roman"/>
          <w:noProof/>
          <w:sz w:val="24"/>
          <w:szCs w:val="24"/>
          <w:lang w:val="mt-MT"/>
        </w:rPr>
        <w:t>w</w:t>
      </w:r>
      <w:r w:rsidR="00C575EB">
        <w:rPr>
          <w:rFonts w:ascii="Times New Roman" w:hAnsi="Times New Roman" w:cs="Times New Roman"/>
          <w:noProof/>
          <w:sz w:val="24"/>
          <w:szCs w:val="24"/>
          <w:lang w:val="mt-MT"/>
        </w:rPr>
        <w:t>ill</w:t>
      </w:r>
      <w:r w:rsidR="00C575EB" w:rsidRPr="00432FDD">
        <w:rPr>
          <w:rFonts w:ascii="Times New Roman" w:hAnsi="Times New Roman" w:cs="Times New Roman"/>
          <w:noProof/>
          <w:sz w:val="24"/>
          <w:szCs w:val="24"/>
          <w:lang w:val="mt-MT"/>
        </w:rPr>
        <w:t xml:space="preserve"> </w:t>
      </w:r>
      <w:r>
        <w:rPr>
          <w:rFonts w:ascii="Times New Roman" w:hAnsi="Times New Roman" w:cs="Times New Roman"/>
          <w:noProof/>
          <w:sz w:val="24"/>
          <w:szCs w:val="24"/>
          <w:lang w:val="mt-MT"/>
        </w:rPr>
        <w:t>require</w:t>
      </w:r>
      <w:r w:rsidRPr="00432FDD">
        <w:rPr>
          <w:rFonts w:ascii="Times New Roman" w:hAnsi="Times New Roman" w:cs="Times New Roman"/>
          <w:noProof/>
          <w:sz w:val="24"/>
          <w:szCs w:val="24"/>
          <w:lang w:val="mt-MT"/>
        </w:rPr>
        <w:t xml:space="preserve"> more time to </w:t>
      </w:r>
      <w:r w:rsidR="00C575EB">
        <w:rPr>
          <w:rFonts w:ascii="Times New Roman" w:hAnsi="Times New Roman" w:cs="Times New Roman"/>
          <w:noProof/>
          <w:sz w:val="24"/>
          <w:szCs w:val="24"/>
          <w:lang w:val="mt-MT"/>
        </w:rPr>
        <w:t>become apparent</w:t>
      </w:r>
      <w:r w:rsidRPr="00432FDD">
        <w:rPr>
          <w:rFonts w:ascii="Times New Roman" w:hAnsi="Times New Roman" w:cs="Times New Roman"/>
          <w:noProof/>
          <w:sz w:val="24"/>
          <w:szCs w:val="24"/>
        </w:rPr>
        <w:t xml:space="preserve">. These long-term effects are also more difficult to capture through </w:t>
      </w:r>
      <w:r w:rsidR="00F07144">
        <w:rPr>
          <w:rFonts w:ascii="Times New Roman" w:hAnsi="Times New Roman" w:cs="Times New Roman"/>
          <w:noProof/>
          <w:sz w:val="24"/>
          <w:szCs w:val="24"/>
        </w:rPr>
        <w:t xml:space="preserve">the </w:t>
      </w:r>
      <w:r w:rsidRPr="00432FDD">
        <w:rPr>
          <w:rFonts w:ascii="Times New Roman" w:hAnsi="Times New Roman" w:cs="Times New Roman"/>
          <w:noProof/>
          <w:sz w:val="24"/>
          <w:szCs w:val="24"/>
        </w:rPr>
        <w:t>usual indicator systems</w:t>
      </w:r>
      <w:r w:rsidR="00AD54E4">
        <w:rPr>
          <w:rFonts w:ascii="Times New Roman" w:hAnsi="Times New Roman" w:cs="Times New Roman"/>
          <w:noProof/>
          <w:sz w:val="24"/>
          <w:szCs w:val="24"/>
        </w:rPr>
        <w:t>,</w:t>
      </w:r>
      <w:r w:rsidRPr="00432FDD">
        <w:rPr>
          <w:rFonts w:ascii="Times New Roman" w:hAnsi="Times New Roman" w:cs="Times New Roman"/>
          <w:noProof/>
          <w:sz w:val="24"/>
          <w:szCs w:val="24"/>
        </w:rPr>
        <w:t xml:space="preserve"> and often need complex investigative work to match outputs from past projects with eventual impacts many years later, sometimes in different technical areas.</w:t>
      </w:r>
      <w:r>
        <w:rPr>
          <w:rFonts w:ascii="Times New Roman" w:hAnsi="Times New Roman" w:cs="Times New Roman"/>
          <w:noProof/>
          <w:sz w:val="24"/>
          <w:szCs w:val="24"/>
        </w:rPr>
        <w:t xml:space="preserve"> </w:t>
      </w:r>
      <w:r w:rsidRPr="00432FDD">
        <w:rPr>
          <w:rFonts w:ascii="Times New Roman" w:hAnsi="Times New Roman" w:cs="Times New Roman"/>
          <w:noProof/>
          <w:sz w:val="24"/>
          <w:szCs w:val="24"/>
        </w:rPr>
        <w:t xml:space="preserve">Data limitations include issues related to data availability and </w:t>
      </w:r>
      <w:r w:rsidR="00F07144">
        <w:rPr>
          <w:rFonts w:ascii="Times New Roman" w:hAnsi="Times New Roman" w:cs="Times New Roman"/>
          <w:noProof/>
          <w:sz w:val="24"/>
          <w:szCs w:val="24"/>
        </w:rPr>
        <w:t xml:space="preserve">the </w:t>
      </w:r>
      <w:r w:rsidRPr="00432FDD">
        <w:rPr>
          <w:rFonts w:ascii="Times New Roman" w:hAnsi="Times New Roman" w:cs="Times New Roman"/>
          <w:noProof/>
          <w:sz w:val="24"/>
          <w:szCs w:val="24"/>
        </w:rPr>
        <w:t xml:space="preserve">measurability of outcomes. To mitigate these limitations, </w:t>
      </w:r>
      <w:r w:rsidR="00B8083A">
        <w:rPr>
          <w:rFonts w:ascii="Times New Roman" w:hAnsi="Times New Roman" w:cs="Times New Roman"/>
          <w:noProof/>
          <w:sz w:val="24"/>
          <w:szCs w:val="24"/>
        </w:rPr>
        <w:t xml:space="preserve">the </w:t>
      </w:r>
      <w:r w:rsidR="00F07144">
        <w:rPr>
          <w:rFonts w:ascii="Times New Roman" w:hAnsi="Times New Roman" w:cs="Times New Roman"/>
          <w:noProof/>
          <w:sz w:val="24"/>
          <w:szCs w:val="24"/>
        </w:rPr>
        <w:t>s</w:t>
      </w:r>
      <w:r w:rsidRPr="00432FDD">
        <w:rPr>
          <w:rFonts w:ascii="Times New Roman" w:hAnsi="Times New Roman" w:cs="Times New Roman"/>
          <w:noProof/>
          <w:sz w:val="24"/>
          <w:szCs w:val="24"/>
        </w:rPr>
        <w:t xml:space="preserve">taff </w:t>
      </w:r>
      <w:r w:rsidR="00F07144">
        <w:rPr>
          <w:rFonts w:ascii="Times New Roman" w:hAnsi="Times New Roman" w:cs="Times New Roman"/>
          <w:noProof/>
          <w:sz w:val="24"/>
          <w:szCs w:val="24"/>
        </w:rPr>
        <w:t>w</w:t>
      </w:r>
      <w:r w:rsidRPr="00432FDD">
        <w:rPr>
          <w:rFonts w:ascii="Times New Roman" w:hAnsi="Times New Roman" w:cs="Times New Roman"/>
          <w:noProof/>
          <w:sz w:val="24"/>
          <w:szCs w:val="24"/>
        </w:rPr>
        <w:t xml:space="preserve">orking </w:t>
      </w:r>
      <w:r w:rsidR="00F07144">
        <w:rPr>
          <w:rFonts w:ascii="Times New Roman" w:hAnsi="Times New Roman" w:cs="Times New Roman"/>
          <w:noProof/>
          <w:sz w:val="24"/>
          <w:szCs w:val="24"/>
        </w:rPr>
        <w:t>d</w:t>
      </w:r>
      <w:r w:rsidRPr="00432FDD">
        <w:rPr>
          <w:rFonts w:ascii="Times New Roman" w:hAnsi="Times New Roman" w:cs="Times New Roman"/>
          <w:noProof/>
          <w:sz w:val="24"/>
          <w:szCs w:val="24"/>
        </w:rPr>
        <w:t>ocument</w:t>
      </w:r>
      <w:r>
        <w:rPr>
          <w:rFonts w:ascii="Times New Roman" w:hAnsi="Times New Roman" w:cs="Times New Roman"/>
          <w:noProof/>
          <w:sz w:val="24"/>
          <w:szCs w:val="24"/>
        </w:rPr>
        <w:t>s are</w:t>
      </w:r>
      <w:r w:rsidRPr="00432FDD">
        <w:rPr>
          <w:rFonts w:ascii="Times New Roman" w:hAnsi="Times New Roman" w:cs="Times New Roman"/>
          <w:noProof/>
          <w:sz w:val="24"/>
          <w:szCs w:val="24"/>
        </w:rPr>
        <w:t xml:space="preserve"> transparent in indicating </w:t>
      </w:r>
      <w:r w:rsidR="00B8083A">
        <w:rPr>
          <w:rFonts w:ascii="Times New Roman" w:hAnsi="Times New Roman" w:cs="Times New Roman"/>
          <w:noProof/>
          <w:sz w:val="24"/>
          <w:szCs w:val="24"/>
        </w:rPr>
        <w:t>their</w:t>
      </w:r>
      <w:r w:rsidRPr="00432FDD">
        <w:rPr>
          <w:rFonts w:ascii="Times New Roman" w:hAnsi="Times New Roman" w:cs="Times New Roman"/>
          <w:noProof/>
          <w:sz w:val="24"/>
          <w:szCs w:val="24"/>
        </w:rPr>
        <w:t xml:space="preserve"> data sources.</w:t>
      </w:r>
      <w:r w:rsidR="00DA5638">
        <w:rPr>
          <w:rFonts w:ascii="Times New Roman" w:hAnsi="Times New Roman" w:cs="Times New Roman"/>
          <w:noProof/>
          <w:color w:val="000000" w:themeColor="text1"/>
        </w:rPr>
        <w:t xml:space="preserve"> </w:t>
      </w:r>
    </w:p>
    <w:p w14:paraId="4E3CB65F" w14:textId="6D24E7DE" w:rsidR="00A433F8" w:rsidRDefault="00A1369F">
      <w:pPr>
        <w:pStyle w:val="Heading2"/>
        <w:spacing w:before="0" w:after="120"/>
        <w:rPr>
          <w:rFonts w:ascii="Times New Roman" w:hAnsi="Times New Roman" w:cs="Times New Roman"/>
          <w:noProof/>
          <w:color w:val="000000" w:themeColor="text1"/>
        </w:rPr>
      </w:pPr>
      <w:r>
        <w:rPr>
          <w:rFonts w:ascii="Times New Roman" w:hAnsi="Times New Roman" w:cs="Times New Roman"/>
          <w:noProof/>
          <w:color w:val="000000" w:themeColor="text1"/>
        </w:rPr>
        <w:t xml:space="preserve">The </w:t>
      </w:r>
      <w:r w:rsidR="00802D92">
        <w:rPr>
          <w:rFonts w:ascii="Times New Roman" w:hAnsi="Times New Roman" w:cs="Times New Roman"/>
          <w:noProof/>
          <w:color w:val="000000" w:themeColor="text1"/>
        </w:rPr>
        <w:t xml:space="preserve">Euratom research and training </w:t>
      </w:r>
      <w:r w:rsidR="00F07144">
        <w:rPr>
          <w:rFonts w:ascii="Times New Roman" w:hAnsi="Times New Roman" w:cs="Times New Roman"/>
          <w:noProof/>
          <w:color w:val="000000" w:themeColor="text1"/>
          <w:lang w:val="mt-MT"/>
        </w:rPr>
        <w:t>p</w:t>
      </w:r>
      <w:r w:rsidR="00802D92">
        <w:rPr>
          <w:rFonts w:ascii="Times New Roman" w:hAnsi="Times New Roman" w:cs="Times New Roman"/>
          <w:noProof/>
          <w:color w:val="000000" w:themeColor="text1"/>
        </w:rPr>
        <w:t>rogramme (2014-20</w:t>
      </w:r>
      <w:r w:rsidR="00CF1F21">
        <w:rPr>
          <w:rFonts w:ascii="Times New Roman" w:hAnsi="Times New Roman" w:cs="Times New Roman"/>
          <w:noProof/>
          <w:color w:val="000000" w:themeColor="text1"/>
          <w:lang w:val="mt-MT"/>
        </w:rPr>
        <w:t>20</w:t>
      </w:r>
      <w:r w:rsidR="00802D92">
        <w:rPr>
          <w:rFonts w:ascii="Times New Roman" w:hAnsi="Times New Roman" w:cs="Times New Roman"/>
          <w:noProof/>
          <w:color w:val="000000" w:themeColor="text1"/>
        </w:rPr>
        <w:t>)</w:t>
      </w:r>
    </w:p>
    <w:p w14:paraId="60C015FC" w14:textId="1477E297" w:rsidR="00FC03B4" w:rsidRPr="001E3C9B" w:rsidRDefault="00700A71" w:rsidP="00FC03B4">
      <w:pPr>
        <w:spacing w:after="120"/>
        <w:jc w:val="both"/>
        <w:rPr>
          <w:rFonts w:ascii="Times New Roman" w:hAnsi="Times New Roman" w:cs="Times New Roman"/>
          <w:noProof/>
          <w:color w:val="000000" w:themeColor="text1"/>
          <w:sz w:val="24"/>
          <w:szCs w:val="24"/>
          <w:lang w:val="mt-MT"/>
        </w:rPr>
      </w:pPr>
      <w:r w:rsidRPr="001E3C9B">
        <w:rPr>
          <w:rFonts w:ascii="Times New Roman" w:hAnsi="Times New Roman" w:cs="Times New Roman"/>
          <w:noProof/>
          <w:sz w:val="24"/>
          <w:szCs w:val="24"/>
        </w:rPr>
        <w:t xml:space="preserve">The </w:t>
      </w:r>
      <w:r w:rsidR="00B760E5">
        <w:rPr>
          <w:rFonts w:ascii="Times New Roman" w:hAnsi="Times New Roman" w:cs="Times New Roman"/>
          <w:noProof/>
          <w:sz w:val="24"/>
          <w:szCs w:val="24"/>
        </w:rPr>
        <w:t xml:space="preserve">Programme </w:t>
      </w:r>
      <w:r w:rsidR="00FC03B4" w:rsidRPr="001E3C9B">
        <w:rPr>
          <w:rFonts w:ascii="Times New Roman" w:hAnsi="Times New Roman" w:cs="Times New Roman"/>
          <w:noProof/>
          <w:sz w:val="24"/>
          <w:szCs w:val="24"/>
          <w:lang w:val="mt-MT"/>
        </w:rPr>
        <w:t>w</w:t>
      </w:r>
      <w:r w:rsidR="00155721">
        <w:rPr>
          <w:rFonts w:ascii="Times New Roman" w:hAnsi="Times New Roman" w:cs="Times New Roman"/>
          <w:noProof/>
          <w:sz w:val="24"/>
          <w:szCs w:val="24"/>
          <w:lang w:val="mt-MT"/>
        </w:rPr>
        <w:t>as</w:t>
      </w:r>
      <w:r w:rsidRPr="001E3C9B">
        <w:rPr>
          <w:rFonts w:ascii="Times New Roman" w:hAnsi="Times New Roman" w:cs="Times New Roman"/>
          <w:noProof/>
          <w:sz w:val="24"/>
          <w:szCs w:val="24"/>
        </w:rPr>
        <w:t xml:space="preserve"> the EU’s </w:t>
      </w:r>
      <w:r w:rsidR="00FC03B4" w:rsidRPr="001E3C9B">
        <w:rPr>
          <w:rFonts w:ascii="Times New Roman" w:hAnsi="Times New Roman" w:cs="Times New Roman"/>
          <w:noProof/>
          <w:sz w:val="24"/>
          <w:szCs w:val="24"/>
        </w:rPr>
        <w:t xml:space="preserve">main </w:t>
      </w:r>
      <w:r w:rsidRPr="001E3C9B">
        <w:rPr>
          <w:rFonts w:ascii="Times New Roman" w:hAnsi="Times New Roman" w:cs="Times New Roman"/>
          <w:noProof/>
          <w:sz w:val="24"/>
          <w:szCs w:val="24"/>
        </w:rPr>
        <w:t xml:space="preserve">funding programme for nuclear research </w:t>
      </w:r>
      <w:r w:rsidR="00FC03B4" w:rsidRPr="001E3C9B">
        <w:rPr>
          <w:rFonts w:ascii="Times New Roman" w:hAnsi="Times New Roman" w:cs="Times New Roman"/>
          <w:noProof/>
          <w:sz w:val="24"/>
          <w:szCs w:val="24"/>
          <w:lang w:val="mt-MT"/>
        </w:rPr>
        <w:t>for this period</w:t>
      </w:r>
      <w:r w:rsidR="00831681">
        <w:rPr>
          <w:rFonts w:ascii="Times New Roman" w:hAnsi="Times New Roman" w:cs="Times New Roman"/>
          <w:noProof/>
          <w:sz w:val="24"/>
          <w:szCs w:val="24"/>
          <w:lang w:val="mt-MT"/>
        </w:rPr>
        <w:t>`,</w:t>
      </w:r>
      <w:r w:rsidR="00FC03B4" w:rsidRPr="001E3C9B">
        <w:rPr>
          <w:rFonts w:ascii="Times New Roman" w:hAnsi="Times New Roman" w:cs="Times New Roman"/>
          <w:noProof/>
          <w:sz w:val="24"/>
          <w:szCs w:val="24"/>
          <w:lang w:val="mt-MT"/>
        </w:rPr>
        <w:t xml:space="preserve"> </w:t>
      </w:r>
      <w:r w:rsidRPr="001E3C9B">
        <w:rPr>
          <w:rFonts w:ascii="Times New Roman" w:hAnsi="Times New Roman" w:cs="Times New Roman"/>
          <w:noProof/>
          <w:sz w:val="24"/>
          <w:szCs w:val="24"/>
        </w:rPr>
        <w:t xml:space="preserve">with a budget </w:t>
      </w:r>
      <w:r w:rsidR="00FC03B4" w:rsidRPr="001E3C9B">
        <w:rPr>
          <w:rFonts w:ascii="Times New Roman" w:hAnsi="Times New Roman" w:cs="Times New Roman"/>
          <w:noProof/>
          <w:color w:val="000000" w:themeColor="text1"/>
          <w:sz w:val="24"/>
          <w:szCs w:val="24"/>
          <w:lang w:val="mt-MT"/>
        </w:rPr>
        <w:t xml:space="preserve">as </w:t>
      </w:r>
      <w:r w:rsidR="0035597E">
        <w:rPr>
          <w:rFonts w:ascii="Times New Roman" w:hAnsi="Times New Roman" w:cs="Times New Roman"/>
          <w:noProof/>
          <w:color w:val="000000" w:themeColor="text1"/>
          <w:sz w:val="24"/>
          <w:szCs w:val="24"/>
          <w:lang w:val="mt-MT"/>
        </w:rPr>
        <w:t>set out in the table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162"/>
        <w:gridCol w:w="2162"/>
        <w:gridCol w:w="2162"/>
      </w:tblGrid>
      <w:tr w:rsidR="00FC03B4" w:rsidRPr="00B977EA" w14:paraId="30F82D18" w14:textId="77777777" w:rsidTr="00130541">
        <w:tc>
          <w:tcPr>
            <w:tcW w:w="2802" w:type="dxa"/>
            <w:tcBorders>
              <w:top w:val="single" w:sz="4" w:space="0" w:color="auto"/>
              <w:left w:val="single" w:sz="4" w:space="0" w:color="auto"/>
              <w:bottom w:val="single" w:sz="4" w:space="0" w:color="auto"/>
            </w:tcBorders>
            <w:vAlign w:val="center"/>
          </w:tcPr>
          <w:p w14:paraId="44185A2F" w14:textId="77777777" w:rsidR="00FC03B4" w:rsidRPr="007C4BD5" w:rsidRDefault="00FC03B4" w:rsidP="00130541">
            <w:pPr>
              <w:spacing w:before="120" w:after="120"/>
              <w:contextualSpacing/>
              <w:jc w:val="center"/>
              <w:rPr>
                <w:rFonts w:ascii="Times New Roman" w:hAnsi="Times New Roman" w:cs="Times New Roman"/>
                <w:noProof/>
                <w:color w:val="000000" w:themeColor="text1"/>
                <w:lang w:val="mt-MT"/>
              </w:rPr>
            </w:pPr>
          </w:p>
        </w:tc>
        <w:tc>
          <w:tcPr>
            <w:tcW w:w="2162" w:type="dxa"/>
            <w:tcBorders>
              <w:top w:val="single" w:sz="4" w:space="0" w:color="auto"/>
              <w:bottom w:val="single" w:sz="4" w:space="0" w:color="auto"/>
            </w:tcBorders>
            <w:vAlign w:val="center"/>
          </w:tcPr>
          <w:p w14:paraId="75489DA7" w14:textId="4DF1E13D" w:rsidR="00FC03B4" w:rsidRPr="007C4BD5" w:rsidRDefault="00FC03B4" w:rsidP="00130541">
            <w:pPr>
              <w:spacing w:before="120" w:after="120"/>
              <w:contextualSpacing/>
              <w:jc w:val="center"/>
              <w:rPr>
                <w:rFonts w:ascii="Times New Roman" w:hAnsi="Times New Roman" w:cs="Times New Roman"/>
                <w:noProof/>
                <w:color w:val="000000" w:themeColor="text1"/>
                <w:lang w:val="mt-MT"/>
              </w:rPr>
            </w:pPr>
            <w:r w:rsidRPr="007C4BD5">
              <w:rPr>
                <w:rFonts w:ascii="Times New Roman" w:hAnsi="Times New Roman" w:cs="Times New Roman"/>
                <w:noProof/>
                <w:color w:val="000000" w:themeColor="text1"/>
                <w:lang w:val="mt-MT"/>
              </w:rPr>
              <w:t xml:space="preserve">2014-2018 </w:t>
            </w:r>
            <w:r w:rsidR="0035597E">
              <w:rPr>
                <w:rFonts w:ascii="Times New Roman" w:hAnsi="Times New Roman" w:cs="Times New Roman"/>
                <w:noProof/>
                <w:color w:val="000000" w:themeColor="text1"/>
                <w:lang w:val="mt-MT"/>
              </w:rPr>
              <w:t>p</w:t>
            </w:r>
            <w:r w:rsidRPr="007C4BD5">
              <w:rPr>
                <w:rFonts w:ascii="Times New Roman" w:hAnsi="Times New Roman" w:cs="Times New Roman"/>
                <w:noProof/>
                <w:color w:val="000000" w:themeColor="text1"/>
                <w:lang w:val="mt-MT"/>
              </w:rPr>
              <w:t>rogramme</w:t>
            </w:r>
          </w:p>
          <w:p w14:paraId="7DD51509" w14:textId="77777777" w:rsidR="00FC03B4" w:rsidRPr="007C4BD5" w:rsidRDefault="00FC03B4" w:rsidP="00130541">
            <w:pPr>
              <w:spacing w:before="120" w:after="120"/>
              <w:contextualSpacing/>
              <w:jc w:val="center"/>
              <w:rPr>
                <w:rFonts w:ascii="Times New Roman" w:hAnsi="Times New Roman" w:cs="Times New Roman"/>
                <w:noProof/>
                <w:color w:val="000000" w:themeColor="text1"/>
                <w:lang w:val="mt-MT"/>
              </w:rPr>
            </w:pPr>
            <w:r w:rsidRPr="007C4BD5">
              <w:rPr>
                <w:rFonts w:ascii="Times New Roman" w:hAnsi="Times New Roman" w:cs="Times New Roman"/>
                <w:noProof/>
                <w:color w:val="000000" w:themeColor="text1"/>
                <w:lang w:val="mt-MT"/>
              </w:rPr>
              <w:t>(EUR)</w:t>
            </w:r>
          </w:p>
        </w:tc>
        <w:tc>
          <w:tcPr>
            <w:tcW w:w="2162" w:type="dxa"/>
            <w:tcBorders>
              <w:top w:val="single" w:sz="4" w:space="0" w:color="auto"/>
              <w:bottom w:val="single" w:sz="4" w:space="0" w:color="auto"/>
            </w:tcBorders>
            <w:vAlign w:val="center"/>
          </w:tcPr>
          <w:p w14:paraId="729506C2" w14:textId="535AB993" w:rsidR="00FC03B4" w:rsidRPr="007C4BD5" w:rsidRDefault="00FC03B4" w:rsidP="00130541">
            <w:pPr>
              <w:spacing w:before="120" w:after="120"/>
              <w:contextualSpacing/>
              <w:jc w:val="center"/>
              <w:rPr>
                <w:rFonts w:ascii="Times New Roman" w:hAnsi="Times New Roman" w:cs="Times New Roman"/>
                <w:noProof/>
                <w:color w:val="000000" w:themeColor="text1"/>
                <w:lang w:val="mt-MT"/>
              </w:rPr>
            </w:pPr>
            <w:r w:rsidRPr="007C4BD5">
              <w:rPr>
                <w:rFonts w:ascii="Times New Roman" w:hAnsi="Times New Roman" w:cs="Times New Roman"/>
                <w:noProof/>
                <w:color w:val="000000" w:themeColor="text1"/>
                <w:lang w:val="mt-MT"/>
              </w:rPr>
              <w:t xml:space="preserve">2019-2020 </w:t>
            </w:r>
            <w:r w:rsidR="0035597E">
              <w:rPr>
                <w:rFonts w:ascii="Times New Roman" w:hAnsi="Times New Roman" w:cs="Times New Roman"/>
                <w:noProof/>
                <w:color w:val="000000" w:themeColor="text1"/>
                <w:lang w:val="mt-MT"/>
              </w:rPr>
              <w:t>p</w:t>
            </w:r>
            <w:r w:rsidRPr="007C4BD5">
              <w:rPr>
                <w:rFonts w:ascii="Times New Roman" w:hAnsi="Times New Roman" w:cs="Times New Roman"/>
                <w:noProof/>
                <w:color w:val="000000" w:themeColor="text1"/>
                <w:lang w:val="mt-MT"/>
              </w:rPr>
              <w:t>rogramme</w:t>
            </w:r>
          </w:p>
          <w:p w14:paraId="5A31307E" w14:textId="77777777" w:rsidR="00FC03B4" w:rsidRPr="007C4BD5" w:rsidRDefault="00FC03B4" w:rsidP="00130541">
            <w:pPr>
              <w:spacing w:before="120" w:after="120"/>
              <w:contextualSpacing/>
              <w:jc w:val="center"/>
              <w:rPr>
                <w:rFonts w:ascii="Times New Roman" w:hAnsi="Times New Roman" w:cs="Times New Roman"/>
                <w:noProof/>
                <w:color w:val="000000" w:themeColor="text1"/>
                <w:lang w:val="mt-MT"/>
              </w:rPr>
            </w:pPr>
            <w:r w:rsidRPr="007C4BD5">
              <w:rPr>
                <w:rFonts w:ascii="Times New Roman" w:hAnsi="Times New Roman" w:cs="Times New Roman"/>
                <w:noProof/>
                <w:color w:val="000000" w:themeColor="text1"/>
                <w:lang w:val="mt-MT"/>
              </w:rPr>
              <w:t>(EUR)</w:t>
            </w:r>
          </w:p>
        </w:tc>
        <w:tc>
          <w:tcPr>
            <w:tcW w:w="2162" w:type="dxa"/>
            <w:tcBorders>
              <w:top w:val="single" w:sz="4" w:space="0" w:color="auto"/>
              <w:bottom w:val="single" w:sz="4" w:space="0" w:color="auto"/>
              <w:right w:val="single" w:sz="4" w:space="0" w:color="auto"/>
            </w:tcBorders>
            <w:vAlign w:val="center"/>
          </w:tcPr>
          <w:p w14:paraId="2C1E40E5" w14:textId="77777777" w:rsidR="00FC03B4" w:rsidRPr="007C4BD5" w:rsidRDefault="00FC03B4" w:rsidP="00130541">
            <w:pPr>
              <w:spacing w:before="120" w:after="120"/>
              <w:contextualSpacing/>
              <w:jc w:val="center"/>
              <w:rPr>
                <w:rFonts w:ascii="Times New Roman" w:hAnsi="Times New Roman" w:cs="Times New Roman"/>
                <w:noProof/>
                <w:color w:val="000000" w:themeColor="text1"/>
                <w:lang w:val="mt-MT"/>
              </w:rPr>
            </w:pPr>
            <w:r w:rsidRPr="007C4BD5">
              <w:rPr>
                <w:rFonts w:ascii="Times New Roman" w:hAnsi="Times New Roman" w:cs="Times New Roman"/>
                <w:noProof/>
                <w:color w:val="000000" w:themeColor="text1"/>
                <w:lang w:val="mt-MT"/>
              </w:rPr>
              <w:t>Total</w:t>
            </w:r>
          </w:p>
          <w:p w14:paraId="1FAC52FB" w14:textId="77777777" w:rsidR="00FC03B4" w:rsidRPr="007C4BD5" w:rsidRDefault="00FC03B4" w:rsidP="00130541">
            <w:pPr>
              <w:spacing w:before="120" w:after="120"/>
              <w:contextualSpacing/>
              <w:jc w:val="center"/>
              <w:rPr>
                <w:rFonts w:ascii="Times New Roman" w:hAnsi="Times New Roman" w:cs="Times New Roman"/>
                <w:noProof/>
                <w:color w:val="000000" w:themeColor="text1"/>
                <w:lang w:val="mt-MT"/>
              </w:rPr>
            </w:pPr>
            <w:r w:rsidRPr="007C4BD5">
              <w:rPr>
                <w:rFonts w:ascii="Times New Roman" w:hAnsi="Times New Roman" w:cs="Times New Roman"/>
                <w:noProof/>
                <w:color w:val="000000" w:themeColor="text1"/>
                <w:lang w:val="mt-MT"/>
              </w:rPr>
              <w:t>(EUR)</w:t>
            </w:r>
          </w:p>
        </w:tc>
      </w:tr>
      <w:tr w:rsidR="00FC03B4" w:rsidRPr="00B977EA" w14:paraId="00C30A73" w14:textId="77777777" w:rsidTr="00130541">
        <w:tc>
          <w:tcPr>
            <w:tcW w:w="2802" w:type="dxa"/>
            <w:tcBorders>
              <w:top w:val="single" w:sz="4" w:space="0" w:color="auto"/>
              <w:left w:val="single" w:sz="4" w:space="0" w:color="auto"/>
              <w:bottom w:val="single" w:sz="4" w:space="0" w:color="auto"/>
            </w:tcBorders>
            <w:vAlign w:val="center"/>
          </w:tcPr>
          <w:p w14:paraId="3BE6B741" w14:textId="77777777" w:rsidR="00FC03B4" w:rsidRPr="007C4BD5" w:rsidRDefault="00FC03B4" w:rsidP="00130541">
            <w:pPr>
              <w:spacing w:before="120" w:after="120"/>
              <w:jc w:val="both"/>
              <w:rPr>
                <w:rFonts w:ascii="Times New Roman" w:hAnsi="Times New Roman" w:cs="Times New Roman"/>
                <w:noProof/>
                <w:color w:val="000000" w:themeColor="text1"/>
                <w:lang w:val="mt-MT"/>
              </w:rPr>
            </w:pPr>
            <w:r w:rsidRPr="007C4BD5">
              <w:rPr>
                <w:rFonts w:ascii="Times New Roman" w:hAnsi="Times New Roman" w:cs="Times New Roman"/>
                <w:noProof/>
                <w:color w:val="000000" w:themeColor="text1"/>
                <w:lang w:val="mt-MT"/>
              </w:rPr>
              <w:t>Direct actions (fission only)</w:t>
            </w:r>
          </w:p>
        </w:tc>
        <w:tc>
          <w:tcPr>
            <w:tcW w:w="2162" w:type="dxa"/>
            <w:tcBorders>
              <w:top w:val="single" w:sz="4" w:space="0" w:color="auto"/>
              <w:bottom w:val="single" w:sz="4" w:space="0" w:color="auto"/>
            </w:tcBorders>
            <w:vAlign w:val="center"/>
          </w:tcPr>
          <w:p w14:paraId="1D1101AC" w14:textId="77777777" w:rsidR="00FC03B4" w:rsidRPr="007C4BD5" w:rsidRDefault="00FC03B4" w:rsidP="00F658D0">
            <w:pPr>
              <w:spacing w:before="120" w:after="120"/>
              <w:ind w:right="397"/>
              <w:jc w:val="right"/>
              <w:rPr>
                <w:rFonts w:ascii="Times New Roman" w:hAnsi="Times New Roman" w:cs="Times New Roman"/>
                <w:noProof/>
                <w:color w:val="000000" w:themeColor="text1"/>
                <w:lang w:val="mt-MT"/>
              </w:rPr>
            </w:pPr>
            <w:r w:rsidRPr="007C4BD5">
              <w:rPr>
                <w:rFonts w:ascii="Times New Roman" w:hAnsi="Times New Roman" w:cs="Times New Roman"/>
                <w:noProof/>
                <w:color w:val="000000" w:themeColor="text1"/>
                <w:lang w:val="mt-MT"/>
              </w:rPr>
              <w:t>559 562 000</w:t>
            </w:r>
          </w:p>
        </w:tc>
        <w:tc>
          <w:tcPr>
            <w:tcW w:w="2162" w:type="dxa"/>
            <w:tcBorders>
              <w:top w:val="single" w:sz="4" w:space="0" w:color="auto"/>
              <w:bottom w:val="single" w:sz="4" w:space="0" w:color="auto"/>
            </w:tcBorders>
            <w:vAlign w:val="center"/>
          </w:tcPr>
          <w:p w14:paraId="3079DAC8" w14:textId="77777777" w:rsidR="00FC03B4" w:rsidRPr="007C4BD5" w:rsidRDefault="00FC03B4" w:rsidP="00F658D0">
            <w:pPr>
              <w:spacing w:before="120" w:after="120"/>
              <w:ind w:right="397"/>
              <w:jc w:val="right"/>
              <w:rPr>
                <w:rFonts w:ascii="Times New Roman" w:hAnsi="Times New Roman" w:cs="Times New Roman"/>
                <w:noProof/>
                <w:color w:val="000000" w:themeColor="text1"/>
                <w:lang w:val="mt-MT"/>
              </w:rPr>
            </w:pPr>
            <w:r w:rsidRPr="007C4BD5">
              <w:rPr>
                <w:rFonts w:ascii="Times New Roman" w:hAnsi="Times New Roman" w:cs="Times New Roman"/>
                <w:noProof/>
                <w:color w:val="000000" w:themeColor="text1"/>
                <w:lang w:val="mt-MT"/>
              </w:rPr>
              <w:t>268 807 000</w:t>
            </w:r>
          </w:p>
        </w:tc>
        <w:tc>
          <w:tcPr>
            <w:tcW w:w="2162" w:type="dxa"/>
            <w:tcBorders>
              <w:top w:val="single" w:sz="4" w:space="0" w:color="auto"/>
              <w:left w:val="nil"/>
              <w:bottom w:val="single" w:sz="4" w:space="0" w:color="auto"/>
              <w:right w:val="single" w:sz="4" w:space="0" w:color="auto"/>
            </w:tcBorders>
            <w:shd w:val="clear" w:color="auto" w:fill="auto"/>
            <w:vAlign w:val="center"/>
          </w:tcPr>
          <w:p w14:paraId="4DCB0671" w14:textId="77777777" w:rsidR="00FC03B4" w:rsidRPr="007C4BD5" w:rsidRDefault="00FC03B4" w:rsidP="00F658D0">
            <w:pPr>
              <w:spacing w:before="120" w:after="120"/>
              <w:ind w:right="397"/>
              <w:jc w:val="right"/>
              <w:rPr>
                <w:rFonts w:ascii="Times New Roman" w:hAnsi="Times New Roman" w:cs="Times New Roman"/>
                <w:noProof/>
                <w:color w:val="000000" w:themeColor="text1"/>
                <w:lang w:val="mt-MT"/>
              </w:rPr>
            </w:pPr>
            <w:r w:rsidRPr="007C4BD5">
              <w:rPr>
                <w:rFonts w:ascii="Times New Roman" w:hAnsi="Times New Roman" w:cs="Times New Roman"/>
                <w:noProof/>
                <w:color w:val="000000" w:themeColor="text1"/>
                <w:lang w:val="mt-MT"/>
              </w:rPr>
              <w:t>828 369 000</w:t>
            </w:r>
          </w:p>
        </w:tc>
      </w:tr>
      <w:tr w:rsidR="00FC03B4" w:rsidRPr="00B977EA" w14:paraId="2A7F35AE" w14:textId="77777777" w:rsidTr="00130541">
        <w:tc>
          <w:tcPr>
            <w:tcW w:w="2802" w:type="dxa"/>
            <w:tcBorders>
              <w:top w:val="single" w:sz="4" w:space="0" w:color="auto"/>
              <w:left w:val="single" w:sz="4" w:space="0" w:color="auto"/>
              <w:bottom w:val="single" w:sz="4" w:space="0" w:color="auto"/>
            </w:tcBorders>
            <w:vAlign w:val="center"/>
          </w:tcPr>
          <w:p w14:paraId="557498BF" w14:textId="77777777" w:rsidR="00FC03B4" w:rsidRPr="007C4BD5" w:rsidRDefault="00FC03B4" w:rsidP="00130541">
            <w:pPr>
              <w:spacing w:before="120" w:after="120"/>
              <w:jc w:val="both"/>
              <w:rPr>
                <w:rFonts w:ascii="Times New Roman" w:hAnsi="Times New Roman" w:cs="Times New Roman"/>
                <w:noProof/>
                <w:color w:val="000000" w:themeColor="text1"/>
                <w:lang w:val="mt-MT"/>
              </w:rPr>
            </w:pPr>
            <w:r w:rsidRPr="007C4BD5">
              <w:rPr>
                <w:rFonts w:ascii="Times New Roman" w:hAnsi="Times New Roman" w:cs="Times New Roman"/>
                <w:noProof/>
                <w:color w:val="000000" w:themeColor="text1"/>
                <w:lang w:val="mt-MT"/>
              </w:rPr>
              <w:t>Indirect actions (fission)</w:t>
            </w:r>
          </w:p>
        </w:tc>
        <w:tc>
          <w:tcPr>
            <w:tcW w:w="2162" w:type="dxa"/>
            <w:tcBorders>
              <w:top w:val="single" w:sz="4" w:space="0" w:color="auto"/>
              <w:bottom w:val="single" w:sz="4" w:space="0" w:color="auto"/>
            </w:tcBorders>
            <w:vAlign w:val="center"/>
          </w:tcPr>
          <w:p w14:paraId="7514AF5A" w14:textId="77777777" w:rsidR="00FC03B4" w:rsidRPr="007C4BD5" w:rsidRDefault="00FC03B4" w:rsidP="00F658D0">
            <w:pPr>
              <w:spacing w:before="120" w:after="120"/>
              <w:ind w:right="397"/>
              <w:jc w:val="right"/>
              <w:rPr>
                <w:rFonts w:ascii="Times New Roman" w:hAnsi="Times New Roman" w:cs="Times New Roman"/>
                <w:noProof/>
                <w:color w:val="000000" w:themeColor="text1"/>
                <w:lang w:val="mt-MT"/>
              </w:rPr>
            </w:pPr>
            <w:r w:rsidRPr="007C4BD5">
              <w:rPr>
                <w:rFonts w:ascii="Times New Roman" w:hAnsi="Times New Roman" w:cs="Times New Roman"/>
                <w:noProof/>
                <w:color w:val="000000" w:themeColor="text1"/>
                <w:lang w:val="mt-MT"/>
              </w:rPr>
              <w:t>315 535 000</w:t>
            </w:r>
          </w:p>
        </w:tc>
        <w:tc>
          <w:tcPr>
            <w:tcW w:w="2162" w:type="dxa"/>
            <w:tcBorders>
              <w:top w:val="single" w:sz="4" w:space="0" w:color="auto"/>
              <w:bottom w:val="single" w:sz="4" w:space="0" w:color="auto"/>
            </w:tcBorders>
            <w:vAlign w:val="center"/>
          </w:tcPr>
          <w:p w14:paraId="3597FE71" w14:textId="77777777" w:rsidR="00FC03B4" w:rsidRPr="007C4BD5" w:rsidRDefault="00FC03B4" w:rsidP="00F658D0">
            <w:pPr>
              <w:spacing w:before="120" w:after="120"/>
              <w:ind w:right="397"/>
              <w:jc w:val="right"/>
              <w:rPr>
                <w:rFonts w:ascii="Times New Roman" w:hAnsi="Times New Roman" w:cs="Times New Roman"/>
                <w:noProof/>
                <w:color w:val="000000" w:themeColor="text1"/>
                <w:lang w:val="mt-MT"/>
              </w:rPr>
            </w:pPr>
            <w:r w:rsidRPr="007C4BD5">
              <w:rPr>
                <w:rFonts w:ascii="Times New Roman" w:hAnsi="Times New Roman" w:cs="Times New Roman"/>
                <w:noProof/>
                <w:color w:val="000000" w:themeColor="text1"/>
                <w:lang w:val="mt-MT"/>
              </w:rPr>
              <w:t>151 579 000</w:t>
            </w:r>
          </w:p>
        </w:tc>
        <w:tc>
          <w:tcPr>
            <w:tcW w:w="2162" w:type="dxa"/>
            <w:tcBorders>
              <w:top w:val="single" w:sz="4" w:space="0" w:color="auto"/>
              <w:left w:val="nil"/>
              <w:bottom w:val="single" w:sz="4" w:space="0" w:color="auto"/>
              <w:right w:val="single" w:sz="4" w:space="0" w:color="auto"/>
            </w:tcBorders>
            <w:shd w:val="clear" w:color="auto" w:fill="auto"/>
            <w:vAlign w:val="center"/>
          </w:tcPr>
          <w:p w14:paraId="2308FA83" w14:textId="77777777" w:rsidR="00FC03B4" w:rsidRPr="007C4BD5" w:rsidRDefault="00FC03B4" w:rsidP="00F658D0">
            <w:pPr>
              <w:spacing w:before="120" w:after="120"/>
              <w:ind w:right="397"/>
              <w:jc w:val="right"/>
              <w:rPr>
                <w:rFonts w:ascii="Times New Roman" w:hAnsi="Times New Roman" w:cs="Times New Roman"/>
                <w:noProof/>
                <w:color w:val="000000" w:themeColor="text1"/>
                <w:lang w:val="mt-MT"/>
              </w:rPr>
            </w:pPr>
            <w:r w:rsidRPr="007C4BD5">
              <w:rPr>
                <w:rFonts w:ascii="Times New Roman" w:hAnsi="Times New Roman" w:cs="Times New Roman"/>
                <w:noProof/>
                <w:color w:val="000000" w:themeColor="text1"/>
                <w:lang w:val="mt-MT"/>
              </w:rPr>
              <w:t>467 114 000</w:t>
            </w:r>
          </w:p>
        </w:tc>
      </w:tr>
      <w:tr w:rsidR="00FC03B4" w:rsidRPr="00B977EA" w14:paraId="1A369281" w14:textId="77777777" w:rsidTr="00130541">
        <w:tc>
          <w:tcPr>
            <w:tcW w:w="2802" w:type="dxa"/>
            <w:tcBorders>
              <w:top w:val="single" w:sz="4" w:space="0" w:color="auto"/>
              <w:left w:val="single" w:sz="4" w:space="0" w:color="auto"/>
              <w:bottom w:val="single" w:sz="4" w:space="0" w:color="auto"/>
            </w:tcBorders>
            <w:vAlign w:val="center"/>
          </w:tcPr>
          <w:p w14:paraId="6D3B0FA0" w14:textId="77777777" w:rsidR="00FC03B4" w:rsidRPr="007C4BD5" w:rsidRDefault="00FC03B4" w:rsidP="00130541">
            <w:pPr>
              <w:spacing w:before="120" w:after="120"/>
              <w:jc w:val="both"/>
              <w:rPr>
                <w:rFonts w:ascii="Times New Roman" w:hAnsi="Times New Roman" w:cs="Times New Roman"/>
                <w:noProof/>
                <w:color w:val="000000" w:themeColor="text1"/>
                <w:lang w:val="mt-MT"/>
              </w:rPr>
            </w:pPr>
            <w:r w:rsidRPr="007C4BD5">
              <w:rPr>
                <w:rFonts w:ascii="Times New Roman" w:hAnsi="Times New Roman" w:cs="Times New Roman"/>
                <w:noProof/>
                <w:color w:val="000000" w:themeColor="text1"/>
                <w:lang w:val="mt-MT"/>
              </w:rPr>
              <w:t>Indirect actions (fusion)</w:t>
            </w:r>
          </w:p>
        </w:tc>
        <w:tc>
          <w:tcPr>
            <w:tcW w:w="2162" w:type="dxa"/>
            <w:tcBorders>
              <w:top w:val="single" w:sz="4" w:space="0" w:color="auto"/>
              <w:bottom w:val="single" w:sz="4" w:space="0" w:color="auto"/>
            </w:tcBorders>
            <w:vAlign w:val="center"/>
          </w:tcPr>
          <w:p w14:paraId="0DD36EE7" w14:textId="77777777" w:rsidR="00FC03B4" w:rsidRPr="007C4BD5" w:rsidRDefault="00FC03B4" w:rsidP="00F658D0">
            <w:pPr>
              <w:spacing w:before="120" w:after="120"/>
              <w:ind w:right="397"/>
              <w:jc w:val="right"/>
              <w:rPr>
                <w:rFonts w:ascii="Times New Roman" w:hAnsi="Times New Roman" w:cs="Times New Roman"/>
                <w:noProof/>
                <w:color w:val="000000" w:themeColor="text1"/>
                <w:lang w:val="mt-MT"/>
              </w:rPr>
            </w:pPr>
            <w:r w:rsidRPr="007C4BD5">
              <w:rPr>
                <w:rFonts w:ascii="Times New Roman" w:hAnsi="Times New Roman" w:cs="Times New Roman"/>
                <w:noProof/>
                <w:color w:val="000000" w:themeColor="text1"/>
                <w:lang w:val="mt-MT"/>
              </w:rPr>
              <w:t>728 232 000</w:t>
            </w:r>
          </w:p>
        </w:tc>
        <w:tc>
          <w:tcPr>
            <w:tcW w:w="2162" w:type="dxa"/>
            <w:tcBorders>
              <w:top w:val="single" w:sz="4" w:space="0" w:color="auto"/>
              <w:bottom w:val="single" w:sz="4" w:space="0" w:color="auto"/>
            </w:tcBorders>
            <w:vAlign w:val="center"/>
          </w:tcPr>
          <w:p w14:paraId="03525E7A" w14:textId="77777777" w:rsidR="00FC03B4" w:rsidRPr="007C4BD5" w:rsidRDefault="00FC03B4" w:rsidP="00F658D0">
            <w:pPr>
              <w:spacing w:before="120" w:after="120"/>
              <w:ind w:right="397"/>
              <w:jc w:val="right"/>
              <w:rPr>
                <w:rFonts w:ascii="Times New Roman" w:hAnsi="Times New Roman" w:cs="Times New Roman"/>
                <w:noProof/>
                <w:color w:val="000000" w:themeColor="text1"/>
                <w:lang w:val="mt-MT"/>
              </w:rPr>
            </w:pPr>
            <w:r w:rsidRPr="007C4BD5">
              <w:rPr>
                <w:rFonts w:ascii="Times New Roman" w:hAnsi="Times New Roman" w:cs="Times New Roman"/>
                <w:noProof/>
                <w:color w:val="000000" w:themeColor="text1"/>
                <w:lang w:val="mt-MT"/>
              </w:rPr>
              <w:t>349 834 000</w:t>
            </w:r>
          </w:p>
        </w:tc>
        <w:tc>
          <w:tcPr>
            <w:tcW w:w="2162" w:type="dxa"/>
            <w:tcBorders>
              <w:top w:val="single" w:sz="4" w:space="0" w:color="auto"/>
              <w:left w:val="nil"/>
              <w:bottom w:val="single" w:sz="4" w:space="0" w:color="auto"/>
              <w:right w:val="single" w:sz="4" w:space="0" w:color="auto"/>
            </w:tcBorders>
            <w:shd w:val="clear" w:color="auto" w:fill="auto"/>
            <w:vAlign w:val="center"/>
          </w:tcPr>
          <w:p w14:paraId="09FF1789" w14:textId="77777777" w:rsidR="00FC03B4" w:rsidRPr="007C4BD5" w:rsidRDefault="00FC03B4" w:rsidP="00F658D0">
            <w:pPr>
              <w:spacing w:before="120" w:after="120"/>
              <w:ind w:right="397"/>
              <w:jc w:val="right"/>
              <w:rPr>
                <w:rFonts w:ascii="Times New Roman" w:hAnsi="Times New Roman" w:cs="Times New Roman"/>
                <w:noProof/>
                <w:color w:val="000000" w:themeColor="text1"/>
                <w:lang w:val="mt-MT"/>
              </w:rPr>
            </w:pPr>
            <w:r w:rsidRPr="007C4BD5">
              <w:rPr>
                <w:rFonts w:ascii="Times New Roman" w:hAnsi="Times New Roman" w:cs="Times New Roman"/>
                <w:noProof/>
                <w:color w:val="000000" w:themeColor="text1"/>
                <w:lang w:val="mt-MT"/>
              </w:rPr>
              <w:t>1 078 066 000</w:t>
            </w:r>
          </w:p>
        </w:tc>
      </w:tr>
      <w:tr w:rsidR="00FC03B4" w:rsidRPr="00B977EA" w14:paraId="4BAF2A56" w14:textId="77777777" w:rsidTr="00130541">
        <w:tc>
          <w:tcPr>
            <w:tcW w:w="2802" w:type="dxa"/>
            <w:tcBorders>
              <w:top w:val="single" w:sz="4" w:space="0" w:color="auto"/>
              <w:left w:val="single" w:sz="4" w:space="0" w:color="auto"/>
              <w:bottom w:val="single" w:sz="4" w:space="0" w:color="auto"/>
            </w:tcBorders>
            <w:vAlign w:val="center"/>
          </w:tcPr>
          <w:p w14:paraId="3A9F1E05" w14:textId="77777777" w:rsidR="00FC03B4" w:rsidRPr="007C4BD5" w:rsidRDefault="00FC03B4" w:rsidP="00130541">
            <w:pPr>
              <w:spacing w:before="120" w:after="120"/>
              <w:jc w:val="both"/>
              <w:rPr>
                <w:rFonts w:ascii="Times New Roman" w:hAnsi="Times New Roman" w:cs="Times New Roman"/>
                <w:i/>
                <w:iCs/>
                <w:noProof/>
                <w:color w:val="000000" w:themeColor="text1"/>
                <w:lang w:val="mt-MT"/>
              </w:rPr>
            </w:pPr>
            <w:r w:rsidRPr="007C4BD5">
              <w:rPr>
                <w:rFonts w:ascii="Times New Roman" w:hAnsi="Times New Roman" w:cs="Times New Roman"/>
                <w:i/>
                <w:iCs/>
                <w:noProof/>
                <w:color w:val="000000" w:themeColor="text1"/>
                <w:lang w:val="mt-MT"/>
              </w:rPr>
              <w:t xml:space="preserve">Total </w:t>
            </w:r>
          </w:p>
        </w:tc>
        <w:tc>
          <w:tcPr>
            <w:tcW w:w="2162" w:type="dxa"/>
            <w:tcBorders>
              <w:top w:val="single" w:sz="4" w:space="0" w:color="auto"/>
              <w:bottom w:val="single" w:sz="4" w:space="0" w:color="auto"/>
            </w:tcBorders>
            <w:vAlign w:val="center"/>
          </w:tcPr>
          <w:p w14:paraId="054F7522" w14:textId="77777777" w:rsidR="00FC03B4" w:rsidRPr="007C4BD5" w:rsidRDefault="00FC03B4" w:rsidP="00F658D0">
            <w:pPr>
              <w:spacing w:before="120" w:after="120"/>
              <w:ind w:right="397"/>
              <w:jc w:val="right"/>
              <w:rPr>
                <w:rFonts w:ascii="Times New Roman" w:hAnsi="Times New Roman" w:cs="Times New Roman"/>
                <w:i/>
                <w:iCs/>
                <w:noProof/>
                <w:color w:val="000000" w:themeColor="text1"/>
                <w:lang w:val="mt-MT"/>
              </w:rPr>
            </w:pPr>
            <w:r w:rsidRPr="007C4BD5">
              <w:rPr>
                <w:rFonts w:ascii="Times New Roman" w:hAnsi="Times New Roman" w:cs="Times New Roman"/>
                <w:i/>
                <w:iCs/>
                <w:noProof/>
                <w:color w:val="000000" w:themeColor="text1"/>
                <w:lang w:val="mt-MT"/>
              </w:rPr>
              <w:t>1 603 329 000</w:t>
            </w:r>
          </w:p>
        </w:tc>
        <w:tc>
          <w:tcPr>
            <w:tcW w:w="2162" w:type="dxa"/>
            <w:tcBorders>
              <w:top w:val="single" w:sz="4" w:space="0" w:color="auto"/>
              <w:bottom w:val="single" w:sz="4" w:space="0" w:color="auto"/>
            </w:tcBorders>
            <w:vAlign w:val="center"/>
          </w:tcPr>
          <w:p w14:paraId="544D43E9" w14:textId="77777777" w:rsidR="00FC03B4" w:rsidRPr="007C4BD5" w:rsidRDefault="00FC03B4" w:rsidP="00F658D0">
            <w:pPr>
              <w:spacing w:before="120" w:after="120"/>
              <w:ind w:right="397"/>
              <w:jc w:val="right"/>
              <w:rPr>
                <w:rFonts w:ascii="Times New Roman" w:hAnsi="Times New Roman" w:cs="Times New Roman"/>
                <w:i/>
                <w:iCs/>
                <w:noProof/>
                <w:color w:val="000000" w:themeColor="text1"/>
                <w:lang w:val="mt-MT"/>
              </w:rPr>
            </w:pPr>
            <w:r w:rsidRPr="007C4BD5">
              <w:rPr>
                <w:rFonts w:ascii="Times New Roman" w:hAnsi="Times New Roman" w:cs="Times New Roman"/>
                <w:i/>
                <w:iCs/>
                <w:noProof/>
                <w:color w:val="000000" w:themeColor="text1"/>
                <w:lang w:val="mt-MT"/>
              </w:rPr>
              <w:t>770 220 000</w:t>
            </w:r>
          </w:p>
        </w:tc>
        <w:tc>
          <w:tcPr>
            <w:tcW w:w="2162" w:type="dxa"/>
            <w:tcBorders>
              <w:top w:val="single" w:sz="4" w:space="0" w:color="auto"/>
              <w:left w:val="nil"/>
              <w:bottom w:val="single" w:sz="4" w:space="0" w:color="auto"/>
              <w:right w:val="single" w:sz="4" w:space="0" w:color="auto"/>
            </w:tcBorders>
            <w:shd w:val="clear" w:color="auto" w:fill="auto"/>
            <w:vAlign w:val="center"/>
          </w:tcPr>
          <w:p w14:paraId="33332214" w14:textId="77777777" w:rsidR="00FC03B4" w:rsidRPr="007C4BD5" w:rsidRDefault="00FC03B4" w:rsidP="00F658D0">
            <w:pPr>
              <w:spacing w:before="120" w:after="120"/>
              <w:ind w:right="397"/>
              <w:jc w:val="right"/>
              <w:rPr>
                <w:rFonts w:ascii="Times New Roman" w:hAnsi="Times New Roman" w:cs="Times New Roman"/>
                <w:i/>
                <w:iCs/>
                <w:noProof/>
                <w:color w:val="000000" w:themeColor="text1"/>
                <w:lang w:val="mt-MT"/>
              </w:rPr>
            </w:pPr>
            <w:r w:rsidRPr="007C4BD5">
              <w:rPr>
                <w:rFonts w:ascii="Times New Roman" w:hAnsi="Times New Roman" w:cs="Times New Roman"/>
                <w:i/>
                <w:iCs/>
                <w:noProof/>
                <w:color w:val="000000" w:themeColor="text1"/>
                <w:lang w:val="mt-MT"/>
              </w:rPr>
              <w:t>2 373 549 000</w:t>
            </w:r>
          </w:p>
        </w:tc>
      </w:tr>
    </w:tbl>
    <w:p w14:paraId="75911781" w14:textId="1EF47626" w:rsidR="00FC03B4" w:rsidRPr="001E3C9B" w:rsidRDefault="00FC03B4" w:rsidP="00700A71">
      <w:pPr>
        <w:spacing w:after="120"/>
        <w:jc w:val="both"/>
        <w:rPr>
          <w:rFonts w:ascii="Times New Roman" w:hAnsi="Times New Roman" w:cs="Times New Roman"/>
          <w:noProof/>
          <w:sz w:val="24"/>
          <w:szCs w:val="24"/>
        </w:rPr>
      </w:pPr>
    </w:p>
    <w:p w14:paraId="35899BFE" w14:textId="4B8B62B8" w:rsidR="00700A71" w:rsidRDefault="00933DC6" w:rsidP="00700A71">
      <w:pPr>
        <w:spacing w:after="120"/>
        <w:jc w:val="both"/>
        <w:rPr>
          <w:rFonts w:ascii="Times New Roman" w:hAnsi="Times New Roman" w:cs="Times New Roman"/>
          <w:noProof/>
          <w:sz w:val="24"/>
          <w:szCs w:val="24"/>
        </w:rPr>
      </w:pPr>
      <w:r>
        <w:rPr>
          <w:rFonts w:ascii="Times New Roman" w:hAnsi="Times New Roman" w:cs="Times New Roman"/>
          <w:noProof/>
          <w:sz w:val="24"/>
          <w:szCs w:val="24"/>
        </w:rPr>
        <w:pict w14:anchorId="63F53A37">
          <v:shapetype id="_x0000_t202" coordsize="21600,21600" o:spt="202" path="m,l,21600r21600,l21600,xe">
            <v:stroke joinstyle="miter"/>
            <v:path gradientshapeok="t" o:connecttype="rect"/>
          </v:shapetype>
          <v:shape id="Text Box 2" o:spid="_x0000_s2053" type="#_x0000_t202" style="position:absolute;left:0;text-align:left;margin-left:-2.95pt;margin-top:139.9pt;width:456.35pt;height:189.6pt;z-index:251658240;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9FvDwIAACAEAAAOAAAAZHJzL2Uyb0RvYy54bWysU9tu2zAMfR+wfxD0vjgx4qYx4hRdugwD&#10;ugvQ7QMUWY6FyaJGKbG7rx+luGl2wR6G6UEgReqQPCRXN0Nn2FGh12ArPptMOVNWQq3tvuJfPm9f&#10;XXPmg7C1MGBVxR+V5zfrly9WvStVDi2YWiEjEOvL3lW8DcGVWeZlqzrhJ+CUJWMD2IlAKu6zGkVP&#10;6J3J8un0KusBa4cglff0ency8nXCbxolw8em8SowU3HKLaQb072Ld7ZeiXKPwrVajmmIf8iiE9pS&#10;0DPUnQiCHVD/BtVpieChCRMJXQZNo6VKNVA1s+kv1Ty0wqlUC5Hj3Zkm//9g5Yfjg/uELAyvYaAG&#10;piK8uwf51TMLm1bYvbpFhL5VoqbAs0hZ1jtfjl8j1b70EWTXv4eamiwOARLQ0GAXWaE6GaFTAx7P&#10;pKshMEmPxWJZXM0LziTZ8rxYzPMixRDl03eHPrxV0LEoVBypqwleHO99iOmI8sklRvNgdL3VxiQF&#10;97uNQXYUNAHbdEb0n9yMZX3FlwXF/jvENJ0/QXQ60Cgb3VX8+uwkysjbG1unQQtCm5NMKRs7Ehm5&#10;O7EYht1AjpHQHdSPRCnCaWRpxUhoAb9z1tO4Vtx/OwhUnJl3ltqynM3ncb6TMi8WOSl4adldWoSV&#10;BFXxwNlJ3IS0E7F0C7fUvkYnYp8zGXOlMUx8jysT5/xST17Pi73+AQAA//8DAFBLAwQUAAYACAAA&#10;ACEAfqaz++EAAAAMAQAADwAAAGRycy9kb3ducmV2LnhtbEyPy07DMBBF90j8gzVIbBC1W/JoQpwK&#10;IYFgBwXB1o3dJCIeB9tNw98zXcHyao7OvVNtZjuwyfjQO5SwXAhgBhune2wlvL89XK+BhahQq8Gh&#10;kfBjAmzq87NKldod8dVM29gykmAolYQuxrHkPDSdsSos3GiQbnvnrYoUfcu1V0eS24GvhMi4VT1S&#10;Q6dGc9+Z5mt7sBLWydP0GZ5vXj6abD8U8SqfHr+9lJcX890tsGjm+AfDaT5Nh5o27dwBdWAD5TRP&#10;CZWQJskS2IkQuVgB25G/KDLgdcX/P1H/AgAA//8DAFBLAQItABQABgAIAAAAIQC2gziS/gAAAOEB&#10;AAATAAAAAAAAAAAAAAAAAAAAAABbQ29udGVudF9UeXBlc10ueG1sUEsBAi0AFAAGAAgAAAAhADj9&#10;If/WAAAAlAEAAAsAAAAAAAAAAAAAAAAALwEAAF9yZWxzLy5yZWxzUEsBAi0AFAAGAAgAAAAhAPSP&#10;0W8PAgAAIAQAAA4AAAAAAAAAAAAAAAAALgIAAGRycy9lMm9Eb2MueG1sUEsBAi0AFAAGAAgAAAAh&#10;AH6ms/vhAAAADAEAAA8AAAAAAAAAAAAAAAAAaQQAAGRycy9kb3ducmV2LnhtbFBLBQYAAAAABAAE&#10;APMAAAB3BQAAAAA=&#10;">
            <v:textbox style="mso-next-textbox:#Text Box 2">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07"/>
                  </w:tblGrid>
                  <w:tr w:rsidR="00155721" w:rsidRPr="00724466" w14:paraId="51FEF2AD" w14:textId="77777777" w:rsidTr="00724466">
                    <w:trPr>
                      <w:trHeight w:val="416"/>
                    </w:trPr>
                    <w:tc>
                      <w:tcPr>
                        <w:tcW w:w="8815" w:type="dxa"/>
                        <w:gridSpan w:val="2"/>
                      </w:tcPr>
                      <w:p w14:paraId="3A22540B" w14:textId="6A603077" w:rsidR="00155721" w:rsidRPr="00724466" w:rsidRDefault="00155721" w:rsidP="00724466">
                        <w:pPr>
                          <w:suppressAutoHyphens/>
                          <w:spacing w:after="120"/>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Box 1. </w:t>
                        </w:r>
                        <w:r w:rsidRPr="00724466">
                          <w:rPr>
                            <w:rFonts w:ascii="Times New Roman" w:hAnsi="Times New Roman" w:cs="Times New Roman"/>
                            <w:b/>
                            <w:bCs/>
                            <w:sz w:val="20"/>
                            <w:szCs w:val="20"/>
                            <w:u w:val="single"/>
                          </w:rPr>
                          <w:t xml:space="preserve">Specific objectives for 2014-2020 Euratom </w:t>
                        </w:r>
                        <w:r w:rsidR="00A7033C">
                          <w:rPr>
                            <w:rFonts w:ascii="Times New Roman" w:hAnsi="Times New Roman" w:cs="Times New Roman"/>
                            <w:b/>
                            <w:bCs/>
                            <w:sz w:val="20"/>
                            <w:szCs w:val="20"/>
                            <w:u w:val="single"/>
                          </w:rPr>
                          <w:t>p</w:t>
                        </w:r>
                        <w:r w:rsidRPr="00724466">
                          <w:rPr>
                            <w:rFonts w:ascii="Times New Roman" w:hAnsi="Times New Roman" w:cs="Times New Roman"/>
                            <w:b/>
                            <w:bCs/>
                            <w:sz w:val="20"/>
                            <w:szCs w:val="20"/>
                            <w:u w:val="single"/>
                          </w:rPr>
                          <w:t>rogramme</w:t>
                        </w:r>
                        <w:r w:rsidR="00B8083A">
                          <w:rPr>
                            <w:rFonts w:ascii="Times New Roman" w:hAnsi="Times New Roman" w:cs="Times New Roman"/>
                            <w:b/>
                            <w:bCs/>
                            <w:sz w:val="20"/>
                            <w:szCs w:val="20"/>
                            <w:u w:val="single"/>
                          </w:rPr>
                          <w:t>s</w:t>
                        </w:r>
                      </w:p>
                    </w:tc>
                  </w:tr>
                  <w:tr w:rsidR="00155721" w:rsidRPr="00724466" w14:paraId="03DC86C0" w14:textId="77777777" w:rsidTr="00724466">
                    <w:trPr>
                      <w:trHeight w:val="1614"/>
                    </w:trPr>
                    <w:tc>
                      <w:tcPr>
                        <w:tcW w:w="4408" w:type="dxa"/>
                      </w:tcPr>
                      <w:p w14:paraId="3CB0B808" w14:textId="77777777" w:rsidR="00155721" w:rsidRPr="0031357F" w:rsidRDefault="00155721" w:rsidP="00E60561">
                        <w:pPr>
                          <w:suppressAutoHyphens/>
                          <w:spacing w:after="120"/>
                          <w:jc w:val="both"/>
                          <w:rPr>
                            <w:rFonts w:ascii="Times New Roman" w:hAnsi="Times New Roman" w:cs="Times New Roman"/>
                            <w:b/>
                            <w:bCs/>
                            <w:sz w:val="20"/>
                            <w:szCs w:val="20"/>
                          </w:rPr>
                        </w:pPr>
                        <w:r w:rsidRPr="0031357F">
                          <w:rPr>
                            <w:rFonts w:ascii="Times New Roman" w:hAnsi="Times New Roman" w:cs="Times New Roman"/>
                            <w:b/>
                            <w:bCs/>
                            <w:sz w:val="20"/>
                            <w:szCs w:val="20"/>
                          </w:rPr>
                          <w:t xml:space="preserve">Indirect actions (research grants) </w:t>
                        </w:r>
                      </w:p>
                      <w:p w14:paraId="6290D4EF" w14:textId="77777777" w:rsidR="00155721" w:rsidRPr="00724466" w:rsidRDefault="00155721" w:rsidP="00155721">
                        <w:pPr>
                          <w:pStyle w:val="ListParagraph"/>
                          <w:numPr>
                            <w:ilvl w:val="0"/>
                            <w:numId w:val="66"/>
                          </w:numPr>
                          <w:suppressAutoHyphens/>
                          <w:spacing w:after="120"/>
                          <w:contextualSpacing/>
                          <w:rPr>
                            <w:rFonts w:cs="Times New Roman"/>
                            <w:sz w:val="20"/>
                            <w:szCs w:val="20"/>
                          </w:rPr>
                        </w:pPr>
                        <w:bookmarkStart w:id="2" w:name="_Hlk173105281"/>
                        <w:r w:rsidRPr="00724466">
                          <w:rPr>
                            <w:rFonts w:cs="Times New Roman"/>
                            <w:sz w:val="20"/>
                            <w:szCs w:val="20"/>
                          </w:rPr>
                          <w:t>Safety of nuclear systems</w:t>
                        </w:r>
                      </w:p>
                      <w:p w14:paraId="6945C058" w14:textId="07303E2B" w:rsidR="00155721" w:rsidRPr="00724466" w:rsidRDefault="00155721" w:rsidP="00155721">
                        <w:pPr>
                          <w:pStyle w:val="ListParagraph"/>
                          <w:numPr>
                            <w:ilvl w:val="0"/>
                            <w:numId w:val="66"/>
                          </w:numPr>
                          <w:suppressAutoHyphens/>
                          <w:spacing w:after="120"/>
                          <w:contextualSpacing/>
                          <w:rPr>
                            <w:rFonts w:cs="Times New Roman"/>
                            <w:sz w:val="20"/>
                            <w:szCs w:val="20"/>
                          </w:rPr>
                        </w:pPr>
                        <w:r w:rsidRPr="00724466">
                          <w:rPr>
                            <w:rFonts w:cs="Times New Roman"/>
                            <w:sz w:val="20"/>
                            <w:szCs w:val="20"/>
                          </w:rPr>
                          <w:t xml:space="preserve">Solutions for the management of </w:t>
                        </w:r>
                        <w:r w:rsidR="00350063">
                          <w:rPr>
                            <w:rFonts w:cs="Times New Roman"/>
                            <w:sz w:val="20"/>
                            <w:szCs w:val="20"/>
                          </w:rPr>
                          <w:t>radioactive</w:t>
                        </w:r>
                        <w:r w:rsidR="00350063" w:rsidRPr="00724466">
                          <w:rPr>
                            <w:rFonts w:cs="Times New Roman"/>
                            <w:sz w:val="20"/>
                            <w:szCs w:val="20"/>
                          </w:rPr>
                          <w:t xml:space="preserve"> </w:t>
                        </w:r>
                        <w:r w:rsidRPr="00724466">
                          <w:rPr>
                            <w:rFonts w:cs="Times New Roman"/>
                            <w:sz w:val="20"/>
                            <w:szCs w:val="20"/>
                          </w:rPr>
                          <w:t>waste</w:t>
                        </w:r>
                      </w:p>
                      <w:p w14:paraId="33F0E2E9" w14:textId="60CDB18A" w:rsidR="00155721" w:rsidRPr="00724466" w:rsidRDefault="00155721" w:rsidP="00155721">
                        <w:pPr>
                          <w:pStyle w:val="ListParagraph"/>
                          <w:numPr>
                            <w:ilvl w:val="0"/>
                            <w:numId w:val="66"/>
                          </w:numPr>
                          <w:suppressAutoHyphens/>
                          <w:spacing w:after="120"/>
                          <w:contextualSpacing/>
                          <w:rPr>
                            <w:rFonts w:cs="Times New Roman"/>
                            <w:sz w:val="20"/>
                            <w:szCs w:val="20"/>
                          </w:rPr>
                        </w:pPr>
                        <w:r w:rsidRPr="00724466">
                          <w:rPr>
                            <w:rFonts w:cs="Times New Roman"/>
                            <w:sz w:val="20"/>
                            <w:szCs w:val="20"/>
                          </w:rPr>
                          <w:t xml:space="preserve">Nuclear expertise and excellence in the </w:t>
                        </w:r>
                        <w:r w:rsidR="00A7033C">
                          <w:rPr>
                            <w:rFonts w:cs="Times New Roman"/>
                            <w:sz w:val="20"/>
                            <w:szCs w:val="20"/>
                          </w:rPr>
                          <w:t>EU</w:t>
                        </w:r>
                      </w:p>
                      <w:p w14:paraId="3B3DD08C" w14:textId="77777777" w:rsidR="00155721" w:rsidRPr="00724466" w:rsidRDefault="00155721" w:rsidP="00155721">
                        <w:pPr>
                          <w:pStyle w:val="ListParagraph"/>
                          <w:numPr>
                            <w:ilvl w:val="0"/>
                            <w:numId w:val="66"/>
                          </w:numPr>
                          <w:suppressAutoHyphens/>
                          <w:spacing w:after="120"/>
                          <w:contextualSpacing/>
                          <w:rPr>
                            <w:rFonts w:cs="Times New Roman"/>
                            <w:sz w:val="20"/>
                            <w:szCs w:val="20"/>
                          </w:rPr>
                        </w:pPr>
                        <w:r w:rsidRPr="00724466">
                          <w:rPr>
                            <w:rFonts w:cs="Times New Roman"/>
                            <w:sz w:val="20"/>
                            <w:szCs w:val="20"/>
                          </w:rPr>
                          <w:t>Radiation protection and medical applications of radiation</w:t>
                        </w:r>
                      </w:p>
                      <w:p w14:paraId="4D7664C6" w14:textId="77777777" w:rsidR="00155721" w:rsidRPr="00724466" w:rsidRDefault="00155721" w:rsidP="00155721">
                        <w:pPr>
                          <w:pStyle w:val="ListParagraph"/>
                          <w:numPr>
                            <w:ilvl w:val="0"/>
                            <w:numId w:val="66"/>
                          </w:numPr>
                          <w:suppressAutoHyphens/>
                          <w:spacing w:after="120"/>
                          <w:contextualSpacing/>
                          <w:rPr>
                            <w:rFonts w:cs="Times New Roman"/>
                            <w:sz w:val="20"/>
                            <w:szCs w:val="20"/>
                          </w:rPr>
                        </w:pPr>
                        <w:r w:rsidRPr="00724466">
                          <w:rPr>
                            <w:rFonts w:cs="Times New Roman"/>
                            <w:sz w:val="20"/>
                            <w:szCs w:val="20"/>
                          </w:rPr>
                          <w:t>Demonstration of feasibility of fusion as a power source</w:t>
                        </w:r>
                      </w:p>
                      <w:p w14:paraId="5204D892" w14:textId="4E20E4A2" w:rsidR="00155721" w:rsidRPr="00724466" w:rsidRDefault="00155721" w:rsidP="00155721">
                        <w:pPr>
                          <w:pStyle w:val="ListParagraph"/>
                          <w:numPr>
                            <w:ilvl w:val="0"/>
                            <w:numId w:val="66"/>
                          </w:numPr>
                          <w:suppressAutoHyphens/>
                          <w:spacing w:after="120"/>
                          <w:contextualSpacing/>
                          <w:rPr>
                            <w:rFonts w:cs="Times New Roman"/>
                            <w:sz w:val="20"/>
                            <w:szCs w:val="20"/>
                          </w:rPr>
                        </w:pPr>
                        <w:r w:rsidRPr="00724466">
                          <w:rPr>
                            <w:rFonts w:cs="Times New Roman"/>
                            <w:sz w:val="20"/>
                            <w:szCs w:val="20"/>
                          </w:rPr>
                          <w:t>Preparations for future fusion</w:t>
                        </w:r>
                        <w:r w:rsidR="00A7033C">
                          <w:rPr>
                            <w:rFonts w:cs="Times New Roman"/>
                            <w:sz w:val="20"/>
                            <w:szCs w:val="20"/>
                          </w:rPr>
                          <w:t>-</w:t>
                        </w:r>
                        <w:r w:rsidRPr="00724466">
                          <w:rPr>
                            <w:rFonts w:cs="Times New Roman"/>
                            <w:sz w:val="20"/>
                            <w:szCs w:val="20"/>
                          </w:rPr>
                          <w:t>power plants</w:t>
                        </w:r>
                      </w:p>
                      <w:p w14:paraId="1EF52E4F" w14:textId="77777777" w:rsidR="00155721" w:rsidRPr="00724466" w:rsidRDefault="00155721" w:rsidP="00155721">
                        <w:pPr>
                          <w:pStyle w:val="ListParagraph"/>
                          <w:numPr>
                            <w:ilvl w:val="0"/>
                            <w:numId w:val="66"/>
                          </w:numPr>
                          <w:suppressAutoHyphens/>
                          <w:spacing w:after="120"/>
                          <w:contextualSpacing/>
                          <w:rPr>
                            <w:rFonts w:cs="Times New Roman"/>
                            <w:sz w:val="20"/>
                            <w:szCs w:val="20"/>
                          </w:rPr>
                        </w:pPr>
                        <w:r w:rsidRPr="00724466">
                          <w:rPr>
                            <w:rFonts w:cs="Times New Roman"/>
                            <w:sz w:val="20"/>
                            <w:szCs w:val="20"/>
                          </w:rPr>
                          <w:t>Innovation and industrial competitiveness</w:t>
                        </w:r>
                      </w:p>
                      <w:p w14:paraId="3EFE5B4D" w14:textId="77777777" w:rsidR="00155721" w:rsidRPr="00724466" w:rsidRDefault="00155721" w:rsidP="00155721">
                        <w:pPr>
                          <w:pStyle w:val="ListParagraph"/>
                          <w:numPr>
                            <w:ilvl w:val="0"/>
                            <w:numId w:val="66"/>
                          </w:numPr>
                          <w:contextualSpacing/>
                          <w:rPr>
                            <w:rFonts w:cs="Times New Roman"/>
                            <w:sz w:val="20"/>
                            <w:szCs w:val="20"/>
                          </w:rPr>
                        </w:pPr>
                        <w:r w:rsidRPr="00724466">
                          <w:rPr>
                            <w:rFonts w:cs="Times New Roman"/>
                            <w:sz w:val="20"/>
                            <w:szCs w:val="20"/>
                          </w:rPr>
                          <w:t>Research infrastructures of pan-European relevance.</w:t>
                        </w:r>
                      </w:p>
                      <w:bookmarkEnd w:id="2"/>
                      <w:p w14:paraId="3F016134" w14:textId="77777777" w:rsidR="00155721" w:rsidRPr="00724466" w:rsidRDefault="00155721" w:rsidP="004875D7">
                        <w:pPr>
                          <w:suppressAutoHyphens/>
                          <w:spacing w:after="120"/>
                          <w:jc w:val="both"/>
                          <w:rPr>
                            <w:rFonts w:ascii="Times New Roman" w:hAnsi="Times New Roman" w:cs="Times New Roman"/>
                            <w:b/>
                            <w:bCs/>
                            <w:sz w:val="20"/>
                            <w:szCs w:val="20"/>
                            <w:u w:val="single"/>
                          </w:rPr>
                        </w:pPr>
                      </w:p>
                    </w:tc>
                    <w:tc>
                      <w:tcPr>
                        <w:tcW w:w="4407" w:type="dxa"/>
                      </w:tcPr>
                      <w:p w14:paraId="32FAE5A1" w14:textId="035FE58F" w:rsidR="00155721" w:rsidRPr="0031357F" w:rsidRDefault="00155721" w:rsidP="00E60561">
                        <w:pPr>
                          <w:suppressAutoHyphens/>
                          <w:spacing w:after="120"/>
                          <w:jc w:val="both"/>
                          <w:rPr>
                            <w:rFonts w:ascii="Times New Roman" w:hAnsi="Times New Roman" w:cs="Times New Roman"/>
                            <w:b/>
                            <w:bCs/>
                            <w:sz w:val="20"/>
                            <w:szCs w:val="20"/>
                          </w:rPr>
                        </w:pPr>
                        <w:r w:rsidRPr="0031357F">
                          <w:rPr>
                            <w:rFonts w:ascii="Times New Roman" w:hAnsi="Times New Roman" w:cs="Times New Roman"/>
                            <w:b/>
                            <w:bCs/>
                            <w:sz w:val="20"/>
                            <w:szCs w:val="20"/>
                          </w:rPr>
                          <w:t>Direct actions (by</w:t>
                        </w:r>
                        <w:r w:rsidR="00A7033C">
                          <w:rPr>
                            <w:rFonts w:ascii="Times New Roman" w:hAnsi="Times New Roman" w:cs="Times New Roman"/>
                            <w:b/>
                            <w:bCs/>
                            <w:sz w:val="20"/>
                            <w:szCs w:val="20"/>
                          </w:rPr>
                          <w:t xml:space="preserve"> the</w:t>
                        </w:r>
                        <w:r w:rsidRPr="0031357F">
                          <w:rPr>
                            <w:rFonts w:ascii="Times New Roman" w:hAnsi="Times New Roman" w:cs="Times New Roman"/>
                            <w:b/>
                            <w:bCs/>
                            <w:sz w:val="20"/>
                            <w:szCs w:val="20"/>
                          </w:rPr>
                          <w:t xml:space="preserve"> Joint Research Centre)</w:t>
                        </w:r>
                      </w:p>
                      <w:p w14:paraId="5E480DE1" w14:textId="69BC66D7" w:rsidR="00155721" w:rsidRPr="00724466" w:rsidRDefault="00155721" w:rsidP="00155721">
                        <w:pPr>
                          <w:pStyle w:val="ListParagraph"/>
                          <w:numPr>
                            <w:ilvl w:val="0"/>
                            <w:numId w:val="67"/>
                          </w:numPr>
                          <w:suppressAutoHyphens/>
                          <w:spacing w:after="120"/>
                          <w:contextualSpacing/>
                          <w:rPr>
                            <w:rFonts w:cs="Times New Roman"/>
                            <w:sz w:val="20"/>
                            <w:szCs w:val="20"/>
                          </w:rPr>
                        </w:pPr>
                        <w:r w:rsidRPr="00724466">
                          <w:rPr>
                            <w:rFonts w:cs="Times New Roman"/>
                            <w:sz w:val="20"/>
                            <w:szCs w:val="20"/>
                          </w:rPr>
                          <w:t xml:space="preserve">Nuclear reactor and fuel safety, </w:t>
                        </w:r>
                        <w:r w:rsidR="00350063">
                          <w:rPr>
                            <w:rFonts w:cs="Times New Roman"/>
                            <w:sz w:val="20"/>
                            <w:szCs w:val="20"/>
                          </w:rPr>
                          <w:t xml:space="preserve">radioactive </w:t>
                        </w:r>
                        <w:r w:rsidRPr="00724466">
                          <w:rPr>
                            <w:rFonts w:cs="Times New Roman"/>
                            <w:sz w:val="20"/>
                            <w:szCs w:val="20"/>
                          </w:rPr>
                          <w:t xml:space="preserve">waste management, decommissioning, and emergency preparedness </w:t>
                        </w:r>
                      </w:p>
                      <w:p w14:paraId="0D495A04" w14:textId="77777777" w:rsidR="00155721" w:rsidRPr="00724466" w:rsidRDefault="00155721" w:rsidP="00155721">
                        <w:pPr>
                          <w:pStyle w:val="ListParagraph"/>
                          <w:numPr>
                            <w:ilvl w:val="0"/>
                            <w:numId w:val="67"/>
                          </w:numPr>
                          <w:suppressAutoHyphens/>
                          <w:spacing w:after="120"/>
                          <w:contextualSpacing/>
                          <w:rPr>
                            <w:rFonts w:cs="Times New Roman"/>
                            <w:sz w:val="20"/>
                            <w:szCs w:val="20"/>
                          </w:rPr>
                        </w:pPr>
                        <w:r w:rsidRPr="00724466">
                          <w:rPr>
                            <w:rFonts w:cs="Times New Roman"/>
                            <w:sz w:val="20"/>
                            <w:szCs w:val="20"/>
                          </w:rPr>
                          <w:t>Nuclear security (safeguards, non-proliferation, combating illicit trafficking, and nuclear forensics)</w:t>
                        </w:r>
                      </w:p>
                      <w:p w14:paraId="520F06CC" w14:textId="7BC2311A" w:rsidR="00155721" w:rsidRPr="00724466" w:rsidRDefault="00155721" w:rsidP="00155721">
                        <w:pPr>
                          <w:pStyle w:val="ListParagraph"/>
                          <w:numPr>
                            <w:ilvl w:val="0"/>
                            <w:numId w:val="67"/>
                          </w:numPr>
                          <w:suppressAutoHyphens/>
                          <w:spacing w:after="120"/>
                          <w:contextualSpacing/>
                          <w:rPr>
                            <w:rFonts w:cs="Times New Roman"/>
                            <w:sz w:val="20"/>
                            <w:szCs w:val="20"/>
                          </w:rPr>
                        </w:pPr>
                        <w:r w:rsidRPr="00724466">
                          <w:rPr>
                            <w:rFonts w:cs="Times New Roman"/>
                            <w:sz w:val="20"/>
                            <w:szCs w:val="20"/>
                          </w:rPr>
                          <w:t xml:space="preserve">Nuclear science base for standardisation </w:t>
                        </w:r>
                      </w:p>
                      <w:p w14:paraId="2584948E" w14:textId="63E29AF8" w:rsidR="00155721" w:rsidRPr="00724466" w:rsidRDefault="00155721" w:rsidP="00155721">
                        <w:pPr>
                          <w:pStyle w:val="ListParagraph"/>
                          <w:numPr>
                            <w:ilvl w:val="0"/>
                            <w:numId w:val="67"/>
                          </w:numPr>
                          <w:suppressAutoHyphens/>
                          <w:spacing w:after="120"/>
                          <w:contextualSpacing/>
                          <w:rPr>
                            <w:rFonts w:cs="Times New Roman"/>
                            <w:sz w:val="20"/>
                            <w:szCs w:val="20"/>
                          </w:rPr>
                        </w:pPr>
                        <w:r w:rsidRPr="00724466">
                          <w:rPr>
                            <w:rFonts w:cs="Times New Roman"/>
                            <w:sz w:val="20"/>
                            <w:szCs w:val="20"/>
                          </w:rPr>
                          <w:t>Knowledge management, education and training</w:t>
                        </w:r>
                      </w:p>
                      <w:p w14:paraId="6A43DA42" w14:textId="076004EC" w:rsidR="00155721" w:rsidRPr="00724466" w:rsidRDefault="00155721" w:rsidP="00155721">
                        <w:pPr>
                          <w:pStyle w:val="ListParagraph"/>
                          <w:numPr>
                            <w:ilvl w:val="0"/>
                            <w:numId w:val="67"/>
                          </w:numPr>
                          <w:suppressAutoHyphens/>
                          <w:spacing w:after="120" w:line="259" w:lineRule="auto"/>
                          <w:contextualSpacing/>
                          <w:rPr>
                            <w:rFonts w:cs="Times New Roman"/>
                            <w:sz w:val="20"/>
                            <w:szCs w:val="20"/>
                          </w:rPr>
                        </w:pPr>
                        <w:r w:rsidRPr="00724466">
                          <w:rPr>
                            <w:rFonts w:cs="Times New Roman"/>
                            <w:sz w:val="20"/>
                            <w:szCs w:val="20"/>
                          </w:rPr>
                          <w:t>Support</w:t>
                        </w:r>
                        <w:r w:rsidR="00A7033C">
                          <w:rPr>
                            <w:rFonts w:cs="Times New Roman"/>
                            <w:sz w:val="20"/>
                            <w:szCs w:val="20"/>
                          </w:rPr>
                          <w:t>ing</w:t>
                        </w:r>
                        <w:r w:rsidRPr="00724466">
                          <w:rPr>
                            <w:rFonts w:cs="Times New Roman"/>
                            <w:sz w:val="20"/>
                            <w:szCs w:val="20"/>
                          </w:rPr>
                          <w:t xml:space="preserve"> EU policy on nuclear safety and security</w:t>
                        </w:r>
                      </w:p>
                      <w:p w14:paraId="48190B8A" w14:textId="77777777" w:rsidR="00155721" w:rsidRPr="00724466" w:rsidRDefault="00155721" w:rsidP="004875D7">
                        <w:pPr>
                          <w:suppressAutoHyphens/>
                          <w:spacing w:after="120"/>
                          <w:jc w:val="both"/>
                          <w:rPr>
                            <w:rFonts w:ascii="Times New Roman" w:hAnsi="Times New Roman" w:cs="Times New Roman"/>
                            <w:b/>
                            <w:bCs/>
                            <w:sz w:val="20"/>
                            <w:szCs w:val="20"/>
                            <w:u w:val="single"/>
                          </w:rPr>
                        </w:pPr>
                      </w:p>
                    </w:tc>
                  </w:tr>
                </w:tbl>
                <w:p w14:paraId="3E2A3084" w14:textId="77777777" w:rsidR="00155721" w:rsidRDefault="00155721" w:rsidP="00155721"/>
              </w:txbxContent>
            </v:textbox>
            <w10:wrap type="square"/>
          </v:shape>
        </w:pict>
      </w:r>
      <w:r w:rsidR="00700A71" w:rsidRPr="001E3C9B">
        <w:rPr>
          <w:rFonts w:ascii="Times New Roman" w:hAnsi="Times New Roman" w:cs="Times New Roman"/>
          <w:noProof/>
          <w:sz w:val="24"/>
          <w:szCs w:val="24"/>
        </w:rPr>
        <w:t>The Programme focused on maintaining the highest nuclear</w:t>
      </w:r>
      <w:r w:rsidR="00E86DB0">
        <w:rPr>
          <w:rFonts w:ascii="Times New Roman" w:hAnsi="Times New Roman" w:cs="Times New Roman"/>
          <w:noProof/>
          <w:sz w:val="24"/>
          <w:szCs w:val="24"/>
        </w:rPr>
        <w:t>-</w:t>
      </w:r>
      <w:r w:rsidR="00700A71" w:rsidRPr="001E3C9B">
        <w:rPr>
          <w:rFonts w:ascii="Times New Roman" w:hAnsi="Times New Roman" w:cs="Times New Roman"/>
          <w:noProof/>
          <w:sz w:val="24"/>
          <w:szCs w:val="24"/>
        </w:rPr>
        <w:t xml:space="preserve">safety standards and </w:t>
      </w:r>
      <w:r w:rsidR="00350063">
        <w:rPr>
          <w:rFonts w:ascii="Times New Roman" w:hAnsi="Times New Roman" w:cs="Times New Roman"/>
          <w:noProof/>
          <w:sz w:val="24"/>
          <w:szCs w:val="24"/>
        </w:rPr>
        <w:t xml:space="preserve">EU’s </w:t>
      </w:r>
      <w:r w:rsidR="0035597E">
        <w:rPr>
          <w:rFonts w:ascii="Times New Roman" w:hAnsi="Times New Roman" w:cs="Times New Roman"/>
          <w:noProof/>
          <w:sz w:val="24"/>
          <w:szCs w:val="24"/>
        </w:rPr>
        <w:t>skilled workers</w:t>
      </w:r>
      <w:r w:rsidR="00700A71" w:rsidRPr="001E3C9B">
        <w:rPr>
          <w:rFonts w:ascii="Times New Roman" w:hAnsi="Times New Roman" w:cs="Times New Roman"/>
          <w:noProof/>
          <w:sz w:val="24"/>
          <w:szCs w:val="24"/>
        </w:rPr>
        <w:t xml:space="preserve"> in the nuclear domain. To this end, the</w:t>
      </w:r>
      <w:r w:rsidR="0035597E">
        <w:rPr>
          <w:rFonts w:ascii="Times New Roman" w:hAnsi="Times New Roman" w:cs="Times New Roman"/>
          <w:noProof/>
          <w:sz w:val="24"/>
          <w:szCs w:val="24"/>
        </w:rPr>
        <w:t xml:space="preserve"> Programme</w:t>
      </w:r>
      <w:r w:rsidR="00700A71" w:rsidRPr="001E3C9B">
        <w:rPr>
          <w:rFonts w:ascii="Times New Roman" w:hAnsi="Times New Roman" w:cs="Times New Roman"/>
          <w:noProof/>
          <w:sz w:val="24"/>
          <w:szCs w:val="24"/>
        </w:rPr>
        <w:t xml:space="preserve"> aimed </w:t>
      </w:r>
      <w:r w:rsidR="00B5240D">
        <w:rPr>
          <w:rFonts w:ascii="Times New Roman" w:hAnsi="Times New Roman" w:cs="Times New Roman"/>
          <w:noProof/>
          <w:sz w:val="24"/>
          <w:szCs w:val="24"/>
        </w:rPr>
        <w:t>to</w:t>
      </w:r>
      <w:r w:rsidR="004574E4">
        <w:rPr>
          <w:rFonts w:ascii="Times New Roman" w:hAnsi="Times New Roman" w:cs="Times New Roman"/>
          <w:noProof/>
          <w:sz w:val="24"/>
          <w:szCs w:val="24"/>
        </w:rPr>
        <w:t>: (i)</w:t>
      </w:r>
      <w:r w:rsidR="00700A71" w:rsidRPr="001E3C9B">
        <w:rPr>
          <w:rFonts w:ascii="Times New Roman" w:hAnsi="Times New Roman" w:cs="Times New Roman"/>
          <w:noProof/>
          <w:sz w:val="24"/>
          <w:szCs w:val="24"/>
        </w:rPr>
        <w:t xml:space="preserve"> </w:t>
      </w:r>
      <w:r w:rsidR="00155721">
        <w:rPr>
          <w:rFonts w:ascii="Times New Roman" w:hAnsi="Times New Roman" w:cs="Times New Roman"/>
          <w:noProof/>
          <w:sz w:val="24"/>
          <w:szCs w:val="24"/>
        </w:rPr>
        <w:t>support research and training</w:t>
      </w:r>
      <w:r w:rsidR="004574E4">
        <w:rPr>
          <w:rFonts w:ascii="Times New Roman" w:hAnsi="Times New Roman" w:cs="Times New Roman"/>
          <w:noProof/>
          <w:sz w:val="24"/>
          <w:szCs w:val="24"/>
        </w:rPr>
        <w:t>; (ii)</w:t>
      </w:r>
      <w:r w:rsidR="00155721" w:rsidRPr="001E3C9B">
        <w:rPr>
          <w:rFonts w:ascii="Times New Roman" w:hAnsi="Times New Roman" w:cs="Times New Roman"/>
          <w:noProof/>
          <w:sz w:val="24"/>
          <w:szCs w:val="24"/>
        </w:rPr>
        <w:t xml:space="preserve"> </w:t>
      </w:r>
      <w:r w:rsidR="0035597E">
        <w:rPr>
          <w:rFonts w:ascii="Times New Roman" w:hAnsi="Times New Roman" w:cs="Times New Roman"/>
          <w:noProof/>
          <w:sz w:val="24"/>
          <w:szCs w:val="24"/>
        </w:rPr>
        <w:t>improv</w:t>
      </w:r>
      <w:r w:rsidR="00B5240D">
        <w:rPr>
          <w:rFonts w:ascii="Times New Roman" w:hAnsi="Times New Roman" w:cs="Times New Roman"/>
          <w:noProof/>
          <w:sz w:val="24"/>
          <w:szCs w:val="24"/>
        </w:rPr>
        <w:t>e</w:t>
      </w:r>
      <w:r w:rsidR="0035597E">
        <w:rPr>
          <w:rFonts w:ascii="Times New Roman" w:hAnsi="Times New Roman" w:cs="Times New Roman"/>
          <w:noProof/>
          <w:sz w:val="24"/>
          <w:szCs w:val="24"/>
        </w:rPr>
        <w:t xml:space="preserve"> the</w:t>
      </w:r>
      <w:r w:rsidR="0035597E" w:rsidRPr="001E3C9B">
        <w:rPr>
          <w:rFonts w:ascii="Times New Roman" w:hAnsi="Times New Roman" w:cs="Times New Roman"/>
          <w:noProof/>
          <w:sz w:val="24"/>
          <w:szCs w:val="24"/>
        </w:rPr>
        <w:t xml:space="preserve"> </w:t>
      </w:r>
      <w:r w:rsidR="00700A71" w:rsidRPr="001E3C9B">
        <w:rPr>
          <w:rFonts w:ascii="Times New Roman" w:hAnsi="Times New Roman" w:cs="Times New Roman"/>
          <w:noProof/>
          <w:sz w:val="24"/>
          <w:szCs w:val="24"/>
        </w:rPr>
        <w:t xml:space="preserve">safety of existing and future </w:t>
      </w:r>
      <w:r w:rsidR="00471CCA" w:rsidRPr="001E3C9B">
        <w:rPr>
          <w:rFonts w:ascii="Times New Roman" w:hAnsi="Times New Roman" w:cs="Times New Roman"/>
          <w:noProof/>
          <w:sz w:val="24"/>
          <w:szCs w:val="24"/>
          <w:lang w:val="mt-MT"/>
        </w:rPr>
        <w:t>NPPs</w:t>
      </w:r>
      <w:r w:rsidR="004574E4">
        <w:rPr>
          <w:rFonts w:ascii="Times New Roman" w:hAnsi="Times New Roman" w:cs="Times New Roman"/>
          <w:noProof/>
          <w:sz w:val="24"/>
          <w:szCs w:val="24"/>
          <w:lang w:val="mt-MT"/>
        </w:rPr>
        <w:t>;</w:t>
      </w:r>
      <w:r w:rsidR="00471CCA" w:rsidRPr="001E3C9B">
        <w:rPr>
          <w:rFonts w:ascii="Times New Roman" w:hAnsi="Times New Roman" w:cs="Times New Roman"/>
          <w:noProof/>
          <w:sz w:val="24"/>
          <w:szCs w:val="24"/>
          <w:lang w:val="mt-MT"/>
        </w:rPr>
        <w:t xml:space="preserve"> </w:t>
      </w:r>
      <w:r w:rsidR="00700A71" w:rsidRPr="001E3C9B">
        <w:rPr>
          <w:rFonts w:ascii="Times New Roman" w:hAnsi="Times New Roman" w:cs="Times New Roman"/>
          <w:noProof/>
          <w:sz w:val="24"/>
          <w:szCs w:val="24"/>
        </w:rPr>
        <w:t xml:space="preserve">and </w:t>
      </w:r>
      <w:r w:rsidR="004574E4">
        <w:rPr>
          <w:rFonts w:ascii="Times New Roman" w:hAnsi="Times New Roman" w:cs="Times New Roman"/>
          <w:noProof/>
          <w:sz w:val="24"/>
          <w:szCs w:val="24"/>
        </w:rPr>
        <w:t xml:space="preserve">(iii) </w:t>
      </w:r>
      <w:r w:rsidR="00831681">
        <w:rPr>
          <w:rFonts w:ascii="Times New Roman" w:hAnsi="Times New Roman" w:cs="Times New Roman"/>
          <w:noProof/>
          <w:sz w:val="24"/>
          <w:szCs w:val="24"/>
        </w:rPr>
        <w:t xml:space="preserve">improve </w:t>
      </w:r>
      <w:r w:rsidR="00700A71" w:rsidRPr="001E3C9B">
        <w:rPr>
          <w:rFonts w:ascii="Times New Roman" w:hAnsi="Times New Roman" w:cs="Times New Roman"/>
          <w:noProof/>
          <w:sz w:val="24"/>
          <w:szCs w:val="24"/>
        </w:rPr>
        <w:t>protection from ionising radiation, including through safe radioactive</w:t>
      </w:r>
      <w:r w:rsidR="00831681">
        <w:rPr>
          <w:rFonts w:ascii="Times New Roman" w:hAnsi="Times New Roman" w:cs="Times New Roman"/>
          <w:noProof/>
          <w:sz w:val="24"/>
          <w:szCs w:val="24"/>
        </w:rPr>
        <w:t>-</w:t>
      </w:r>
      <w:r w:rsidR="00700A71" w:rsidRPr="001E3C9B">
        <w:rPr>
          <w:rFonts w:ascii="Times New Roman" w:hAnsi="Times New Roman" w:cs="Times New Roman"/>
          <w:noProof/>
          <w:sz w:val="24"/>
          <w:szCs w:val="24"/>
        </w:rPr>
        <w:t xml:space="preserve">waste management and decommissioning activities. In addition, the </w:t>
      </w:r>
      <w:r w:rsidR="00B760E5">
        <w:rPr>
          <w:rFonts w:ascii="Times New Roman" w:hAnsi="Times New Roman" w:cs="Times New Roman"/>
          <w:noProof/>
          <w:sz w:val="24"/>
          <w:szCs w:val="24"/>
        </w:rPr>
        <w:t>Programme</w:t>
      </w:r>
      <w:r w:rsidR="00700A71" w:rsidRPr="001E3C9B">
        <w:rPr>
          <w:rFonts w:ascii="Times New Roman" w:hAnsi="Times New Roman" w:cs="Times New Roman"/>
          <w:noProof/>
          <w:sz w:val="24"/>
          <w:szCs w:val="24"/>
        </w:rPr>
        <w:t xml:space="preserve"> funded the development of fusion energy, a long-term option for large</w:t>
      </w:r>
      <w:r w:rsidR="00700A71" w:rsidRPr="001E3C9B">
        <w:rPr>
          <w:rFonts w:ascii="Times New Roman" w:hAnsi="Times New Roman" w:cs="Times New Roman"/>
          <w:noProof/>
          <w:sz w:val="24"/>
          <w:szCs w:val="24"/>
        </w:rPr>
        <w:noBreakHyphen/>
        <w:t>scale, low</w:t>
      </w:r>
      <w:r w:rsidR="00700A71" w:rsidRPr="001E3C9B">
        <w:rPr>
          <w:rFonts w:ascii="Times New Roman" w:hAnsi="Times New Roman" w:cs="Times New Roman"/>
          <w:noProof/>
          <w:sz w:val="24"/>
          <w:szCs w:val="24"/>
        </w:rPr>
        <w:noBreakHyphen/>
        <w:t>carbon electricity production, which could help address energy demand in the future.</w:t>
      </w:r>
      <w:r w:rsidR="00155721">
        <w:rPr>
          <w:rFonts w:ascii="Times New Roman" w:hAnsi="Times New Roman" w:cs="Times New Roman"/>
          <w:noProof/>
          <w:sz w:val="24"/>
          <w:szCs w:val="24"/>
        </w:rPr>
        <w:t xml:space="preserve"> The details on </w:t>
      </w:r>
      <w:r w:rsidR="00B8083A">
        <w:rPr>
          <w:rFonts w:ascii="Times New Roman" w:hAnsi="Times New Roman" w:cs="Times New Roman"/>
          <w:noProof/>
          <w:sz w:val="24"/>
          <w:szCs w:val="24"/>
        </w:rPr>
        <w:t xml:space="preserve">the </w:t>
      </w:r>
      <w:r w:rsidR="00155721">
        <w:rPr>
          <w:rFonts w:ascii="Times New Roman" w:hAnsi="Times New Roman" w:cs="Times New Roman"/>
          <w:noProof/>
          <w:sz w:val="24"/>
          <w:szCs w:val="24"/>
        </w:rPr>
        <w:t>specific objectives of the Programme are provided in Box 1.</w:t>
      </w:r>
    </w:p>
    <w:p w14:paraId="568069D6" w14:textId="7AA8A2F7" w:rsidR="0005358B" w:rsidRDefault="0005358B" w:rsidP="00E96EED">
      <w:pPr>
        <w:spacing w:after="120"/>
        <w:jc w:val="both"/>
        <w:rPr>
          <w:rFonts w:ascii="Times New Roman" w:hAnsi="Times New Roman" w:cs="Times New Roman"/>
          <w:noProof/>
          <w:sz w:val="24"/>
          <w:szCs w:val="24"/>
        </w:rPr>
      </w:pPr>
      <w:r w:rsidRPr="009B4DFB">
        <w:rPr>
          <w:rFonts w:ascii="Times New Roman" w:hAnsi="Times New Roman" w:cs="Times New Roman"/>
          <w:noProof/>
          <w:sz w:val="24"/>
          <w:szCs w:val="24"/>
        </w:rPr>
        <w:t xml:space="preserve">The </w:t>
      </w:r>
      <w:r>
        <w:rPr>
          <w:rFonts w:ascii="Times New Roman" w:hAnsi="Times New Roman" w:cs="Times New Roman"/>
          <w:noProof/>
          <w:sz w:val="24"/>
          <w:szCs w:val="24"/>
        </w:rPr>
        <w:t>P</w:t>
      </w:r>
      <w:r w:rsidRPr="009B4DFB">
        <w:rPr>
          <w:rFonts w:ascii="Times New Roman" w:hAnsi="Times New Roman" w:cs="Times New Roman"/>
          <w:noProof/>
          <w:sz w:val="24"/>
          <w:szCs w:val="24"/>
        </w:rPr>
        <w:t xml:space="preserve">rogramme </w:t>
      </w:r>
      <w:r>
        <w:rPr>
          <w:rFonts w:ascii="Times New Roman" w:hAnsi="Times New Roman" w:cs="Times New Roman"/>
          <w:noProof/>
          <w:sz w:val="24"/>
          <w:szCs w:val="24"/>
        </w:rPr>
        <w:t xml:space="preserve">was </w:t>
      </w:r>
      <w:r w:rsidRPr="009B4DFB">
        <w:rPr>
          <w:rFonts w:ascii="Times New Roman" w:hAnsi="Times New Roman" w:cs="Times New Roman"/>
          <w:noProof/>
          <w:sz w:val="24"/>
          <w:szCs w:val="24"/>
        </w:rPr>
        <w:t>implemented through</w:t>
      </w:r>
      <w:r w:rsidR="00A7033C">
        <w:rPr>
          <w:rFonts w:ascii="Times New Roman" w:hAnsi="Times New Roman" w:cs="Times New Roman"/>
          <w:noProof/>
          <w:sz w:val="24"/>
          <w:szCs w:val="24"/>
        </w:rPr>
        <w:t>: (i)</w:t>
      </w:r>
      <w:r w:rsidRPr="009B4DFB">
        <w:rPr>
          <w:rFonts w:ascii="Times New Roman" w:hAnsi="Times New Roman" w:cs="Times New Roman"/>
          <w:noProof/>
          <w:sz w:val="24"/>
          <w:szCs w:val="24"/>
        </w:rPr>
        <w:t xml:space="preserve"> direct actions in fission</w:t>
      </w:r>
      <w:r w:rsidR="00A7033C">
        <w:rPr>
          <w:rFonts w:ascii="Times New Roman" w:hAnsi="Times New Roman" w:cs="Times New Roman"/>
          <w:noProof/>
          <w:sz w:val="24"/>
          <w:szCs w:val="24"/>
        </w:rPr>
        <w:t xml:space="preserve"> in the form of</w:t>
      </w:r>
      <w:r w:rsidRPr="009B4DFB">
        <w:rPr>
          <w:rFonts w:ascii="Times New Roman" w:hAnsi="Times New Roman" w:cs="Times New Roman"/>
          <w:noProof/>
          <w:sz w:val="24"/>
          <w:szCs w:val="24"/>
        </w:rPr>
        <w:t xml:space="preserve"> research </w:t>
      </w:r>
      <w:r w:rsidR="00A7033C">
        <w:rPr>
          <w:rFonts w:ascii="Times New Roman" w:hAnsi="Times New Roman" w:cs="Times New Roman"/>
          <w:noProof/>
          <w:sz w:val="24"/>
          <w:szCs w:val="24"/>
        </w:rPr>
        <w:t>carried out</w:t>
      </w:r>
      <w:r w:rsidR="00A7033C" w:rsidRPr="009B4DFB">
        <w:rPr>
          <w:rFonts w:ascii="Times New Roman" w:hAnsi="Times New Roman" w:cs="Times New Roman"/>
          <w:noProof/>
          <w:sz w:val="24"/>
          <w:szCs w:val="24"/>
        </w:rPr>
        <w:t xml:space="preserve"> </w:t>
      </w:r>
      <w:r w:rsidRPr="009B4DFB">
        <w:rPr>
          <w:rFonts w:ascii="Times New Roman" w:hAnsi="Times New Roman" w:cs="Times New Roman"/>
          <w:noProof/>
          <w:sz w:val="24"/>
          <w:szCs w:val="24"/>
        </w:rPr>
        <w:t>by the Commission’s Joint Research Centre (JRC)</w:t>
      </w:r>
      <w:r w:rsidR="00A7033C">
        <w:rPr>
          <w:rFonts w:ascii="Times New Roman" w:hAnsi="Times New Roman" w:cs="Times New Roman"/>
          <w:noProof/>
          <w:sz w:val="24"/>
          <w:szCs w:val="24"/>
        </w:rPr>
        <w:t>; (ii)</w:t>
      </w:r>
      <w:r w:rsidRPr="009B4DFB">
        <w:rPr>
          <w:rFonts w:ascii="Times New Roman" w:hAnsi="Times New Roman" w:cs="Times New Roman"/>
          <w:noProof/>
          <w:sz w:val="24"/>
          <w:szCs w:val="24"/>
        </w:rPr>
        <w:t xml:space="preserve"> indirect actions in fission and fusion </w:t>
      </w:r>
      <w:r w:rsidR="00A7033C">
        <w:rPr>
          <w:rFonts w:ascii="Times New Roman" w:hAnsi="Times New Roman" w:cs="Times New Roman"/>
          <w:noProof/>
          <w:sz w:val="24"/>
          <w:szCs w:val="24"/>
        </w:rPr>
        <w:t>through</w:t>
      </w:r>
      <w:r w:rsidR="0082013F">
        <w:rPr>
          <w:rFonts w:ascii="Times New Roman" w:hAnsi="Times New Roman" w:cs="Times New Roman"/>
          <w:noProof/>
          <w:sz w:val="24"/>
          <w:szCs w:val="24"/>
        </w:rPr>
        <w:t xml:space="preserve"> research</w:t>
      </w:r>
      <w:r w:rsidRPr="009B4DFB">
        <w:rPr>
          <w:rFonts w:ascii="Times New Roman" w:hAnsi="Times New Roman" w:cs="Times New Roman"/>
          <w:noProof/>
          <w:sz w:val="24"/>
          <w:szCs w:val="24"/>
        </w:rPr>
        <w:t xml:space="preserve"> via competitive calls for proposals (</w:t>
      </w:r>
      <w:r w:rsidR="006E359C">
        <w:rPr>
          <w:rFonts w:ascii="Times New Roman" w:hAnsi="Times New Roman" w:cs="Times New Roman"/>
          <w:noProof/>
          <w:sz w:val="24"/>
          <w:szCs w:val="24"/>
        </w:rPr>
        <w:t xml:space="preserve">in </w:t>
      </w:r>
      <w:r w:rsidRPr="009B4DFB">
        <w:rPr>
          <w:rFonts w:ascii="Times New Roman" w:hAnsi="Times New Roman" w:cs="Times New Roman"/>
          <w:noProof/>
          <w:sz w:val="24"/>
          <w:szCs w:val="24"/>
        </w:rPr>
        <w:t>fission safety, waste management and radiation protection)</w:t>
      </w:r>
      <w:r w:rsidR="00A7033C">
        <w:rPr>
          <w:rFonts w:ascii="Times New Roman" w:hAnsi="Times New Roman" w:cs="Times New Roman"/>
          <w:noProof/>
          <w:sz w:val="24"/>
          <w:szCs w:val="24"/>
        </w:rPr>
        <w:t>;</w:t>
      </w:r>
      <w:r w:rsidRPr="009B4DFB">
        <w:rPr>
          <w:rFonts w:ascii="Times New Roman" w:hAnsi="Times New Roman" w:cs="Times New Roman"/>
          <w:noProof/>
          <w:sz w:val="24"/>
          <w:szCs w:val="24"/>
        </w:rPr>
        <w:t xml:space="preserve"> and</w:t>
      </w:r>
      <w:r w:rsidR="00E85D8D">
        <w:rPr>
          <w:rFonts w:ascii="Times New Roman" w:hAnsi="Times New Roman" w:cs="Times New Roman"/>
          <w:noProof/>
          <w:sz w:val="24"/>
          <w:szCs w:val="24"/>
        </w:rPr>
        <w:t xml:space="preserve"> (iii)</w:t>
      </w:r>
      <w:r w:rsidRPr="009B4DFB">
        <w:rPr>
          <w:rFonts w:ascii="Times New Roman" w:hAnsi="Times New Roman" w:cs="Times New Roman"/>
          <w:noProof/>
          <w:sz w:val="24"/>
          <w:szCs w:val="24"/>
        </w:rPr>
        <w:t xml:space="preserve"> a comprehensive named-beneficiary co-fund action </w:t>
      </w:r>
      <w:r w:rsidR="0082013F">
        <w:rPr>
          <w:rFonts w:ascii="Times New Roman" w:hAnsi="Times New Roman" w:cs="Times New Roman"/>
          <w:noProof/>
          <w:sz w:val="24"/>
          <w:szCs w:val="24"/>
        </w:rPr>
        <w:t xml:space="preserve">on </w:t>
      </w:r>
      <w:r w:rsidRPr="009B4DFB">
        <w:rPr>
          <w:rFonts w:ascii="Times New Roman" w:hAnsi="Times New Roman" w:cs="Times New Roman"/>
          <w:noProof/>
          <w:sz w:val="24"/>
          <w:szCs w:val="24"/>
        </w:rPr>
        <w:t xml:space="preserve">fusion energy managed by the Commission’s Directorate-General for Research &amp; Innovation (RTD). Euratom fission research falls under both direct and indirect actions, while all Euratom fusion research falls under indirect actions managed by </w:t>
      </w:r>
      <w:r w:rsidR="006E359C">
        <w:rPr>
          <w:rFonts w:ascii="Times New Roman" w:hAnsi="Times New Roman" w:cs="Times New Roman"/>
          <w:noProof/>
          <w:sz w:val="24"/>
          <w:szCs w:val="24"/>
        </w:rPr>
        <w:t xml:space="preserve">DG </w:t>
      </w:r>
      <w:r w:rsidRPr="009B4DFB">
        <w:rPr>
          <w:rFonts w:ascii="Times New Roman" w:hAnsi="Times New Roman" w:cs="Times New Roman"/>
          <w:noProof/>
          <w:sz w:val="24"/>
          <w:szCs w:val="24"/>
        </w:rPr>
        <w:t>RTD.</w:t>
      </w:r>
    </w:p>
    <w:p w14:paraId="0A2D3B19" w14:textId="6C5FB08D" w:rsidR="00A433F8" w:rsidRPr="001E3C9B" w:rsidRDefault="00700A71" w:rsidP="00E96EED">
      <w:pPr>
        <w:spacing w:after="120"/>
        <w:jc w:val="both"/>
        <w:rPr>
          <w:rFonts w:ascii="Times New Roman" w:hAnsi="Times New Roman" w:cs="Times New Roman"/>
          <w:noProof/>
          <w:sz w:val="24"/>
          <w:szCs w:val="24"/>
        </w:rPr>
      </w:pPr>
      <w:r w:rsidRPr="001E3C9B">
        <w:rPr>
          <w:rFonts w:ascii="Times New Roman" w:hAnsi="Times New Roman" w:cs="Times New Roman"/>
          <w:noProof/>
          <w:sz w:val="24"/>
          <w:szCs w:val="24"/>
        </w:rPr>
        <w:t xml:space="preserve">Euratom research and training programmes have been implemented by the Commission since 1959. Council Regulations </w:t>
      </w:r>
      <w:r w:rsidR="00E85D8D">
        <w:rPr>
          <w:rFonts w:ascii="Times New Roman" w:hAnsi="Times New Roman" w:cs="Times New Roman"/>
          <w:noProof/>
          <w:sz w:val="24"/>
          <w:szCs w:val="24"/>
        </w:rPr>
        <w:t>laying down</w:t>
      </w:r>
      <w:r w:rsidR="00E85D8D" w:rsidRPr="001E3C9B">
        <w:rPr>
          <w:rFonts w:ascii="Times New Roman" w:hAnsi="Times New Roman" w:cs="Times New Roman"/>
          <w:noProof/>
          <w:sz w:val="24"/>
          <w:szCs w:val="24"/>
        </w:rPr>
        <w:t xml:space="preserve"> </w:t>
      </w:r>
      <w:r w:rsidRPr="001E3C9B">
        <w:rPr>
          <w:rFonts w:ascii="Times New Roman" w:hAnsi="Times New Roman" w:cs="Times New Roman"/>
          <w:noProof/>
          <w:sz w:val="24"/>
          <w:szCs w:val="24"/>
        </w:rPr>
        <w:t>the</w:t>
      </w:r>
      <w:r w:rsidR="00EE5034" w:rsidRPr="001E3C9B">
        <w:rPr>
          <w:rFonts w:ascii="Times New Roman" w:hAnsi="Times New Roman" w:cs="Times New Roman"/>
          <w:noProof/>
          <w:sz w:val="24"/>
          <w:szCs w:val="24"/>
          <w:lang w:val="mt-MT"/>
        </w:rPr>
        <w:t>se</w:t>
      </w:r>
      <w:r w:rsidRPr="001E3C9B">
        <w:rPr>
          <w:rFonts w:ascii="Times New Roman" w:hAnsi="Times New Roman" w:cs="Times New Roman"/>
          <w:noProof/>
          <w:sz w:val="24"/>
          <w:szCs w:val="24"/>
        </w:rPr>
        <w:t xml:space="preserve"> </w:t>
      </w:r>
      <w:r w:rsidR="00B760E5">
        <w:rPr>
          <w:rFonts w:ascii="Times New Roman" w:hAnsi="Times New Roman" w:cs="Times New Roman"/>
          <w:noProof/>
          <w:sz w:val="24"/>
          <w:szCs w:val="24"/>
          <w:lang w:val="mt-MT"/>
        </w:rPr>
        <w:t xml:space="preserve">programmes </w:t>
      </w:r>
      <w:r w:rsidRPr="001E3C9B">
        <w:rPr>
          <w:rFonts w:ascii="Times New Roman" w:hAnsi="Times New Roman" w:cs="Times New Roman"/>
          <w:noProof/>
          <w:sz w:val="24"/>
          <w:szCs w:val="24"/>
        </w:rPr>
        <w:t xml:space="preserve">set out the broad lines of action and </w:t>
      </w:r>
      <w:r w:rsidR="00E85D8D">
        <w:rPr>
          <w:rFonts w:ascii="Times New Roman" w:hAnsi="Times New Roman" w:cs="Times New Roman"/>
          <w:noProof/>
          <w:sz w:val="24"/>
          <w:szCs w:val="24"/>
          <w:lang w:val="mt-MT"/>
        </w:rPr>
        <w:t>set out</w:t>
      </w:r>
      <w:r w:rsidR="00E85D8D" w:rsidRPr="001E3C9B">
        <w:rPr>
          <w:rFonts w:ascii="Times New Roman" w:hAnsi="Times New Roman" w:cs="Times New Roman"/>
          <w:noProof/>
          <w:sz w:val="24"/>
          <w:szCs w:val="24"/>
          <w:lang w:val="mt-MT"/>
        </w:rPr>
        <w:t xml:space="preserve"> </w:t>
      </w:r>
      <w:r w:rsidRPr="001E3C9B">
        <w:rPr>
          <w:rFonts w:ascii="Times New Roman" w:hAnsi="Times New Roman" w:cs="Times New Roman"/>
          <w:noProof/>
          <w:sz w:val="24"/>
          <w:szCs w:val="24"/>
        </w:rPr>
        <w:t xml:space="preserve">the </w:t>
      </w:r>
      <w:r w:rsidR="00E45FA5" w:rsidRPr="001E3C9B">
        <w:rPr>
          <w:rFonts w:ascii="Times New Roman" w:hAnsi="Times New Roman" w:cs="Times New Roman"/>
          <w:noProof/>
          <w:sz w:val="24"/>
          <w:szCs w:val="24"/>
          <w:lang w:val="mt-MT"/>
        </w:rPr>
        <w:t>indicative financial amount</w:t>
      </w:r>
      <w:r w:rsidR="00E85D8D">
        <w:rPr>
          <w:rFonts w:ascii="Times New Roman" w:hAnsi="Times New Roman" w:cs="Times New Roman"/>
          <w:noProof/>
          <w:sz w:val="24"/>
          <w:szCs w:val="24"/>
          <w:lang w:val="mt-MT"/>
        </w:rPr>
        <w:t xml:space="preserve"> to fund them</w:t>
      </w:r>
      <w:r w:rsidRPr="001E3C9B">
        <w:rPr>
          <w:rFonts w:ascii="Times New Roman" w:hAnsi="Times New Roman" w:cs="Times New Roman"/>
          <w:noProof/>
          <w:sz w:val="24"/>
          <w:szCs w:val="24"/>
        </w:rPr>
        <w:t xml:space="preserve">. Euratom </w:t>
      </w:r>
      <w:r w:rsidR="00B760E5">
        <w:rPr>
          <w:rFonts w:ascii="Times New Roman" w:hAnsi="Times New Roman" w:cs="Times New Roman"/>
          <w:noProof/>
          <w:sz w:val="24"/>
          <w:szCs w:val="24"/>
        </w:rPr>
        <w:t>work programmes</w:t>
      </w:r>
      <w:r w:rsidRPr="001E3C9B">
        <w:rPr>
          <w:rFonts w:ascii="Times New Roman" w:hAnsi="Times New Roman" w:cs="Times New Roman"/>
          <w:noProof/>
          <w:sz w:val="24"/>
          <w:szCs w:val="24"/>
        </w:rPr>
        <w:t xml:space="preserve"> </w:t>
      </w:r>
      <w:r w:rsidR="006E359C" w:rsidRPr="001E3C9B">
        <w:rPr>
          <w:rFonts w:ascii="Times New Roman" w:hAnsi="Times New Roman" w:cs="Times New Roman"/>
          <w:noProof/>
          <w:sz w:val="24"/>
          <w:szCs w:val="24"/>
          <w:lang w:val="mt-MT"/>
        </w:rPr>
        <w:t xml:space="preserve">for direct and indirect actions </w:t>
      </w:r>
      <w:r w:rsidR="00E45FA5" w:rsidRPr="001E3C9B">
        <w:rPr>
          <w:rFonts w:ascii="Times New Roman" w:hAnsi="Times New Roman" w:cs="Times New Roman"/>
          <w:noProof/>
          <w:sz w:val="24"/>
          <w:szCs w:val="24"/>
          <w:lang w:val="mt-MT"/>
        </w:rPr>
        <w:t>are</w:t>
      </w:r>
      <w:r w:rsidRPr="001E3C9B">
        <w:rPr>
          <w:rFonts w:ascii="Times New Roman" w:hAnsi="Times New Roman" w:cs="Times New Roman"/>
          <w:noProof/>
          <w:sz w:val="24"/>
          <w:szCs w:val="24"/>
        </w:rPr>
        <w:t xml:space="preserve"> adopted by the Commission, </w:t>
      </w:r>
      <w:r w:rsidR="006E359C">
        <w:rPr>
          <w:rFonts w:ascii="Times New Roman" w:hAnsi="Times New Roman" w:cs="Times New Roman"/>
          <w:noProof/>
          <w:sz w:val="24"/>
          <w:szCs w:val="24"/>
          <w:lang w:val="mt-MT"/>
        </w:rPr>
        <w:t xml:space="preserve">which </w:t>
      </w:r>
      <w:r w:rsidR="00E85D8D">
        <w:rPr>
          <w:rFonts w:ascii="Times New Roman" w:hAnsi="Times New Roman" w:cs="Times New Roman"/>
          <w:noProof/>
          <w:sz w:val="24"/>
          <w:szCs w:val="24"/>
          <w:lang w:val="mt-MT"/>
        </w:rPr>
        <w:t>set</w:t>
      </w:r>
      <w:r w:rsidR="006C773E">
        <w:rPr>
          <w:rFonts w:ascii="Times New Roman" w:hAnsi="Times New Roman" w:cs="Times New Roman"/>
          <w:noProof/>
          <w:sz w:val="24"/>
          <w:szCs w:val="24"/>
          <w:lang w:val="mt-MT"/>
        </w:rPr>
        <w:t xml:space="preserve"> out</w:t>
      </w:r>
      <w:r w:rsidR="00E85D8D" w:rsidRPr="001E3C9B">
        <w:rPr>
          <w:rFonts w:ascii="Times New Roman" w:hAnsi="Times New Roman" w:cs="Times New Roman"/>
          <w:noProof/>
          <w:sz w:val="24"/>
          <w:szCs w:val="24"/>
        </w:rPr>
        <w:t xml:space="preserve"> </w:t>
      </w:r>
      <w:r w:rsidRPr="001E3C9B">
        <w:rPr>
          <w:rFonts w:ascii="Times New Roman" w:hAnsi="Times New Roman" w:cs="Times New Roman"/>
          <w:noProof/>
          <w:sz w:val="24"/>
          <w:szCs w:val="24"/>
        </w:rPr>
        <w:t xml:space="preserve">the detailed priorities, budget and instruments to be used, usually on </w:t>
      </w:r>
      <w:r w:rsidR="00E85D8D">
        <w:rPr>
          <w:rFonts w:ascii="Times New Roman" w:hAnsi="Times New Roman" w:cs="Times New Roman"/>
          <w:noProof/>
          <w:sz w:val="24"/>
          <w:szCs w:val="24"/>
          <w:lang w:val="mt-MT"/>
        </w:rPr>
        <w:t>2</w:t>
      </w:r>
      <w:r w:rsidR="00E45FA5" w:rsidRPr="001E3C9B">
        <w:rPr>
          <w:rFonts w:ascii="Times New Roman" w:hAnsi="Times New Roman" w:cs="Times New Roman"/>
          <w:noProof/>
          <w:sz w:val="24"/>
          <w:szCs w:val="24"/>
          <w:lang w:val="mt-MT"/>
        </w:rPr>
        <w:t>-year</w:t>
      </w:r>
      <w:r w:rsidRPr="001E3C9B">
        <w:rPr>
          <w:rFonts w:ascii="Times New Roman" w:hAnsi="Times New Roman" w:cs="Times New Roman"/>
          <w:noProof/>
          <w:sz w:val="24"/>
          <w:szCs w:val="24"/>
        </w:rPr>
        <w:t xml:space="preserve"> basis.</w:t>
      </w:r>
    </w:p>
    <w:p w14:paraId="33114857" w14:textId="4D6F8A64" w:rsidR="00FA31AF" w:rsidRPr="007C4BD5" w:rsidRDefault="00FA31AF" w:rsidP="007C4BD5">
      <w:pPr>
        <w:pStyle w:val="Heading1"/>
        <w:spacing w:before="0" w:after="120"/>
        <w:rPr>
          <w:rFonts w:ascii="Times New Roman" w:hAnsi="Times New Roman" w:cs="Times New Roman"/>
          <w:noProof/>
          <w:color w:val="000000" w:themeColor="text1"/>
        </w:rPr>
      </w:pPr>
      <w:r w:rsidRPr="007C4BD5">
        <w:rPr>
          <w:rFonts w:ascii="Times New Roman" w:hAnsi="Times New Roman" w:cs="Times New Roman"/>
          <w:noProof/>
          <w:color w:val="000000" w:themeColor="text1"/>
        </w:rPr>
        <w:t>Summary of main findings</w:t>
      </w:r>
    </w:p>
    <w:p w14:paraId="1D5009DF" w14:textId="20DD3DA3" w:rsidR="00A433F8" w:rsidRPr="001E3C9B" w:rsidRDefault="00802D92">
      <w:pPr>
        <w:pStyle w:val="Heading2"/>
        <w:spacing w:before="0" w:after="120"/>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Programme relevance</w:t>
      </w:r>
    </w:p>
    <w:p w14:paraId="364BB54D" w14:textId="26C193A0" w:rsidR="00383303" w:rsidRDefault="00383303" w:rsidP="00383303">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w:t>
      </w:r>
      <w:r w:rsidRPr="00BB39D5">
        <w:rPr>
          <w:rFonts w:ascii="Times New Roman" w:hAnsi="Times New Roman" w:cs="Times New Roman"/>
          <w:noProof/>
          <w:sz w:val="24"/>
          <w:szCs w:val="24"/>
        </w:rPr>
        <w:t xml:space="preserve">he general objective of the </w:t>
      </w:r>
      <w:r w:rsidR="0082013F">
        <w:rPr>
          <w:rFonts w:ascii="Times New Roman" w:hAnsi="Times New Roman" w:cs="Times New Roman"/>
          <w:noProof/>
          <w:sz w:val="24"/>
          <w:szCs w:val="24"/>
        </w:rPr>
        <w:t>P</w:t>
      </w:r>
      <w:r w:rsidRPr="00BB39D5">
        <w:rPr>
          <w:rFonts w:ascii="Times New Roman" w:hAnsi="Times New Roman" w:cs="Times New Roman"/>
          <w:noProof/>
          <w:sz w:val="24"/>
          <w:szCs w:val="24"/>
        </w:rPr>
        <w:t>rogramme</w:t>
      </w:r>
      <w:r>
        <w:rPr>
          <w:rFonts w:ascii="Times New Roman" w:hAnsi="Times New Roman" w:cs="Times New Roman"/>
          <w:noProof/>
          <w:sz w:val="24"/>
          <w:szCs w:val="24"/>
        </w:rPr>
        <w:t xml:space="preserve"> </w:t>
      </w:r>
      <w:r w:rsidR="00E85D8D">
        <w:rPr>
          <w:rFonts w:ascii="Times New Roman" w:hAnsi="Times New Roman" w:cs="Times New Roman"/>
          <w:noProof/>
          <w:sz w:val="24"/>
          <w:szCs w:val="24"/>
        </w:rPr>
        <w:t xml:space="preserve">in </w:t>
      </w:r>
      <w:r>
        <w:rPr>
          <w:rFonts w:ascii="Times New Roman" w:hAnsi="Times New Roman" w:cs="Times New Roman"/>
          <w:noProof/>
          <w:sz w:val="24"/>
          <w:szCs w:val="24"/>
        </w:rPr>
        <w:t>2014-2020</w:t>
      </w:r>
      <w:r w:rsidRPr="00BB39D5">
        <w:rPr>
          <w:rFonts w:ascii="Times New Roman" w:hAnsi="Times New Roman" w:cs="Times New Roman"/>
          <w:noProof/>
          <w:sz w:val="24"/>
          <w:szCs w:val="24"/>
        </w:rPr>
        <w:t xml:space="preserve"> was to pursue nuclear research and training activities with an emphasis on continuously improving nuclear safety, security and radiation protection.</w:t>
      </w:r>
      <w:r>
        <w:rPr>
          <w:rFonts w:ascii="Times New Roman" w:hAnsi="Times New Roman" w:cs="Times New Roman"/>
          <w:noProof/>
          <w:sz w:val="24"/>
          <w:szCs w:val="24"/>
        </w:rPr>
        <w:t xml:space="preserve"> Secondly, the </w:t>
      </w:r>
      <w:r w:rsidR="0082013F">
        <w:rPr>
          <w:rFonts w:ascii="Times New Roman" w:hAnsi="Times New Roman" w:cs="Times New Roman"/>
          <w:noProof/>
          <w:sz w:val="24"/>
          <w:szCs w:val="24"/>
        </w:rPr>
        <w:t>P</w:t>
      </w:r>
      <w:r>
        <w:rPr>
          <w:rFonts w:ascii="Times New Roman" w:hAnsi="Times New Roman" w:cs="Times New Roman"/>
          <w:noProof/>
          <w:sz w:val="24"/>
          <w:szCs w:val="24"/>
        </w:rPr>
        <w:t xml:space="preserve">rogramme </w:t>
      </w:r>
      <w:r w:rsidR="00E85D8D">
        <w:rPr>
          <w:rFonts w:ascii="Times New Roman" w:hAnsi="Times New Roman" w:cs="Times New Roman"/>
          <w:noProof/>
          <w:sz w:val="24"/>
          <w:szCs w:val="24"/>
        </w:rPr>
        <w:t xml:space="preserve">also </w:t>
      </w:r>
      <w:r>
        <w:rPr>
          <w:rFonts w:ascii="Times New Roman" w:hAnsi="Times New Roman" w:cs="Times New Roman"/>
          <w:noProof/>
          <w:sz w:val="24"/>
          <w:szCs w:val="24"/>
        </w:rPr>
        <w:t xml:space="preserve">aimed to </w:t>
      </w:r>
      <w:r w:rsidRPr="007C4BD5">
        <w:rPr>
          <w:rFonts w:ascii="Times New Roman" w:hAnsi="Times New Roman" w:cs="Times New Roman"/>
          <w:noProof/>
          <w:sz w:val="24"/>
          <w:szCs w:val="24"/>
        </w:rPr>
        <w:t xml:space="preserve">contribute to the long-term decarbonisation of the energy system in a safe, efficient and secure way. </w:t>
      </w:r>
      <w:r w:rsidRPr="00F87F33">
        <w:rPr>
          <w:rFonts w:ascii="Times New Roman" w:hAnsi="Times New Roman" w:cs="Times New Roman"/>
          <w:noProof/>
          <w:sz w:val="24"/>
          <w:szCs w:val="24"/>
        </w:rPr>
        <w:t xml:space="preserve">The </w:t>
      </w:r>
      <w:r w:rsidR="0082013F">
        <w:rPr>
          <w:rFonts w:ascii="Times New Roman" w:hAnsi="Times New Roman" w:cs="Times New Roman"/>
          <w:noProof/>
          <w:sz w:val="24"/>
          <w:szCs w:val="24"/>
        </w:rPr>
        <w:t>P</w:t>
      </w:r>
      <w:r w:rsidRPr="00F87F33">
        <w:rPr>
          <w:rFonts w:ascii="Times New Roman" w:hAnsi="Times New Roman" w:cs="Times New Roman"/>
          <w:noProof/>
          <w:sz w:val="24"/>
          <w:szCs w:val="24"/>
        </w:rPr>
        <w:t>rogramme</w:t>
      </w:r>
      <w:r w:rsidR="00A1369F">
        <w:rPr>
          <w:rFonts w:ascii="Times New Roman" w:hAnsi="Times New Roman" w:cs="Times New Roman"/>
          <w:noProof/>
          <w:sz w:val="24"/>
          <w:szCs w:val="24"/>
        </w:rPr>
        <w:t>’</w:t>
      </w:r>
      <w:r w:rsidRPr="00F87F33">
        <w:rPr>
          <w:rFonts w:ascii="Times New Roman" w:hAnsi="Times New Roman" w:cs="Times New Roman"/>
          <w:noProof/>
          <w:sz w:val="24"/>
          <w:szCs w:val="24"/>
        </w:rPr>
        <w:t xml:space="preserve">s </w:t>
      </w:r>
      <w:r w:rsidRPr="00934A7E">
        <w:rPr>
          <w:rFonts w:ascii="Times New Roman" w:hAnsi="Times New Roman" w:cs="Times New Roman"/>
          <w:noProof/>
          <w:sz w:val="24"/>
          <w:szCs w:val="24"/>
        </w:rPr>
        <w:t>objectives</w:t>
      </w:r>
      <w:r w:rsidRPr="00645C3B">
        <w:rPr>
          <w:rFonts w:ascii="Times New Roman" w:hAnsi="Times New Roman" w:cs="Times New Roman"/>
          <w:noProof/>
          <w:sz w:val="24"/>
          <w:szCs w:val="24"/>
        </w:rPr>
        <w:t xml:space="preserve"> </w:t>
      </w:r>
      <w:r>
        <w:rPr>
          <w:rFonts w:ascii="Times New Roman" w:hAnsi="Times New Roman" w:cs="Times New Roman"/>
          <w:noProof/>
          <w:sz w:val="24"/>
          <w:szCs w:val="24"/>
        </w:rPr>
        <w:t xml:space="preserve">and </w:t>
      </w:r>
      <w:r w:rsidRPr="00F87F33">
        <w:rPr>
          <w:rFonts w:ascii="Times New Roman" w:hAnsi="Times New Roman" w:cs="Times New Roman"/>
          <w:noProof/>
          <w:sz w:val="24"/>
          <w:szCs w:val="24"/>
        </w:rPr>
        <w:t xml:space="preserve">scope </w:t>
      </w:r>
      <w:r>
        <w:rPr>
          <w:rFonts w:ascii="Times New Roman" w:hAnsi="Times New Roman" w:cs="Times New Roman"/>
          <w:noProof/>
          <w:sz w:val="24"/>
          <w:szCs w:val="24"/>
        </w:rPr>
        <w:t>were</w:t>
      </w:r>
      <w:r w:rsidRPr="00F87F33">
        <w:rPr>
          <w:rFonts w:ascii="Times New Roman" w:hAnsi="Times New Roman" w:cs="Times New Roman"/>
          <w:noProof/>
          <w:sz w:val="24"/>
          <w:szCs w:val="24"/>
        </w:rPr>
        <w:t xml:space="preserve"> based on the compromise reached by the Council following the Fukushima nuclear accident</w:t>
      </w:r>
      <w:r>
        <w:rPr>
          <w:rFonts w:ascii="Times New Roman" w:hAnsi="Times New Roman" w:cs="Times New Roman"/>
          <w:noProof/>
          <w:sz w:val="24"/>
          <w:szCs w:val="24"/>
        </w:rPr>
        <w:t xml:space="preserve"> </w:t>
      </w:r>
      <w:r w:rsidRPr="009A5715">
        <w:rPr>
          <w:rFonts w:ascii="Times New Roman" w:hAnsi="Times New Roman" w:cs="Times New Roman"/>
          <w:noProof/>
          <w:sz w:val="24"/>
          <w:szCs w:val="24"/>
        </w:rPr>
        <w:t>in March 2011.</w:t>
      </w:r>
      <w:r>
        <w:rPr>
          <w:rFonts w:ascii="Times New Roman" w:hAnsi="Times New Roman" w:cs="Times New Roman"/>
          <w:noProof/>
          <w:sz w:val="24"/>
          <w:szCs w:val="24"/>
        </w:rPr>
        <w:t xml:space="preserve"> In line with this compromise, t</w:t>
      </w:r>
      <w:r w:rsidRPr="009A5715">
        <w:rPr>
          <w:rFonts w:ascii="Times New Roman" w:hAnsi="Times New Roman" w:cs="Times New Roman"/>
          <w:noProof/>
          <w:sz w:val="24"/>
          <w:szCs w:val="24"/>
          <w:lang w:val="mt-MT"/>
        </w:rPr>
        <w:t xml:space="preserve">he </w:t>
      </w:r>
      <w:r w:rsidR="0082013F">
        <w:rPr>
          <w:rFonts w:ascii="Times New Roman" w:hAnsi="Times New Roman" w:cs="Times New Roman"/>
          <w:noProof/>
          <w:sz w:val="24"/>
          <w:szCs w:val="24"/>
          <w:lang w:val="mt-MT"/>
        </w:rPr>
        <w:t>P</w:t>
      </w:r>
      <w:r w:rsidRPr="009A5715">
        <w:rPr>
          <w:rFonts w:ascii="Times New Roman" w:hAnsi="Times New Roman" w:cs="Times New Roman"/>
          <w:noProof/>
          <w:sz w:val="24"/>
          <w:szCs w:val="24"/>
          <w:lang w:val="mt-MT"/>
        </w:rPr>
        <w:t>rogramme</w:t>
      </w:r>
      <w:r w:rsidRPr="009A5715">
        <w:rPr>
          <w:rFonts w:ascii="Times New Roman" w:hAnsi="Times New Roman" w:cs="Times New Roman"/>
          <w:noProof/>
          <w:sz w:val="24"/>
          <w:szCs w:val="24"/>
        </w:rPr>
        <w:t xml:space="preserve"> </w:t>
      </w:r>
      <w:r>
        <w:rPr>
          <w:rFonts w:ascii="Times New Roman" w:hAnsi="Times New Roman" w:cs="Times New Roman"/>
          <w:noProof/>
          <w:sz w:val="24"/>
          <w:szCs w:val="24"/>
        </w:rPr>
        <w:t xml:space="preserve">aimed </w:t>
      </w:r>
      <w:r w:rsidRPr="009A5715">
        <w:rPr>
          <w:rFonts w:ascii="Times New Roman" w:hAnsi="Times New Roman" w:cs="Times New Roman"/>
          <w:noProof/>
          <w:sz w:val="24"/>
          <w:szCs w:val="24"/>
        </w:rPr>
        <w:t xml:space="preserve">to ensure the safe use of </w:t>
      </w:r>
      <w:r>
        <w:rPr>
          <w:rFonts w:ascii="Times New Roman" w:hAnsi="Times New Roman" w:cs="Times New Roman"/>
          <w:noProof/>
          <w:sz w:val="24"/>
          <w:szCs w:val="24"/>
        </w:rPr>
        <w:t>nuclear</w:t>
      </w:r>
      <w:r w:rsidRPr="009A5715">
        <w:rPr>
          <w:rFonts w:ascii="Times New Roman" w:hAnsi="Times New Roman" w:cs="Times New Roman"/>
          <w:noProof/>
          <w:sz w:val="24"/>
          <w:szCs w:val="24"/>
        </w:rPr>
        <w:t xml:space="preserve"> technologies, striking the right balance between the need to support the safety of exist</w:t>
      </w:r>
      <w:r w:rsidRPr="009A5715">
        <w:rPr>
          <w:rFonts w:ascii="Times New Roman" w:hAnsi="Times New Roman" w:cs="Times New Roman"/>
          <w:noProof/>
          <w:sz w:val="24"/>
          <w:szCs w:val="24"/>
          <w:lang w:val="mt-MT"/>
        </w:rPr>
        <w:t>i</w:t>
      </w:r>
      <w:r w:rsidRPr="009A5715">
        <w:rPr>
          <w:rFonts w:ascii="Times New Roman" w:hAnsi="Times New Roman" w:cs="Times New Roman"/>
          <w:noProof/>
          <w:sz w:val="24"/>
          <w:szCs w:val="24"/>
        </w:rPr>
        <w:t>ng nuclear technolog</w:t>
      </w:r>
      <w:r>
        <w:rPr>
          <w:rFonts w:ascii="Times New Roman" w:hAnsi="Times New Roman" w:cs="Times New Roman"/>
          <w:noProof/>
          <w:sz w:val="24"/>
          <w:szCs w:val="24"/>
        </w:rPr>
        <w:t>ies</w:t>
      </w:r>
      <w:r w:rsidRPr="009A5715">
        <w:rPr>
          <w:rFonts w:ascii="Times New Roman" w:hAnsi="Times New Roman" w:cs="Times New Roman"/>
          <w:noProof/>
          <w:sz w:val="24"/>
          <w:szCs w:val="24"/>
        </w:rPr>
        <w:t xml:space="preserve"> in Europe and the need to underpin safety in the future.</w:t>
      </w:r>
    </w:p>
    <w:p w14:paraId="11772185" w14:textId="77777777" w:rsidR="00383303" w:rsidRPr="00BB39D5" w:rsidRDefault="00383303" w:rsidP="00383303">
      <w:pPr>
        <w:spacing w:after="0" w:line="240" w:lineRule="auto"/>
        <w:jc w:val="both"/>
        <w:rPr>
          <w:rFonts w:ascii="Times New Roman" w:hAnsi="Times New Roman" w:cs="Times New Roman"/>
          <w:noProof/>
          <w:color w:val="000000" w:themeColor="text1"/>
          <w:sz w:val="24"/>
          <w:szCs w:val="24"/>
        </w:rPr>
      </w:pPr>
    </w:p>
    <w:p w14:paraId="224D96ED" w14:textId="7742CBA2" w:rsidR="00383303" w:rsidRPr="007C4BD5" w:rsidRDefault="00E85D8D" w:rsidP="00383303">
      <w:pPr>
        <w:spacing w:after="0" w:line="240" w:lineRule="auto"/>
        <w:jc w:val="both"/>
        <w:rPr>
          <w:rFonts w:ascii="Times New Roman" w:eastAsia="Times New Roman" w:hAnsi="Times New Roman" w:cs="Times New Roman"/>
          <w:noProof/>
          <w:color w:val="0E101A"/>
          <w:sz w:val="24"/>
          <w:szCs w:val="24"/>
          <w:lang w:val="en-IE" w:eastAsia="en-IE"/>
        </w:rPr>
      </w:pPr>
      <w:r>
        <w:rPr>
          <w:rFonts w:ascii="Times New Roman" w:eastAsia="Times New Roman" w:hAnsi="Times New Roman" w:cs="Times New Roman"/>
          <w:noProof/>
          <w:color w:val="0E101A"/>
          <w:sz w:val="24"/>
          <w:szCs w:val="24"/>
          <w:lang w:val="en-IE" w:eastAsia="en-IE"/>
        </w:rPr>
        <w:t>The r</w:t>
      </w:r>
      <w:r w:rsidR="00383303">
        <w:rPr>
          <w:rFonts w:ascii="Times New Roman" w:eastAsia="Times New Roman" w:hAnsi="Times New Roman" w:cs="Times New Roman"/>
          <w:noProof/>
          <w:color w:val="0E101A"/>
          <w:sz w:val="24"/>
          <w:szCs w:val="24"/>
          <w:lang w:val="en-IE" w:eastAsia="en-IE"/>
        </w:rPr>
        <w:t>esults of the evaluation show that t</w:t>
      </w:r>
      <w:r w:rsidR="00383303" w:rsidRPr="00C55690">
        <w:rPr>
          <w:rFonts w:ascii="Times New Roman" w:eastAsia="Times New Roman" w:hAnsi="Times New Roman" w:cs="Times New Roman"/>
          <w:noProof/>
          <w:color w:val="0E101A"/>
          <w:sz w:val="24"/>
          <w:szCs w:val="24"/>
          <w:lang w:val="en-IE" w:eastAsia="en-IE"/>
        </w:rPr>
        <w:t xml:space="preserve">he </w:t>
      </w:r>
      <w:r w:rsidR="0082013F">
        <w:rPr>
          <w:rFonts w:ascii="Times New Roman" w:eastAsia="Times New Roman" w:hAnsi="Times New Roman" w:cs="Times New Roman"/>
          <w:noProof/>
          <w:color w:val="0E101A"/>
          <w:sz w:val="24"/>
          <w:szCs w:val="24"/>
          <w:lang w:val="en-IE" w:eastAsia="en-IE"/>
        </w:rPr>
        <w:t>P</w:t>
      </w:r>
      <w:r w:rsidR="00383303">
        <w:rPr>
          <w:rFonts w:ascii="Times New Roman" w:eastAsia="Times New Roman" w:hAnsi="Times New Roman" w:cs="Times New Roman"/>
          <w:noProof/>
          <w:color w:val="0E101A"/>
          <w:sz w:val="24"/>
          <w:szCs w:val="24"/>
          <w:lang w:val="en-IE" w:eastAsia="en-IE"/>
        </w:rPr>
        <w:t>rogramme</w:t>
      </w:r>
      <w:r w:rsidR="00383303" w:rsidRPr="00587F6E">
        <w:rPr>
          <w:rFonts w:ascii="Times New Roman" w:eastAsia="Times New Roman" w:hAnsi="Times New Roman" w:cs="Times New Roman"/>
          <w:noProof/>
          <w:color w:val="0E101A"/>
          <w:sz w:val="24"/>
          <w:szCs w:val="24"/>
          <w:lang w:val="en-IE" w:eastAsia="en-IE"/>
        </w:rPr>
        <w:t xml:space="preserve"> supported highly</w:t>
      </w:r>
      <w:r w:rsidR="00383303" w:rsidRPr="00F07B54">
        <w:rPr>
          <w:rFonts w:ascii="Times New Roman" w:eastAsia="Times New Roman" w:hAnsi="Times New Roman" w:cs="Times New Roman"/>
          <w:noProof/>
          <w:color w:val="0E101A"/>
          <w:sz w:val="24"/>
          <w:szCs w:val="24"/>
          <w:lang w:val="en-IE" w:eastAsia="en-IE"/>
        </w:rPr>
        <w:t xml:space="preserve"> </w:t>
      </w:r>
      <w:r w:rsidR="00383303" w:rsidRPr="00BB39D5">
        <w:rPr>
          <w:rFonts w:ascii="Times New Roman" w:eastAsia="Times New Roman" w:hAnsi="Times New Roman" w:cs="Times New Roman"/>
          <w:noProof/>
          <w:color w:val="0E101A"/>
          <w:sz w:val="24"/>
          <w:szCs w:val="24"/>
          <w:lang w:val="en-IE" w:eastAsia="en-IE"/>
        </w:rPr>
        <w:t>relevant</w:t>
      </w:r>
      <w:r w:rsidR="00383303" w:rsidRPr="00F07B54">
        <w:rPr>
          <w:rFonts w:ascii="Times New Roman" w:eastAsia="Times New Roman" w:hAnsi="Times New Roman" w:cs="Times New Roman"/>
          <w:noProof/>
          <w:color w:val="0E101A"/>
          <w:sz w:val="24"/>
          <w:szCs w:val="24"/>
          <w:lang w:val="en-IE" w:eastAsia="en-IE"/>
        </w:rPr>
        <w:t xml:space="preserve"> research and training actions in nuclear safety, security, and radiation protection, h</w:t>
      </w:r>
      <w:r w:rsidR="00383303">
        <w:rPr>
          <w:rFonts w:ascii="Times New Roman" w:eastAsia="Times New Roman" w:hAnsi="Times New Roman" w:cs="Times New Roman"/>
          <w:noProof/>
          <w:color w:val="0E101A"/>
          <w:sz w:val="24"/>
          <w:szCs w:val="24"/>
          <w:lang w:val="en-IE" w:eastAsia="en-IE"/>
        </w:rPr>
        <w:t>elping to ensure</w:t>
      </w:r>
      <w:r w:rsidR="00383303" w:rsidRPr="00C55690">
        <w:rPr>
          <w:rFonts w:ascii="Times New Roman" w:eastAsia="Times New Roman" w:hAnsi="Times New Roman" w:cs="Times New Roman"/>
          <w:noProof/>
          <w:color w:val="0E101A"/>
          <w:sz w:val="24"/>
          <w:szCs w:val="24"/>
          <w:lang w:val="en-IE" w:eastAsia="en-IE"/>
        </w:rPr>
        <w:t xml:space="preserve"> </w:t>
      </w:r>
      <w:r w:rsidR="00383303">
        <w:rPr>
          <w:rFonts w:ascii="Times New Roman" w:eastAsia="Times New Roman" w:hAnsi="Times New Roman" w:cs="Times New Roman"/>
          <w:noProof/>
          <w:color w:val="0E101A"/>
          <w:sz w:val="24"/>
          <w:szCs w:val="24"/>
          <w:lang w:val="en-IE" w:eastAsia="en-IE"/>
        </w:rPr>
        <w:t>that Europe meets the highest standards in these fields</w:t>
      </w:r>
      <w:r w:rsidR="00383303" w:rsidRPr="00C55690">
        <w:rPr>
          <w:rFonts w:ascii="Times New Roman" w:eastAsia="Times New Roman" w:hAnsi="Times New Roman" w:cs="Times New Roman"/>
          <w:noProof/>
          <w:color w:val="0E101A"/>
          <w:sz w:val="24"/>
          <w:szCs w:val="24"/>
          <w:lang w:val="en-IE" w:eastAsia="en-IE"/>
        </w:rPr>
        <w:t>.</w:t>
      </w:r>
      <w:r w:rsidR="00383303">
        <w:rPr>
          <w:rFonts w:ascii="Times New Roman" w:eastAsia="Times New Roman" w:hAnsi="Times New Roman" w:cs="Times New Roman"/>
          <w:noProof/>
          <w:color w:val="0E101A"/>
          <w:sz w:val="24"/>
          <w:szCs w:val="24"/>
          <w:lang w:val="en-IE" w:eastAsia="en-IE"/>
        </w:rPr>
        <w:t xml:space="preserve"> </w:t>
      </w:r>
      <w:r w:rsidR="00383303" w:rsidRPr="00587F6E">
        <w:rPr>
          <w:rFonts w:ascii="Times New Roman" w:eastAsia="Times New Roman" w:hAnsi="Times New Roman" w:cs="Times New Roman"/>
          <w:noProof/>
          <w:color w:val="0E101A"/>
          <w:sz w:val="24"/>
          <w:szCs w:val="24"/>
          <w:lang w:val="en-IE" w:eastAsia="en-IE"/>
        </w:rPr>
        <w:t xml:space="preserve">At the same time, the </w:t>
      </w:r>
      <w:r w:rsidR="0082013F">
        <w:rPr>
          <w:rFonts w:ascii="Times New Roman" w:eastAsia="Times New Roman" w:hAnsi="Times New Roman" w:cs="Times New Roman"/>
          <w:noProof/>
          <w:color w:val="0E101A"/>
          <w:sz w:val="24"/>
          <w:szCs w:val="24"/>
          <w:lang w:val="en-IE" w:eastAsia="en-IE"/>
        </w:rPr>
        <w:t>P</w:t>
      </w:r>
      <w:r w:rsidR="00383303" w:rsidRPr="00587F6E">
        <w:rPr>
          <w:rFonts w:ascii="Times New Roman" w:eastAsia="Times New Roman" w:hAnsi="Times New Roman" w:cs="Times New Roman"/>
          <w:noProof/>
          <w:color w:val="0E101A"/>
          <w:sz w:val="24"/>
          <w:szCs w:val="24"/>
          <w:lang w:val="en-IE" w:eastAsia="en-IE"/>
        </w:rPr>
        <w:t>rogramme contributed to the long-term decarbonisation of the EU energy system by providing a knowledge base and solutions for</w:t>
      </w:r>
      <w:r w:rsidR="00F30783">
        <w:rPr>
          <w:rFonts w:ascii="Times New Roman" w:eastAsia="Times New Roman" w:hAnsi="Times New Roman" w:cs="Times New Roman"/>
          <w:noProof/>
          <w:color w:val="0E101A"/>
          <w:sz w:val="24"/>
          <w:szCs w:val="24"/>
          <w:lang w:val="en-IE" w:eastAsia="en-IE"/>
        </w:rPr>
        <w:t>: (i)</w:t>
      </w:r>
      <w:r w:rsidR="00383303" w:rsidRPr="00587F6E">
        <w:rPr>
          <w:rFonts w:ascii="Times New Roman" w:eastAsia="Times New Roman" w:hAnsi="Times New Roman" w:cs="Times New Roman"/>
          <w:noProof/>
          <w:color w:val="0E101A"/>
          <w:sz w:val="24"/>
          <w:szCs w:val="24"/>
          <w:lang w:val="en-IE" w:eastAsia="en-IE"/>
        </w:rPr>
        <w:t xml:space="preserve"> the long-term operation of existing </w:t>
      </w:r>
      <w:r w:rsidR="0082013F">
        <w:rPr>
          <w:rFonts w:ascii="Times New Roman" w:eastAsia="Times New Roman" w:hAnsi="Times New Roman" w:cs="Times New Roman"/>
          <w:noProof/>
          <w:color w:val="0E101A"/>
          <w:sz w:val="24"/>
          <w:szCs w:val="24"/>
          <w:lang w:val="en-IE" w:eastAsia="en-IE"/>
        </w:rPr>
        <w:t>NPPs</w:t>
      </w:r>
      <w:r w:rsidR="00F30783">
        <w:rPr>
          <w:rFonts w:ascii="Times New Roman" w:eastAsia="Times New Roman" w:hAnsi="Times New Roman" w:cs="Times New Roman"/>
          <w:noProof/>
          <w:color w:val="0E101A"/>
          <w:sz w:val="24"/>
          <w:szCs w:val="24"/>
          <w:lang w:val="en-IE" w:eastAsia="en-IE"/>
        </w:rPr>
        <w:t>; (ii)</w:t>
      </w:r>
      <w:r w:rsidR="00383303" w:rsidRPr="00587F6E">
        <w:rPr>
          <w:rFonts w:ascii="Times New Roman" w:eastAsia="Times New Roman" w:hAnsi="Times New Roman" w:cs="Times New Roman"/>
          <w:noProof/>
          <w:color w:val="0E101A"/>
          <w:sz w:val="24"/>
          <w:szCs w:val="24"/>
          <w:lang w:val="en-IE" w:eastAsia="en-IE"/>
        </w:rPr>
        <w:t xml:space="preserve"> the development of fusion energy</w:t>
      </w:r>
      <w:r w:rsidR="00F30783">
        <w:rPr>
          <w:rFonts w:ascii="Times New Roman" w:eastAsia="Times New Roman" w:hAnsi="Times New Roman" w:cs="Times New Roman"/>
          <w:noProof/>
          <w:color w:val="0E101A"/>
          <w:sz w:val="24"/>
          <w:szCs w:val="24"/>
          <w:lang w:val="en-IE" w:eastAsia="en-IE"/>
        </w:rPr>
        <w:t>;</w:t>
      </w:r>
      <w:r w:rsidR="00383303" w:rsidRPr="00587F6E">
        <w:rPr>
          <w:rFonts w:ascii="Times New Roman" w:eastAsia="Times New Roman" w:hAnsi="Times New Roman" w:cs="Times New Roman"/>
          <w:noProof/>
          <w:color w:val="0E101A"/>
          <w:sz w:val="24"/>
          <w:szCs w:val="24"/>
          <w:lang w:val="en-IE" w:eastAsia="en-IE"/>
        </w:rPr>
        <w:t xml:space="preserve"> and </w:t>
      </w:r>
      <w:r w:rsidR="00F30783">
        <w:rPr>
          <w:rFonts w:ascii="Times New Roman" w:eastAsia="Times New Roman" w:hAnsi="Times New Roman" w:cs="Times New Roman"/>
          <w:noProof/>
          <w:color w:val="0E101A"/>
          <w:sz w:val="24"/>
          <w:szCs w:val="24"/>
          <w:lang w:val="en-IE" w:eastAsia="en-IE"/>
        </w:rPr>
        <w:t xml:space="preserve">(iii) </w:t>
      </w:r>
      <w:r w:rsidR="00383303" w:rsidRPr="00587F6E">
        <w:rPr>
          <w:rFonts w:ascii="Times New Roman" w:eastAsia="Times New Roman" w:hAnsi="Times New Roman" w:cs="Times New Roman"/>
          <w:noProof/>
          <w:color w:val="0E101A"/>
          <w:sz w:val="24"/>
          <w:szCs w:val="24"/>
          <w:lang w:val="en-IE" w:eastAsia="en-IE"/>
        </w:rPr>
        <w:t>the safety case for advanced nuclear systems.</w:t>
      </w:r>
      <w:r w:rsidR="00383303">
        <w:rPr>
          <w:rFonts w:ascii="Times New Roman" w:eastAsia="Times New Roman" w:hAnsi="Times New Roman" w:cs="Times New Roman"/>
          <w:noProof/>
          <w:color w:val="0E101A"/>
          <w:sz w:val="24"/>
          <w:szCs w:val="24"/>
          <w:lang w:val="en-IE" w:eastAsia="en-IE"/>
        </w:rPr>
        <w:t xml:space="preserve"> </w:t>
      </w:r>
      <w:r w:rsidR="00383303" w:rsidRPr="007C4BD5">
        <w:rPr>
          <w:rFonts w:ascii="Times New Roman" w:eastAsia="Times New Roman" w:hAnsi="Times New Roman" w:cs="Times New Roman"/>
          <w:noProof/>
          <w:color w:val="0E101A"/>
          <w:sz w:val="24"/>
          <w:szCs w:val="24"/>
          <w:lang w:val="en-IE" w:eastAsia="en-IE"/>
        </w:rPr>
        <w:t xml:space="preserve">Consultation revealed that the </w:t>
      </w:r>
      <w:r w:rsidR="0082013F">
        <w:rPr>
          <w:rFonts w:ascii="Times New Roman" w:eastAsia="Times New Roman" w:hAnsi="Times New Roman" w:cs="Times New Roman"/>
          <w:noProof/>
          <w:color w:val="0E101A"/>
          <w:sz w:val="24"/>
          <w:szCs w:val="24"/>
          <w:lang w:val="en-IE" w:eastAsia="en-IE"/>
        </w:rPr>
        <w:t>P</w:t>
      </w:r>
      <w:r w:rsidR="00383303" w:rsidRPr="007C4BD5">
        <w:rPr>
          <w:rFonts w:ascii="Times New Roman" w:eastAsia="Times New Roman" w:hAnsi="Times New Roman" w:cs="Times New Roman"/>
          <w:noProof/>
          <w:color w:val="0E101A"/>
          <w:sz w:val="24"/>
          <w:szCs w:val="24"/>
          <w:lang w:val="en-IE" w:eastAsia="en-IE"/>
        </w:rPr>
        <w:t>rogramme was also</w:t>
      </w:r>
      <w:r w:rsidR="00383303">
        <w:rPr>
          <w:rFonts w:ascii="Times New Roman" w:eastAsia="Times New Roman" w:hAnsi="Times New Roman" w:cs="Times New Roman"/>
          <w:noProof/>
          <w:color w:val="0E101A"/>
          <w:sz w:val="24"/>
          <w:szCs w:val="24"/>
          <w:lang w:val="en-IE" w:eastAsia="en-IE"/>
        </w:rPr>
        <w:t xml:space="preserve"> pertinent</w:t>
      </w:r>
      <w:r w:rsidR="00383303" w:rsidRPr="007C4BD5">
        <w:rPr>
          <w:rFonts w:ascii="Times New Roman" w:eastAsia="Times New Roman" w:hAnsi="Times New Roman" w:cs="Times New Roman"/>
          <w:noProof/>
          <w:color w:val="0E101A"/>
          <w:sz w:val="24"/>
          <w:szCs w:val="24"/>
          <w:lang w:val="en-IE" w:eastAsia="en-IE"/>
        </w:rPr>
        <w:t xml:space="preserve"> for research stakeholders and end-users of nuclear research</w:t>
      </w:r>
      <w:r w:rsidR="00CB1C66">
        <w:rPr>
          <w:rFonts w:ascii="Times New Roman" w:eastAsia="Times New Roman" w:hAnsi="Times New Roman" w:cs="Times New Roman"/>
          <w:noProof/>
          <w:color w:val="0E101A"/>
          <w:sz w:val="24"/>
          <w:szCs w:val="24"/>
          <w:lang w:val="en-IE" w:eastAsia="en-IE"/>
        </w:rPr>
        <w:t>, i.e.</w:t>
      </w:r>
      <w:r w:rsidR="00383303" w:rsidRPr="007C4BD5">
        <w:rPr>
          <w:rFonts w:ascii="Times New Roman" w:eastAsia="Times New Roman" w:hAnsi="Times New Roman" w:cs="Times New Roman"/>
          <w:noProof/>
          <w:color w:val="0E101A"/>
          <w:sz w:val="24"/>
          <w:szCs w:val="24"/>
          <w:lang w:val="en-IE" w:eastAsia="en-IE"/>
        </w:rPr>
        <w:t xml:space="preserve"> the nuclear industry, operators of power plants</w:t>
      </w:r>
      <w:r w:rsidR="00647D08">
        <w:rPr>
          <w:rFonts w:ascii="Times New Roman" w:eastAsia="Times New Roman" w:hAnsi="Times New Roman" w:cs="Times New Roman"/>
          <w:noProof/>
          <w:color w:val="0E101A"/>
          <w:sz w:val="24"/>
          <w:szCs w:val="24"/>
          <w:lang w:val="en-IE" w:eastAsia="en-IE"/>
        </w:rPr>
        <w:t>,</w:t>
      </w:r>
      <w:r w:rsidR="00383303" w:rsidRPr="007C4BD5">
        <w:rPr>
          <w:rFonts w:ascii="Times New Roman" w:eastAsia="Times New Roman" w:hAnsi="Times New Roman" w:cs="Times New Roman"/>
          <w:noProof/>
          <w:color w:val="0E101A"/>
          <w:sz w:val="24"/>
          <w:szCs w:val="24"/>
          <w:lang w:val="en-IE" w:eastAsia="en-IE"/>
        </w:rPr>
        <w:t xml:space="preserve"> and safety authorities. The relevance </w:t>
      </w:r>
      <w:r w:rsidR="00383303">
        <w:rPr>
          <w:rFonts w:ascii="Times New Roman" w:eastAsia="Times New Roman" w:hAnsi="Times New Roman" w:cs="Times New Roman"/>
          <w:noProof/>
          <w:color w:val="0E101A"/>
          <w:sz w:val="24"/>
          <w:szCs w:val="24"/>
          <w:lang w:val="en-IE" w:eastAsia="en-IE"/>
        </w:rPr>
        <w:t>of actions proposed in the work programmes</w:t>
      </w:r>
      <w:r w:rsidR="00383303" w:rsidRPr="007C4BD5">
        <w:rPr>
          <w:rFonts w:ascii="Times New Roman" w:eastAsia="Times New Roman" w:hAnsi="Times New Roman" w:cs="Times New Roman"/>
          <w:noProof/>
          <w:color w:val="0E101A"/>
          <w:sz w:val="24"/>
          <w:szCs w:val="24"/>
          <w:lang w:val="en-IE" w:eastAsia="en-IE"/>
        </w:rPr>
        <w:t xml:space="preserve"> was also shown by the sustained interest in the competitive calls.</w:t>
      </w:r>
      <w:r w:rsidR="00383303">
        <w:rPr>
          <w:rFonts w:ascii="Times New Roman" w:eastAsia="Times New Roman" w:hAnsi="Times New Roman" w:cs="Times New Roman"/>
          <w:noProof/>
          <w:color w:val="0E101A"/>
          <w:sz w:val="24"/>
          <w:szCs w:val="24"/>
          <w:lang w:val="en-IE" w:eastAsia="en-IE"/>
        </w:rPr>
        <w:t xml:space="preserve"> In line with the work programmes, </w:t>
      </w:r>
      <w:r w:rsidR="00383303" w:rsidRPr="007C4BD5">
        <w:rPr>
          <w:rFonts w:ascii="Times New Roman" w:eastAsia="Times New Roman" w:hAnsi="Times New Roman" w:cs="Times New Roman"/>
          <w:noProof/>
          <w:color w:val="0E101A"/>
          <w:sz w:val="24"/>
          <w:szCs w:val="24"/>
          <w:lang w:val="en-IE" w:eastAsia="en-IE"/>
        </w:rPr>
        <w:t xml:space="preserve">the </w:t>
      </w:r>
      <w:r w:rsidR="0082013F">
        <w:rPr>
          <w:rFonts w:ascii="Times New Roman" w:eastAsia="Times New Roman" w:hAnsi="Times New Roman" w:cs="Times New Roman"/>
          <w:noProof/>
          <w:color w:val="0E101A"/>
          <w:sz w:val="24"/>
          <w:szCs w:val="24"/>
          <w:lang w:val="en-IE" w:eastAsia="en-IE"/>
        </w:rPr>
        <w:t>P</w:t>
      </w:r>
      <w:r w:rsidR="00383303" w:rsidRPr="007C4BD5">
        <w:rPr>
          <w:rFonts w:ascii="Times New Roman" w:eastAsia="Times New Roman" w:hAnsi="Times New Roman" w:cs="Times New Roman"/>
          <w:noProof/>
          <w:color w:val="0E101A"/>
          <w:sz w:val="24"/>
          <w:szCs w:val="24"/>
          <w:lang w:val="en-IE" w:eastAsia="en-IE"/>
        </w:rPr>
        <w:t xml:space="preserve">rogramme funded </w:t>
      </w:r>
      <w:r w:rsidR="0082013F">
        <w:rPr>
          <w:rFonts w:ascii="Times New Roman" w:eastAsia="Times New Roman" w:hAnsi="Times New Roman" w:cs="Times New Roman"/>
          <w:noProof/>
          <w:color w:val="0E101A"/>
          <w:sz w:val="24"/>
          <w:szCs w:val="24"/>
          <w:lang w:val="en-IE" w:eastAsia="en-IE"/>
        </w:rPr>
        <w:t>a</w:t>
      </w:r>
      <w:r w:rsidR="00383303" w:rsidRPr="007C4BD5">
        <w:rPr>
          <w:rFonts w:ascii="Times New Roman" w:eastAsia="Times New Roman" w:hAnsi="Times New Roman" w:cs="Times New Roman"/>
          <w:noProof/>
          <w:color w:val="0E101A"/>
          <w:sz w:val="24"/>
          <w:szCs w:val="24"/>
          <w:lang w:val="en-IE" w:eastAsia="en-IE"/>
        </w:rPr>
        <w:t xml:space="preserve"> portfolio of 9</w:t>
      </w:r>
      <w:r w:rsidR="002A62E5">
        <w:rPr>
          <w:rFonts w:ascii="Times New Roman" w:eastAsia="Times New Roman" w:hAnsi="Times New Roman" w:cs="Times New Roman"/>
          <w:noProof/>
          <w:color w:val="0E101A"/>
          <w:sz w:val="24"/>
          <w:szCs w:val="24"/>
          <w:lang w:val="en-IE" w:eastAsia="en-IE"/>
        </w:rPr>
        <w:t>6</w:t>
      </w:r>
      <w:r w:rsidR="00383303" w:rsidRPr="007C4BD5">
        <w:rPr>
          <w:rFonts w:ascii="Times New Roman" w:eastAsia="Times New Roman" w:hAnsi="Times New Roman" w:cs="Times New Roman"/>
          <w:noProof/>
          <w:color w:val="0E101A"/>
          <w:sz w:val="24"/>
          <w:szCs w:val="24"/>
          <w:lang w:val="en-IE" w:eastAsia="en-IE"/>
        </w:rPr>
        <w:t xml:space="preserve"> research and training projects, 3 Europea</w:t>
      </w:r>
      <w:r w:rsidR="00A1369F">
        <w:rPr>
          <w:rFonts w:ascii="Times New Roman" w:eastAsia="Times New Roman" w:hAnsi="Times New Roman" w:cs="Times New Roman"/>
          <w:noProof/>
          <w:color w:val="0E101A"/>
          <w:sz w:val="24"/>
          <w:szCs w:val="24"/>
          <w:lang w:val="en-IE" w:eastAsia="en-IE"/>
        </w:rPr>
        <w:t>n</w:t>
      </w:r>
      <w:r w:rsidR="00383303" w:rsidRPr="007C4BD5">
        <w:rPr>
          <w:rFonts w:ascii="Times New Roman" w:eastAsia="Times New Roman" w:hAnsi="Times New Roman" w:cs="Times New Roman"/>
          <w:noProof/>
          <w:color w:val="0E101A"/>
          <w:sz w:val="24"/>
          <w:szCs w:val="24"/>
          <w:lang w:val="en-IE" w:eastAsia="en-IE"/>
        </w:rPr>
        <w:t xml:space="preserve"> </w:t>
      </w:r>
      <w:r w:rsidR="00647D08">
        <w:rPr>
          <w:rFonts w:ascii="Times New Roman" w:eastAsia="Times New Roman" w:hAnsi="Times New Roman" w:cs="Times New Roman"/>
          <w:noProof/>
          <w:color w:val="0E101A"/>
          <w:sz w:val="24"/>
          <w:szCs w:val="24"/>
          <w:lang w:val="en-IE" w:eastAsia="en-IE"/>
        </w:rPr>
        <w:t>j</w:t>
      </w:r>
      <w:r w:rsidR="00383303" w:rsidRPr="007C4BD5">
        <w:rPr>
          <w:rFonts w:ascii="Times New Roman" w:eastAsia="Times New Roman" w:hAnsi="Times New Roman" w:cs="Times New Roman"/>
          <w:noProof/>
          <w:color w:val="0E101A"/>
          <w:sz w:val="24"/>
          <w:szCs w:val="24"/>
          <w:lang w:val="en-IE" w:eastAsia="en-IE"/>
        </w:rPr>
        <w:t xml:space="preserve">oint </w:t>
      </w:r>
      <w:r w:rsidR="00647D08">
        <w:rPr>
          <w:rFonts w:ascii="Times New Roman" w:eastAsia="Times New Roman" w:hAnsi="Times New Roman" w:cs="Times New Roman"/>
          <w:noProof/>
          <w:color w:val="0E101A"/>
          <w:sz w:val="24"/>
          <w:szCs w:val="24"/>
          <w:lang w:val="en-IE" w:eastAsia="en-IE"/>
        </w:rPr>
        <w:t>p</w:t>
      </w:r>
      <w:r w:rsidR="00383303" w:rsidRPr="007C4BD5">
        <w:rPr>
          <w:rFonts w:ascii="Times New Roman" w:eastAsia="Times New Roman" w:hAnsi="Times New Roman" w:cs="Times New Roman"/>
          <w:noProof/>
          <w:color w:val="0E101A"/>
          <w:sz w:val="24"/>
          <w:szCs w:val="24"/>
          <w:lang w:val="en-IE" w:eastAsia="en-IE"/>
        </w:rPr>
        <w:t>rogrammes</w:t>
      </w:r>
      <w:r w:rsidR="0082013F">
        <w:rPr>
          <w:rFonts w:ascii="Times New Roman" w:eastAsia="Times New Roman" w:hAnsi="Times New Roman" w:cs="Times New Roman"/>
          <w:noProof/>
          <w:color w:val="0E101A"/>
          <w:sz w:val="24"/>
          <w:szCs w:val="24"/>
          <w:lang w:val="en-IE" w:eastAsia="en-IE"/>
        </w:rPr>
        <w:t xml:space="preserve"> </w:t>
      </w:r>
      <w:r w:rsidR="00F66284">
        <w:rPr>
          <w:rFonts w:ascii="Times New Roman" w:eastAsia="Times New Roman" w:hAnsi="Times New Roman" w:cs="Times New Roman"/>
          <w:noProof/>
          <w:color w:val="0E101A"/>
          <w:sz w:val="24"/>
          <w:szCs w:val="24"/>
          <w:lang w:val="en-IE" w:eastAsia="en-IE"/>
        </w:rPr>
        <w:t xml:space="preserve">(EJPs) </w:t>
      </w:r>
      <w:r w:rsidR="00383303" w:rsidRPr="007C4BD5">
        <w:rPr>
          <w:rFonts w:ascii="Times New Roman" w:eastAsia="Times New Roman" w:hAnsi="Times New Roman" w:cs="Times New Roman"/>
          <w:noProof/>
          <w:color w:val="0E101A"/>
          <w:sz w:val="24"/>
          <w:szCs w:val="24"/>
          <w:lang w:val="en-IE" w:eastAsia="en-IE"/>
        </w:rPr>
        <w:t>and JRC actions supporting research relevant for specific objectives</w:t>
      </w:r>
      <w:r w:rsidR="00383303">
        <w:rPr>
          <w:rFonts w:ascii="Times New Roman" w:eastAsia="Times New Roman" w:hAnsi="Times New Roman" w:cs="Times New Roman"/>
          <w:noProof/>
          <w:color w:val="0E101A"/>
          <w:sz w:val="24"/>
          <w:szCs w:val="24"/>
          <w:lang w:val="en-IE" w:eastAsia="en-IE"/>
        </w:rPr>
        <w:t xml:space="preserve"> (see table</w:t>
      </w:r>
      <w:r w:rsidR="00CB1C66">
        <w:rPr>
          <w:rFonts w:ascii="Times New Roman" w:eastAsia="Times New Roman" w:hAnsi="Times New Roman" w:cs="Times New Roman"/>
          <w:noProof/>
          <w:color w:val="0E101A"/>
          <w:sz w:val="24"/>
          <w:szCs w:val="24"/>
          <w:lang w:val="en-IE" w:eastAsia="en-IE"/>
        </w:rPr>
        <w:t xml:space="preserve"> below</w:t>
      </w:r>
      <w:r w:rsidR="00383303">
        <w:rPr>
          <w:rFonts w:ascii="Times New Roman" w:eastAsia="Times New Roman" w:hAnsi="Times New Roman" w:cs="Times New Roman"/>
          <w:noProof/>
          <w:color w:val="0E101A"/>
          <w:sz w:val="24"/>
          <w:szCs w:val="24"/>
          <w:lang w:val="en-IE" w:eastAsia="en-IE"/>
        </w:rPr>
        <w:t>).</w:t>
      </w:r>
    </w:p>
    <w:p w14:paraId="15A3D100" w14:textId="77777777" w:rsidR="00383303" w:rsidRDefault="00383303" w:rsidP="00383303">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809"/>
        <w:gridCol w:w="7207"/>
      </w:tblGrid>
      <w:tr w:rsidR="00383303" w:rsidRPr="0087477D" w14:paraId="6B7E49AE" w14:textId="77777777" w:rsidTr="00BB39D5">
        <w:tc>
          <w:tcPr>
            <w:tcW w:w="1809" w:type="dxa"/>
            <w:vAlign w:val="center"/>
          </w:tcPr>
          <w:p w14:paraId="4895AABE" w14:textId="77777777" w:rsidR="00383303" w:rsidRPr="00BB39D5" w:rsidRDefault="00383303" w:rsidP="00BB39D5">
            <w:pPr>
              <w:jc w:val="center"/>
              <w:rPr>
                <w:rFonts w:ascii="Times New Roman" w:hAnsi="Times New Roman" w:cs="Times New Roman"/>
                <w:b/>
                <w:bCs/>
                <w:noProof/>
                <w:sz w:val="20"/>
                <w:szCs w:val="20"/>
              </w:rPr>
            </w:pPr>
            <w:r w:rsidRPr="00BB39D5">
              <w:rPr>
                <w:rFonts w:ascii="Times New Roman" w:hAnsi="Times New Roman" w:cs="Times New Roman"/>
                <w:b/>
                <w:bCs/>
                <w:noProof/>
                <w:sz w:val="20"/>
                <w:szCs w:val="20"/>
              </w:rPr>
              <w:t>Specific objective</w:t>
            </w:r>
          </w:p>
        </w:tc>
        <w:tc>
          <w:tcPr>
            <w:tcW w:w="7207" w:type="dxa"/>
          </w:tcPr>
          <w:p w14:paraId="30C40847" w14:textId="77777777" w:rsidR="00383303" w:rsidRPr="00BB39D5" w:rsidRDefault="00383303" w:rsidP="00BB39D5">
            <w:pPr>
              <w:jc w:val="center"/>
              <w:rPr>
                <w:rFonts w:ascii="Times New Roman" w:hAnsi="Times New Roman" w:cs="Times New Roman"/>
                <w:b/>
                <w:bCs/>
                <w:noProof/>
                <w:sz w:val="20"/>
                <w:szCs w:val="20"/>
              </w:rPr>
            </w:pPr>
            <w:r w:rsidRPr="0087477D">
              <w:rPr>
                <w:rFonts w:ascii="Times New Roman" w:hAnsi="Times New Roman" w:cs="Times New Roman"/>
                <w:b/>
                <w:bCs/>
                <w:noProof/>
                <w:sz w:val="20"/>
                <w:szCs w:val="20"/>
              </w:rPr>
              <w:t xml:space="preserve">Euratom </w:t>
            </w:r>
            <w:r>
              <w:rPr>
                <w:rFonts w:ascii="Times New Roman" w:hAnsi="Times New Roman" w:cs="Times New Roman"/>
                <w:b/>
                <w:bCs/>
                <w:noProof/>
                <w:sz w:val="20"/>
                <w:szCs w:val="20"/>
              </w:rPr>
              <w:t xml:space="preserve">indirect </w:t>
            </w:r>
            <w:r w:rsidRPr="0087477D">
              <w:rPr>
                <w:rFonts w:ascii="Times New Roman" w:hAnsi="Times New Roman" w:cs="Times New Roman"/>
                <w:b/>
                <w:bCs/>
                <w:noProof/>
                <w:sz w:val="20"/>
                <w:szCs w:val="20"/>
              </w:rPr>
              <w:t>actions</w:t>
            </w:r>
            <w:r>
              <w:rPr>
                <w:rFonts w:ascii="Times New Roman" w:hAnsi="Times New Roman" w:cs="Times New Roman"/>
                <w:b/>
                <w:bCs/>
                <w:noProof/>
                <w:sz w:val="20"/>
                <w:szCs w:val="20"/>
              </w:rPr>
              <w:t xml:space="preserve"> launched during 2014-2020 </w:t>
            </w:r>
          </w:p>
        </w:tc>
      </w:tr>
      <w:tr w:rsidR="00383303" w:rsidRPr="0087477D" w14:paraId="706BD814" w14:textId="77777777" w:rsidTr="00220779">
        <w:trPr>
          <w:trHeight w:val="1063"/>
        </w:trPr>
        <w:tc>
          <w:tcPr>
            <w:tcW w:w="1809" w:type="dxa"/>
            <w:vAlign w:val="center"/>
          </w:tcPr>
          <w:p w14:paraId="66DD99C3" w14:textId="77777777" w:rsidR="00383303" w:rsidRPr="000A5BF3" w:rsidRDefault="00383303" w:rsidP="00BB39D5">
            <w:pPr>
              <w:jc w:val="both"/>
              <w:rPr>
                <w:rFonts w:ascii="Times New Roman" w:hAnsi="Times New Roman" w:cs="Times New Roman"/>
                <w:noProof/>
                <w:sz w:val="20"/>
                <w:szCs w:val="20"/>
              </w:rPr>
            </w:pPr>
            <w:r w:rsidRPr="000A5BF3">
              <w:rPr>
                <w:rFonts w:ascii="Times New Roman" w:hAnsi="Times New Roman" w:cs="Times New Roman"/>
                <w:noProof/>
                <w:sz w:val="20"/>
                <w:szCs w:val="20"/>
              </w:rPr>
              <w:t xml:space="preserve">Nuclear safety </w:t>
            </w:r>
          </w:p>
        </w:tc>
        <w:tc>
          <w:tcPr>
            <w:tcW w:w="7207" w:type="dxa"/>
          </w:tcPr>
          <w:p w14:paraId="5E60A9ED" w14:textId="6F53F3BE" w:rsidR="00383303" w:rsidRPr="00BB39D5" w:rsidRDefault="00383303" w:rsidP="00BB39D5">
            <w:pPr>
              <w:pStyle w:val="ListParagraph"/>
              <w:numPr>
                <w:ilvl w:val="0"/>
                <w:numId w:val="69"/>
              </w:numPr>
              <w:spacing w:after="160" w:line="259" w:lineRule="auto"/>
              <w:contextualSpacing/>
              <w:rPr>
                <w:rFonts w:cs="Times New Roman"/>
                <w:noProof/>
                <w:sz w:val="20"/>
                <w:szCs w:val="20"/>
              </w:rPr>
            </w:pPr>
            <w:r w:rsidRPr="00BB39D5">
              <w:rPr>
                <w:rFonts w:cs="Times New Roman"/>
                <w:noProof/>
                <w:sz w:val="20"/>
                <w:szCs w:val="20"/>
              </w:rPr>
              <w:t xml:space="preserve">Safety </w:t>
            </w:r>
            <w:r w:rsidRPr="0087477D">
              <w:rPr>
                <w:rFonts w:cs="Times New Roman"/>
                <w:noProof/>
                <w:sz w:val="20"/>
                <w:szCs w:val="20"/>
              </w:rPr>
              <w:t xml:space="preserve">of existing </w:t>
            </w:r>
            <w:r w:rsidR="0082013F">
              <w:rPr>
                <w:rFonts w:cs="Times New Roman"/>
                <w:noProof/>
                <w:sz w:val="20"/>
                <w:szCs w:val="20"/>
              </w:rPr>
              <w:t>NPPs</w:t>
            </w:r>
            <w:r w:rsidRPr="0087477D">
              <w:rPr>
                <w:rFonts w:cs="Times New Roman"/>
                <w:noProof/>
                <w:sz w:val="20"/>
                <w:szCs w:val="20"/>
              </w:rPr>
              <w:t xml:space="preserve"> and other nuclear instal</w:t>
            </w:r>
            <w:r w:rsidR="0082013F">
              <w:rPr>
                <w:rFonts w:cs="Times New Roman"/>
                <w:noProof/>
                <w:sz w:val="20"/>
                <w:szCs w:val="20"/>
              </w:rPr>
              <w:t>l</w:t>
            </w:r>
            <w:r w:rsidRPr="0087477D">
              <w:rPr>
                <w:rFonts w:cs="Times New Roman"/>
                <w:noProof/>
                <w:sz w:val="20"/>
                <w:szCs w:val="20"/>
              </w:rPr>
              <w:t xml:space="preserve">ations </w:t>
            </w:r>
            <w:r w:rsidRPr="00BB39D5">
              <w:rPr>
                <w:rFonts w:cs="Times New Roman"/>
                <w:noProof/>
                <w:sz w:val="20"/>
                <w:szCs w:val="20"/>
              </w:rPr>
              <w:t xml:space="preserve">including </w:t>
            </w:r>
            <w:r w:rsidR="00CB1C66">
              <w:rPr>
                <w:rFonts w:cs="Times New Roman"/>
                <w:noProof/>
                <w:sz w:val="20"/>
                <w:szCs w:val="20"/>
              </w:rPr>
              <w:t>l</w:t>
            </w:r>
            <w:r w:rsidRPr="00BB39D5">
              <w:rPr>
                <w:rFonts w:cs="Times New Roman"/>
                <w:noProof/>
                <w:sz w:val="20"/>
                <w:szCs w:val="20"/>
              </w:rPr>
              <w:t>ong</w:t>
            </w:r>
            <w:r w:rsidR="00CB1C66">
              <w:rPr>
                <w:rFonts w:cs="Times New Roman"/>
                <w:noProof/>
                <w:sz w:val="20"/>
                <w:szCs w:val="20"/>
              </w:rPr>
              <w:t>-t</w:t>
            </w:r>
            <w:r w:rsidRPr="00BB39D5">
              <w:rPr>
                <w:rFonts w:cs="Times New Roman"/>
                <w:noProof/>
                <w:sz w:val="20"/>
                <w:szCs w:val="20"/>
              </w:rPr>
              <w:t xml:space="preserve">erm </w:t>
            </w:r>
            <w:r w:rsidR="00CB1C66">
              <w:rPr>
                <w:rFonts w:cs="Times New Roman"/>
                <w:noProof/>
                <w:sz w:val="20"/>
                <w:szCs w:val="20"/>
              </w:rPr>
              <w:t>o</w:t>
            </w:r>
            <w:r w:rsidRPr="00BB39D5">
              <w:rPr>
                <w:rFonts w:cs="Times New Roman"/>
                <w:noProof/>
                <w:sz w:val="20"/>
                <w:szCs w:val="20"/>
              </w:rPr>
              <w:t>peration</w:t>
            </w:r>
            <w:r w:rsidRPr="0087477D">
              <w:rPr>
                <w:rFonts w:cs="Times New Roman"/>
                <w:noProof/>
                <w:sz w:val="20"/>
                <w:szCs w:val="20"/>
              </w:rPr>
              <w:t>: 32</w:t>
            </w:r>
            <w:r w:rsidRPr="00BB39D5">
              <w:rPr>
                <w:rFonts w:cs="Times New Roman"/>
                <w:noProof/>
                <w:sz w:val="20"/>
                <w:szCs w:val="20"/>
              </w:rPr>
              <w:t xml:space="preserve"> projects</w:t>
            </w:r>
          </w:p>
          <w:p w14:paraId="3D63CC01" w14:textId="77777777" w:rsidR="00383303" w:rsidRPr="00BB39D5" w:rsidRDefault="00383303" w:rsidP="00BB39D5">
            <w:pPr>
              <w:pStyle w:val="ListParagraph"/>
              <w:numPr>
                <w:ilvl w:val="0"/>
                <w:numId w:val="69"/>
              </w:numPr>
              <w:spacing w:after="160" w:line="259" w:lineRule="auto"/>
              <w:contextualSpacing/>
              <w:rPr>
                <w:rFonts w:cs="Times New Roman"/>
                <w:noProof/>
                <w:sz w:val="20"/>
                <w:szCs w:val="20"/>
              </w:rPr>
            </w:pPr>
            <w:r w:rsidRPr="0087477D">
              <w:rPr>
                <w:rFonts w:cs="Times New Roman"/>
                <w:noProof/>
                <w:sz w:val="20"/>
                <w:szCs w:val="20"/>
              </w:rPr>
              <w:t>Safety of a</w:t>
            </w:r>
            <w:r w:rsidRPr="00BB39D5">
              <w:rPr>
                <w:rFonts w:cs="Times New Roman"/>
                <w:noProof/>
                <w:sz w:val="20"/>
                <w:szCs w:val="20"/>
              </w:rPr>
              <w:t>dvanced nuclear systems</w:t>
            </w:r>
            <w:r w:rsidRPr="0087477D">
              <w:rPr>
                <w:rFonts w:cs="Times New Roman"/>
                <w:noProof/>
                <w:sz w:val="20"/>
                <w:szCs w:val="20"/>
              </w:rPr>
              <w:t>:</w:t>
            </w:r>
            <w:r>
              <w:rPr>
                <w:rFonts w:cs="Times New Roman"/>
                <w:noProof/>
                <w:sz w:val="20"/>
                <w:szCs w:val="20"/>
              </w:rPr>
              <w:t xml:space="preserve"> 13 projects</w:t>
            </w:r>
          </w:p>
          <w:p w14:paraId="1E15F9D1" w14:textId="77777777" w:rsidR="005918CE" w:rsidRDefault="00383303" w:rsidP="00BB39D5">
            <w:pPr>
              <w:pStyle w:val="ListParagraph"/>
              <w:numPr>
                <w:ilvl w:val="0"/>
                <w:numId w:val="69"/>
              </w:numPr>
              <w:spacing w:after="160" w:line="259" w:lineRule="auto"/>
              <w:contextualSpacing/>
              <w:rPr>
                <w:rFonts w:cs="Times New Roman"/>
                <w:noProof/>
                <w:sz w:val="20"/>
                <w:szCs w:val="20"/>
              </w:rPr>
            </w:pPr>
            <w:r w:rsidRPr="00BB39D5">
              <w:rPr>
                <w:rFonts w:cs="Times New Roman"/>
                <w:noProof/>
                <w:sz w:val="20"/>
                <w:szCs w:val="20"/>
              </w:rPr>
              <w:t xml:space="preserve">Decommissioning &amp; </w:t>
            </w:r>
            <w:r w:rsidR="00CB1C66">
              <w:rPr>
                <w:rFonts w:cs="Times New Roman"/>
                <w:noProof/>
                <w:sz w:val="20"/>
                <w:szCs w:val="20"/>
              </w:rPr>
              <w:t>d</w:t>
            </w:r>
            <w:r w:rsidRPr="00BB39D5">
              <w:rPr>
                <w:rFonts w:cs="Times New Roman"/>
                <w:noProof/>
                <w:sz w:val="20"/>
                <w:szCs w:val="20"/>
              </w:rPr>
              <w:t>ismantling: 7 projects</w:t>
            </w:r>
          </w:p>
          <w:p w14:paraId="38961336" w14:textId="00AD73D6" w:rsidR="00383303" w:rsidRPr="00BB39D5" w:rsidRDefault="005918CE" w:rsidP="00BB39D5">
            <w:pPr>
              <w:pStyle w:val="ListParagraph"/>
              <w:numPr>
                <w:ilvl w:val="0"/>
                <w:numId w:val="69"/>
              </w:numPr>
              <w:spacing w:after="160" w:line="259" w:lineRule="auto"/>
              <w:contextualSpacing/>
              <w:rPr>
                <w:rFonts w:cs="Times New Roman"/>
                <w:noProof/>
                <w:sz w:val="20"/>
                <w:szCs w:val="20"/>
              </w:rPr>
            </w:pPr>
            <w:r>
              <w:rPr>
                <w:rFonts w:cs="Times New Roman"/>
                <w:noProof/>
                <w:sz w:val="20"/>
                <w:szCs w:val="20"/>
              </w:rPr>
              <w:t>Other projects for safety: 6 projects</w:t>
            </w:r>
            <w:r w:rsidR="00383303" w:rsidRPr="00BB39D5">
              <w:rPr>
                <w:rFonts w:cs="Times New Roman"/>
                <w:noProof/>
                <w:sz w:val="20"/>
                <w:szCs w:val="20"/>
              </w:rPr>
              <w:t xml:space="preserve"> </w:t>
            </w:r>
          </w:p>
        </w:tc>
      </w:tr>
      <w:tr w:rsidR="00383303" w:rsidRPr="0087477D" w14:paraId="5ABC2E22" w14:textId="77777777" w:rsidTr="00BB39D5">
        <w:tc>
          <w:tcPr>
            <w:tcW w:w="1809" w:type="dxa"/>
            <w:vAlign w:val="center"/>
          </w:tcPr>
          <w:p w14:paraId="744D72D2" w14:textId="4F791952" w:rsidR="00383303" w:rsidRPr="000A5BF3" w:rsidRDefault="00383303" w:rsidP="00BB39D5">
            <w:pPr>
              <w:jc w:val="both"/>
              <w:rPr>
                <w:rFonts w:ascii="Times New Roman" w:hAnsi="Times New Roman" w:cs="Times New Roman"/>
                <w:noProof/>
                <w:sz w:val="20"/>
                <w:szCs w:val="20"/>
              </w:rPr>
            </w:pPr>
            <w:r w:rsidRPr="000A5BF3">
              <w:rPr>
                <w:rFonts w:ascii="Times New Roman" w:hAnsi="Times New Roman" w:cs="Times New Roman"/>
                <w:noProof/>
                <w:sz w:val="20"/>
                <w:szCs w:val="20"/>
              </w:rPr>
              <w:t>Radioactive</w:t>
            </w:r>
            <w:r w:rsidR="00E86DB0">
              <w:rPr>
                <w:rFonts w:ascii="Times New Roman" w:hAnsi="Times New Roman" w:cs="Times New Roman"/>
                <w:noProof/>
                <w:sz w:val="20"/>
                <w:szCs w:val="20"/>
              </w:rPr>
              <w:t>-</w:t>
            </w:r>
            <w:r w:rsidRPr="000A5BF3">
              <w:rPr>
                <w:rFonts w:ascii="Times New Roman" w:hAnsi="Times New Roman" w:cs="Times New Roman"/>
                <w:noProof/>
                <w:sz w:val="20"/>
                <w:szCs w:val="20"/>
              </w:rPr>
              <w:t>waste management</w:t>
            </w:r>
          </w:p>
        </w:tc>
        <w:tc>
          <w:tcPr>
            <w:tcW w:w="7207" w:type="dxa"/>
          </w:tcPr>
          <w:p w14:paraId="5A3AD05C" w14:textId="17CEFA7F" w:rsidR="00383303" w:rsidRPr="00BB39D5" w:rsidRDefault="00CB1C66" w:rsidP="00BB39D5">
            <w:pPr>
              <w:pStyle w:val="ListParagraph"/>
              <w:numPr>
                <w:ilvl w:val="0"/>
                <w:numId w:val="68"/>
              </w:numPr>
              <w:rPr>
                <w:rFonts w:cs="Times New Roman"/>
                <w:noProof/>
                <w:sz w:val="20"/>
                <w:szCs w:val="20"/>
              </w:rPr>
            </w:pPr>
            <w:r>
              <w:rPr>
                <w:rFonts w:cs="Times New Roman"/>
                <w:noProof/>
                <w:sz w:val="20"/>
                <w:szCs w:val="20"/>
              </w:rPr>
              <w:t>G</w:t>
            </w:r>
            <w:r w:rsidRPr="00BB39D5">
              <w:rPr>
                <w:rFonts w:cs="Times New Roman"/>
                <w:noProof/>
                <w:sz w:val="20"/>
                <w:szCs w:val="20"/>
              </w:rPr>
              <w:t xml:space="preserve">eological </w:t>
            </w:r>
            <w:r w:rsidR="00383303" w:rsidRPr="00BB39D5">
              <w:rPr>
                <w:rFonts w:cs="Times New Roman"/>
                <w:noProof/>
                <w:sz w:val="20"/>
                <w:szCs w:val="20"/>
              </w:rPr>
              <w:t>disposal of spent fuel and long</w:t>
            </w:r>
            <w:r w:rsidR="001F789C">
              <w:rPr>
                <w:rFonts w:cs="Times New Roman"/>
                <w:noProof/>
                <w:sz w:val="20"/>
                <w:szCs w:val="20"/>
              </w:rPr>
              <w:t>-</w:t>
            </w:r>
            <w:r w:rsidR="00383303" w:rsidRPr="00BB39D5">
              <w:rPr>
                <w:rFonts w:cs="Times New Roman"/>
                <w:noProof/>
                <w:sz w:val="20"/>
                <w:szCs w:val="20"/>
              </w:rPr>
              <w:t>lived radioactive waste</w:t>
            </w:r>
            <w:r w:rsidR="00383303" w:rsidRPr="0087477D">
              <w:rPr>
                <w:rFonts w:cs="Times New Roman"/>
                <w:noProof/>
                <w:sz w:val="20"/>
                <w:szCs w:val="20"/>
              </w:rPr>
              <w:t xml:space="preserve">, </w:t>
            </w:r>
            <w:r w:rsidR="00383303" w:rsidRPr="00BB39D5">
              <w:rPr>
                <w:rFonts w:cs="Times New Roman"/>
                <w:noProof/>
                <w:sz w:val="20"/>
                <w:szCs w:val="20"/>
              </w:rPr>
              <w:t>predisposa</w:t>
            </w:r>
            <w:r w:rsidR="00383303" w:rsidRPr="0087477D">
              <w:rPr>
                <w:rFonts w:cs="Times New Roman"/>
                <w:noProof/>
                <w:sz w:val="20"/>
                <w:szCs w:val="20"/>
              </w:rPr>
              <w:t>l research:</w:t>
            </w:r>
            <w:r w:rsidR="00383303" w:rsidRPr="00BB39D5">
              <w:rPr>
                <w:rFonts w:cs="Times New Roman"/>
                <w:noProof/>
                <w:sz w:val="20"/>
                <w:szCs w:val="20"/>
              </w:rPr>
              <w:t xml:space="preserve"> EURAD</w:t>
            </w:r>
            <w:r w:rsidR="00383303" w:rsidRPr="0087477D">
              <w:rPr>
                <w:rFonts w:cs="Times New Roman"/>
                <w:noProof/>
                <w:sz w:val="20"/>
                <w:szCs w:val="20"/>
              </w:rPr>
              <w:t xml:space="preserve"> </w:t>
            </w:r>
            <w:r w:rsidR="00647D08">
              <w:rPr>
                <w:rFonts w:cs="Times New Roman"/>
                <w:noProof/>
                <w:sz w:val="20"/>
                <w:szCs w:val="20"/>
              </w:rPr>
              <w:t>j</w:t>
            </w:r>
            <w:r w:rsidR="00383303" w:rsidRPr="0087477D">
              <w:rPr>
                <w:rFonts w:cs="Times New Roman"/>
                <w:noProof/>
                <w:sz w:val="20"/>
                <w:szCs w:val="20"/>
              </w:rPr>
              <w:t xml:space="preserve">oint </w:t>
            </w:r>
            <w:r w:rsidR="00647D08">
              <w:rPr>
                <w:rFonts w:cs="Times New Roman"/>
                <w:noProof/>
                <w:sz w:val="20"/>
                <w:szCs w:val="20"/>
              </w:rPr>
              <w:t>p</w:t>
            </w:r>
            <w:r w:rsidR="00383303" w:rsidRPr="0087477D">
              <w:rPr>
                <w:rFonts w:cs="Times New Roman"/>
                <w:noProof/>
                <w:sz w:val="20"/>
                <w:szCs w:val="20"/>
              </w:rPr>
              <w:t xml:space="preserve">rogramme and </w:t>
            </w:r>
            <w:r w:rsidR="00383303" w:rsidRPr="00BB39D5">
              <w:rPr>
                <w:rFonts w:cs="Times New Roman"/>
                <w:noProof/>
                <w:sz w:val="20"/>
                <w:szCs w:val="20"/>
              </w:rPr>
              <w:t>PREDIS</w:t>
            </w:r>
            <w:r w:rsidR="00383303" w:rsidRPr="0087477D">
              <w:rPr>
                <w:rFonts w:cs="Times New Roman"/>
                <w:noProof/>
                <w:sz w:val="20"/>
                <w:szCs w:val="20"/>
              </w:rPr>
              <w:t xml:space="preserve"> project</w:t>
            </w:r>
          </w:p>
          <w:p w14:paraId="1D582CD2" w14:textId="21C67AE8" w:rsidR="00383303" w:rsidRPr="00BB39D5" w:rsidRDefault="00CB1C66" w:rsidP="00BB39D5">
            <w:pPr>
              <w:pStyle w:val="ListParagraph"/>
              <w:numPr>
                <w:ilvl w:val="0"/>
                <w:numId w:val="68"/>
              </w:numPr>
              <w:rPr>
                <w:rFonts w:cs="Times New Roman"/>
                <w:noProof/>
                <w:sz w:val="20"/>
                <w:szCs w:val="20"/>
              </w:rPr>
            </w:pPr>
            <w:r>
              <w:rPr>
                <w:rFonts w:cs="Times New Roman"/>
                <w:noProof/>
                <w:sz w:val="20"/>
                <w:szCs w:val="20"/>
              </w:rPr>
              <w:t>S</w:t>
            </w:r>
            <w:r w:rsidRPr="00BB39D5">
              <w:rPr>
                <w:rFonts w:cs="Times New Roman"/>
                <w:noProof/>
                <w:sz w:val="20"/>
                <w:szCs w:val="20"/>
              </w:rPr>
              <w:t xml:space="preserve">pecific </w:t>
            </w:r>
            <w:r w:rsidR="00383303" w:rsidRPr="00BB39D5">
              <w:rPr>
                <w:rFonts w:cs="Times New Roman"/>
                <w:noProof/>
                <w:sz w:val="20"/>
                <w:szCs w:val="20"/>
              </w:rPr>
              <w:t xml:space="preserve">scientific and technological issues in waste characterisation, treatment, disposal and monitoring: </w:t>
            </w:r>
            <w:r w:rsidR="005918CE">
              <w:rPr>
                <w:rFonts w:cs="Times New Roman"/>
                <w:noProof/>
                <w:sz w:val="20"/>
                <w:szCs w:val="20"/>
              </w:rPr>
              <w:t>13</w:t>
            </w:r>
            <w:r w:rsidR="00383303" w:rsidRPr="0087477D">
              <w:rPr>
                <w:rFonts w:cs="Times New Roman"/>
                <w:noProof/>
                <w:sz w:val="20"/>
                <w:szCs w:val="20"/>
              </w:rPr>
              <w:t xml:space="preserve"> </w:t>
            </w:r>
            <w:r w:rsidR="00383303" w:rsidRPr="00BB39D5">
              <w:rPr>
                <w:rFonts w:cs="Times New Roman"/>
                <w:noProof/>
                <w:sz w:val="20"/>
                <w:szCs w:val="20"/>
              </w:rPr>
              <w:t>projects</w:t>
            </w:r>
          </w:p>
        </w:tc>
      </w:tr>
      <w:tr w:rsidR="00383303" w:rsidRPr="0087477D" w14:paraId="29CDC3AB" w14:textId="77777777" w:rsidTr="00BB39D5">
        <w:tc>
          <w:tcPr>
            <w:tcW w:w="1809" w:type="dxa"/>
            <w:vAlign w:val="center"/>
          </w:tcPr>
          <w:p w14:paraId="0042B0E3" w14:textId="77777777" w:rsidR="00383303" w:rsidRPr="000A5BF3" w:rsidRDefault="00383303" w:rsidP="00BB39D5">
            <w:pPr>
              <w:suppressAutoHyphens/>
              <w:spacing w:after="120"/>
              <w:rPr>
                <w:rFonts w:ascii="Times New Roman" w:hAnsi="Times New Roman" w:cs="Times New Roman"/>
                <w:noProof/>
                <w:sz w:val="20"/>
                <w:szCs w:val="20"/>
              </w:rPr>
            </w:pPr>
            <w:r w:rsidRPr="000A5BF3">
              <w:rPr>
                <w:rFonts w:ascii="Times New Roman" w:hAnsi="Times New Roman" w:cs="Times New Roman"/>
                <w:noProof/>
                <w:sz w:val="20"/>
                <w:szCs w:val="20"/>
              </w:rPr>
              <w:t>Nuclear expertise and excellence</w:t>
            </w:r>
          </w:p>
        </w:tc>
        <w:tc>
          <w:tcPr>
            <w:tcW w:w="7207" w:type="dxa"/>
          </w:tcPr>
          <w:p w14:paraId="1988A279" w14:textId="43C24282" w:rsidR="00383303" w:rsidRPr="0087477D" w:rsidRDefault="00383303" w:rsidP="00BB39D5">
            <w:pPr>
              <w:jc w:val="both"/>
              <w:rPr>
                <w:rFonts w:ascii="Times New Roman" w:hAnsi="Times New Roman" w:cs="Times New Roman"/>
                <w:noProof/>
                <w:sz w:val="20"/>
                <w:szCs w:val="20"/>
              </w:rPr>
            </w:pPr>
            <w:r w:rsidRPr="00BB39D5">
              <w:rPr>
                <w:rFonts w:ascii="Times New Roman" w:hAnsi="Times New Roman" w:cs="Times New Roman"/>
                <w:noProof/>
                <w:sz w:val="20"/>
                <w:szCs w:val="20"/>
              </w:rPr>
              <w:t xml:space="preserve">Support for training and mobility activities maintaining multidisciplinary nuclear </w:t>
            </w:r>
            <w:r w:rsidR="00CB1C66">
              <w:rPr>
                <w:rFonts w:ascii="Times New Roman" w:hAnsi="Times New Roman" w:cs="Times New Roman"/>
                <w:noProof/>
                <w:sz w:val="20"/>
                <w:szCs w:val="20"/>
              </w:rPr>
              <w:t>skills</w:t>
            </w:r>
            <w:r w:rsidRPr="0087477D">
              <w:rPr>
                <w:rFonts w:ascii="Times New Roman" w:hAnsi="Times New Roman" w:cs="Times New Roman"/>
                <w:noProof/>
                <w:sz w:val="20"/>
                <w:szCs w:val="20"/>
              </w:rPr>
              <w:t xml:space="preserve">: </w:t>
            </w:r>
            <w:r w:rsidR="00504676">
              <w:rPr>
                <w:rFonts w:ascii="Times New Roman" w:hAnsi="Times New Roman" w:cs="Times New Roman"/>
                <w:noProof/>
                <w:sz w:val="20"/>
                <w:szCs w:val="20"/>
              </w:rPr>
              <w:t>15</w:t>
            </w:r>
            <w:r>
              <w:rPr>
                <w:rFonts w:ascii="Times New Roman" w:hAnsi="Times New Roman" w:cs="Times New Roman"/>
                <w:noProof/>
                <w:sz w:val="20"/>
                <w:szCs w:val="20"/>
              </w:rPr>
              <w:t xml:space="preserve"> </w:t>
            </w:r>
            <w:r w:rsidRPr="0087477D">
              <w:rPr>
                <w:rFonts w:ascii="Times New Roman" w:hAnsi="Times New Roman" w:cs="Times New Roman"/>
                <w:noProof/>
                <w:sz w:val="20"/>
                <w:szCs w:val="20"/>
              </w:rPr>
              <w:t>projects</w:t>
            </w:r>
            <w:r w:rsidR="00CB1C66">
              <w:rPr>
                <w:rFonts w:ascii="Times New Roman" w:hAnsi="Times New Roman" w:cs="Times New Roman"/>
                <w:noProof/>
                <w:sz w:val="20"/>
                <w:szCs w:val="20"/>
              </w:rPr>
              <w:t xml:space="preserve"> (</w:t>
            </w:r>
            <w:r>
              <w:rPr>
                <w:rFonts w:ascii="Times New Roman" w:hAnsi="Times New Roman" w:cs="Times New Roman"/>
                <w:noProof/>
                <w:sz w:val="20"/>
                <w:szCs w:val="20"/>
              </w:rPr>
              <w:t xml:space="preserve">in addition, all Euratom-funded research and innovation actions dedicated about 4-5% of their budget for training </w:t>
            </w:r>
            <w:r w:rsidRPr="005D2E97">
              <w:rPr>
                <w:rFonts w:ascii="Times New Roman" w:hAnsi="Times New Roman" w:cs="Times New Roman"/>
                <w:noProof/>
                <w:sz w:val="20"/>
                <w:szCs w:val="20"/>
              </w:rPr>
              <w:t xml:space="preserve">(at PhD </w:t>
            </w:r>
            <w:r w:rsidR="00CB1C66">
              <w:rPr>
                <w:rFonts w:ascii="Times New Roman" w:hAnsi="Times New Roman" w:cs="Times New Roman"/>
                <w:noProof/>
                <w:sz w:val="20"/>
                <w:szCs w:val="20"/>
              </w:rPr>
              <w:t xml:space="preserve">level </w:t>
            </w:r>
            <w:r>
              <w:rPr>
                <w:rFonts w:ascii="Times New Roman" w:hAnsi="Times New Roman" w:cs="Times New Roman"/>
                <w:noProof/>
                <w:sz w:val="20"/>
                <w:szCs w:val="20"/>
              </w:rPr>
              <w:t xml:space="preserve">and </w:t>
            </w:r>
            <w:r w:rsidR="00CB1C66">
              <w:rPr>
                <w:rFonts w:ascii="Times New Roman" w:hAnsi="Times New Roman" w:cs="Times New Roman"/>
                <w:noProof/>
                <w:sz w:val="20"/>
                <w:szCs w:val="20"/>
              </w:rPr>
              <w:t>below</w:t>
            </w:r>
            <w:r w:rsidRPr="005D2E97">
              <w:rPr>
                <w:rFonts w:ascii="Times New Roman" w:hAnsi="Times New Roman" w:cs="Times New Roman"/>
                <w:noProof/>
                <w:sz w:val="20"/>
                <w:szCs w:val="20"/>
              </w:rPr>
              <w:t>)</w:t>
            </w:r>
            <w:r w:rsidR="00CB1C66">
              <w:rPr>
                <w:rFonts w:ascii="Times New Roman" w:hAnsi="Times New Roman" w:cs="Times New Roman"/>
                <w:noProof/>
                <w:sz w:val="20"/>
                <w:szCs w:val="20"/>
              </w:rPr>
              <w:t>)</w:t>
            </w:r>
          </w:p>
        </w:tc>
      </w:tr>
      <w:tr w:rsidR="00383303" w:rsidRPr="0087477D" w14:paraId="3DB5D890" w14:textId="77777777" w:rsidTr="00220779">
        <w:trPr>
          <w:trHeight w:val="557"/>
        </w:trPr>
        <w:tc>
          <w:tcPr>
            <w:tcW w:w="1809" w:type="dxa"/>
            <w:vAlign w:val="center"/>
          </w:tcPr>
          <w:p w14:paraId="55D83272" w14:textId="77777777" w:rsidR="00383303" w:rsidRPr="007C4BD5" w:rsidRDefault="00383303" w:rsidP="00BB39D5">
            <w:pPr>
              <w:rPr>
                <w:rFonts w:ascii="Times New Roman" w:hAnsi="Times New Roman" w:cs="Times New Roman"/>
                <w:noProof/>
              </w:rPr>
            </w:pPr>
            <w:r w:rsidRPr="007C4BD5">
              <w:rPr>
                <w:rFonts w:ascii="Times New Roman" w:hAnsi="Times New Roman" w:cs="Times New Roman"/>
                <w:noProof/>
                <w:sz w:val="20"/>
                <w:szCs w:val="20"/>
              </w:rPr>
              <w:t>Radiation protection and medical applications of radiation</w:t>
            </w:r>
          </w:p>
        </w:tc>
        <w:tc>
          <w:tcPr>
            <w:tcW w:w="7207" w:type="dxa"/>
          </w:tcPr>
          <w:p w14:paraId="62141BB9" w14:textId="7F175D1E" w:rsidR="00383303" w:rsidRPr="00BB39D5" w:rsidRDefault="00383303" w:rsidP="00BB39D5">
            <w:pPr>
              <w:pStyle w:val="ListParagraph"/>
              <w:numPr>
                <w:ilvl w:val="0"/>
                <w:numId w:val="68"/>
              </w:numPr>
              <w:rPr>
                <w:rFonts w:cs="Times New Roman"/>
                <w:noProof/>
                <w:sz w:val="20"/>
                <w:szCs w:val="20"/>
              </w:rPr>
            </w:pPr>
            <w:r w:rsidRPr="00E939E2">
              <w:rPr>
                <w:rFonts w:cs="Times New Roman"/>
                <w:noProof/>
                <w:sz w:val="20"/>
                <w:szCs w:val="20"/>
              </w:rPr>
              <w:t xml:space="preserve">Research on the risks from low doses </w:t>
            </w:r>
            <w:r w:rsidR="001D587E">
              <w:rPr>
                <w:rFonts w:cs="Times New Roman"/>
                <w:noProof/>
                <w:sz w:val="20"/>
                <w:szCs w:val="20"/>
              </w:rPr>
              <w:t>due to</w:t>
            </w:r>
            <w:r w:rsidR="001D587E" w:rsidRPr="00E939E2">
              <w:rPr>
                <w:rFonts w:cs="Times New Roman"/>
                <w:noProof/>
                <w:sz w:val="20"/>
                <w:szCs w:val="20"/>
              </w:rPr>
              <w:t xml:space="preserve"> </w:t>
            </w:r>
            <w:r w:rsidRPr="00E939E2">
              <w:rPr>
                <w:rFonts w:cs="Times New Roman"/>
                <w:noProof/>
                <w:sz w:val="20"/>
                <w:szCs w:val="20"/>
              </w:rPr>
              <w:t xml:space="preserve">industrial, medical or environmental exposure: CONCERT </w:t>
            </w:r>
            <w:r>
              <w:rPr>
                <w:rFonts w:cs="Times New Roman"/>
                <w:noProof/>
                <w:sz w:val="20"/>
                <w:szCs w:val="20"/>
              </w:rPr>
              <w:t xml:space="preserve">Euratom </w:t>
            </w:r>
            <w:r w:rsidR="00647D08">
              <w:rPr>
                <w:rFonts w:cs="Times New Roman"/>
                <w:noProof/>
                <w:sz w:val="20"/>
                <w:szCs w:val="20"/>
              </w:rPr>
              <w:t>j</w:t>
            </w:r>
            <w:r w:rsidRPr="00E939E2">
              <w:rPr>
                <w:rFonts w:cs="Times New Roman"/>
                <w:noProof/>
                <w:sz w:val="20"/>
                <w:szCs w:val="20"/>
              </w:rPr>
              <w:t xml:space="preserve">oint </w:t>
            </w:r>
            <w:r w:rsidR="00647D08">
              <w:rPr>
                <w:rFonts w:cs="Times New Roman"/>
                <w:noProof/>
                <w:sz w:val="20"/>
                <w:szCs w:val="20"/>
              </w:rPr>
              <w:t>p</w:t>
            </w:r>
            <w:r w:rsidRPr="00E939E2">
              <w:rPr>
                <w:rFonts w:cs="Times New Roman"/>
                <w:noProof/>
                <w:sz w:val="20"/>
                <w:szCs w:val="20"/>
              </w:rPr>
              <w:t>rogramm</w:t>
            </w:r>
            <w:r>
              <w:rPr>
                <w:rFonts w:cs="Times New Roman"/>
                <w:noProof/>
                <w:sz w:val="20"/>
                <w:szCs w:val="20"/>
              </w:rPr>
              <w:t xml:space="preserve">e, RadoNorm project </w:t>
            </w:r>
            <w:r w:rsidRPr="00B45705" w:rsidDel="00B45705">
              <w:rPr>
                <w:rFonts w:cs="Times New Roman"/>
                <w:noProof/>
                <w:sz w:val="20"/>
                <w:szCs w:val="20"/>
              </w:rPr>
              <w:t xml:space="preserve"> </w:t>
            </w:r>
          </w:p>
          <w:p w14:paraId="38788005" w14:textId="77777777" w:rsidR="00383303" w:rsidRPr="00BB39D5" w:rsidRDefault="00383303" w:rsidP="00BB39D5">
            <w:pPr>
              <w:pStyle w:val="ListParagraph"/>
              <w:numPr>
                <w:ilvl w:val="0"/>
                <w:numId w:val="68"/>
              </w:numPr>
              <w:rPr>
                <w:rFonts w:cs="Times New Roman"/>
                <w:noProof/>
                <w:sz w:val="20"/>
                <w:szCs w:val="20"/>
              </w:rPr>
            </w:pPr>
            <w:r>
              <w:rPr>
                <w:rFonts w:cs="Times New Roman"/>
                <w:noProof/>
                <w:sz w:val="20"/>
                <w:szCs w:val="20"/>
              </w:rPr>
              <w:t xml:space="preserve">Optimisation of radiation protection in </w:t>
            </w:r>
            <w:r w:rsidRPr="00BB39D5">
              <w:rPr>
                <w:rFonts w:cs="Times New Roman"/>
                <w:noProof/>
                <w:sz w:val="20"/>
                <w:szCs w:val="20"/>
              </w:rPr>
              <w:t>medical applications of ionising radiation</w:t>
            </w:r>
            <w:r>
              <w:rPr>
                <w:rFonts w:cs="Times New Roman"/>
                <w:noProof/>
                <w:sz w:val="20"/>
                <w:szCs w:val="20"/>
              </w:rPr>
              <w:t xml:space="preserve"> (imaging, radiotherapy)</w:t>
            </w:r>
            <w:r w:rsidRPr="00BB39D5">
              <w:rPr>
                <w:rFonts w:cs="Times New Roman"/>
                <w:noProof/>
                <w:sz w:val="20"/>
                <w:szCs w:val="20"/>
              </w:rPr>
              <w:t xml:space="preserve">: </w:t>
            </w:r>
            <w:r>
              <w:rPr>
                <w:rFonts w:cs="Times New Roman"/>
                <w:noProof/>
                <w:sz w:val="20"/>
                <w:szCs w:val="20"/>
              </w:rPr>
              <w:t>4 projects</w:t>
            </w:r>
          </w:p>
          <w:p w14:paraId="01D4044E" w14:textId="50DE8989" w:rsidR="00383303" w:rsidRPr="007C4BD5" w:rsidRDefault="00383303" w:rsidP="00BB39D5">
            <w:pPr>
              <w:pStyle w:val="ListParagraph"/>
              <w:numPr>
                <w:ilvl w:val="0"/>
                <w:numId w:val="68"/>
              </w:numPr>
              <w:rPr>
                <w:rFonts w:cs="Times New Roman"/>
                <w:noProof/>
                <w:sz w:val="20"/>
                <w:szCs w:val="20"/>
              </w:rPr>
            </w:pPr>
            <w:r>
              <w:rPr>
                <w:rFonts w:cs="Times New Roman"/>
                <w:noProof/>
                <w:sz w:val="20"/>
                <w:szCs w:val="20"/>
              </w:rPr>
              <w:t xml:space="preserve">Research </w:t>
            </w:r>
            <w:r w:rsidR="00273856">
              <w:rPr>
                <w:rFonts w:cs="Times New Roman"/>
                <w:noProof/>
                <w:sz w:val="20"/>
                <w:szCs w:val="20"/>
              </w:rPr>
              <w:t xml:space="preserve">on </w:t>
            </w:r>
            <w:r>
              <w:rPr>
                <w:rFonts w:cs="Times New Roman"/>
                <w:noProof/>
                <w:sz w:val="20"/>
                <w:szCs w:val="20"/>
              </w:rPr>
              <w:t>securing EU production of medical radioisotopes in research reactors</w:t>
            </w:r>
            <w:r w:rsidRPr="00BB39D5">
              <w:rPr>
                <w:rFonts w:cs="Times New Roman"/>
                <w:noProof/>
                <w:sz w:val="20"/>
                <w:szCs w:val="20"/>
              </w:rPr>
              <w:t>:</w:t>
            </w:r>
            <w:r>
              <w:rPr>
                <w:rFonts w:cs="Times New Roman"/>
                <w:noProof/>
                <w:sz w:val="20"/>
                <w:szCs w:val="20"/>
              </w:rPr>
              <w:t xml:space="preserve"> </w:t>
            </w:r>
            <w:r w:rsidR="00504676">
              <w:rPr>
                <w:rFonts w:cs="Times New Roman"/>
                <w:noProof/>
                <w:sz w:val="20"/>
                <w:szCs w:val="20"/>
              </w:rPr>
              <w:t>1</w:t>
            </w:r>
            <w:r>
              <w:rPr>
                <w:rFonts w:cs="Times New Roman"/>
                <w:noProof/>
                <w:sz w:val="20"/>
                <w:szCs w:val="20"/>
              </w:rPr>
              <w:t xml:space="preserve"> projects</w:t>
            </w:r>
          </w:p>
        </w:tc>
      </w:tr>
      <w:tr w:rsidR="00383303" w:rsidRPr="0087477D" w14:paraId="51172BC0" w14:textId="77777777" w:rsidTr="00BB39D5">
        <w:tc>
          <w:tcPr>
            <w:tcW w:w="1809" w:type="dxa"/>
            <w:vAlign w:val="center"/>
          </w:tcPr>
          <w:p w14:paraId="0441D6F3" w14:textId="4694CDC1" w:rsidR="00383303" w:rsidRPr="000A5BF3" w:rsidRDefault="00383303" w:rsidP="00BB39D5">
            <w:pPr>
              <w:suppressAutoHyphens/>
              <w:spacing w:after="120"/>
              <w:contextualSpacing/>
              <w:rPr>
                <w:rFonts w:ascii="Times New Roman" w:hAnsi="Times New Roman" w:cs="Times New Roman"/>
                <w:noProof/>
                <w:sz w:val="20"/>
                <w:szCs w:val="20"/>
              </w:rPr>
            </w:pPr>
            <w:r w:rsidRPr="000A5BF3">
              <w:rPr>
                <w:rFonts w:ascii="Times New Roman" w:hAnsi="Times New Roman" w:cs="Times New Roman"/>
                <w:noProof/>
                <w:sz w:val="20"/>
                <w:szCs w:val="20"/>
              </w:rPr>
              <w:t>Fusion energy (feasibility, preparations for future fusion</w:t>
            </w:r>
            <w:r w:rsidR="001C76E1">
              <w:rPr>
                <w:rFonts w:ascii="Times New Roman" w:hAnsi="Times New Roman" w:cs="Times New Roman"/>
                <w:noProof/>
                <w:sz w:val="20"/>
                <w:szCs w:val="20"/>
              </w:rPr>
              <w:t>-</w:t>
            </w:r>
            <w:r w:rsidRPr="000A5BF3">
              <w:rPr>
                <w:rFonts w:ascii="Times New Roman" w:hAnsi="Times New Roman" w:cs="Times New Roman"/>
                <w:noProof/>
                <w:sz w:val="20"/>
                <w:szCs w:val="20"/>
              </w:rPr>
              <w:t>power plants, innovation)</w:t>
            </w:r>
          </w:p>
        </w:tc>
        <w:tc>
          <w:tcPr>
            <w:tcW w:w="7207" w:type="dxa"/>
          </w:tcPr>
          <w:p w14:paraId="6CDFC918" w14:textId="77777777" w:rsidR="00383303" w:rsidRDefault="00383303" w:rsidP="00BB39D5">
            <w:pPr>
              <w:pStyle w:val="ListParagraph"/>
              <w:numPr>
                <w:ilvl w:val="0"/>
                <w:numId w:val="71"/>
              </w:numPr>
              <w:rPr>
                <w:rFonts w:cs="Times New Roman"/>
                <w:noProof/>
                <w:sz w:val="20"/>
                <w:szCs w:val="20"/>
              </w:rPr>
            </w:pPr>
            <w:r w:rsidRPr="007C4BD5">
              <w:rPr>
                <w:rFonts w:cs="Times New Roman"/>
                <w:noProof/>
                <w:sz w:val="20"/>
                <w:szCs w:val="20"/>
              </w:rPr>
              <w:t xml:space="preserve">Introduction of a new organisation of fusion research (EUROfusion consortium) </w:t>
            </w:r>
          </w:p>
          <w:p w14:paraId="60328CFC" w14:textId="5B1AF514" w:rsidR="00383303" w:rsidRPr="007C4BD5" w:rsidRDefault="00383303" w:rsidP="00BB39D5">
            <w:pPr>
              <w:pStyle w:val="ListParagraph"/>
              <w:numPr>
                <w:ilvl w:val="0"/>
                <w:numId w:val="71"/>
              </w:numPr>
              <w:rPr>
                <w:rFonts w:cs="Times New Roman"/>
                <w:noProof/>
                <w:sz w:val="20"/>
                <w:szCs w:val="20"/>
              </w:rPr>
            </w:pPr>
            <w:r w:rsidRPr="0009795B">
              <w:rPr>
                <w:rFonts w:cs="Times New Roman"/>
                <w:noProof/>
                <w:sz w:val="20"/>
                <w:szCs w:val="20"/>
              </w:rPr>
              <w:t>Development and implementation of t</w:t>
            </w:r>
            <w:r w:rsidRPr="007C4BD5">
              <w:rPr>
                <w:rFonts w:cs="Times New Roman"/>
                <w:noProof/>
                <w:sz w:val="20"/>
                <w:szCs w:val="20"/>
              </w:rPr>
              <w:t xml:space="preserve">he roadmap </w:t>
            </w:r>
            <w:r w:rsidRPr="0009795B">
              <w:rPr>
                <w:rFonts w:cs="Times New Roman"/>
                <w:noProof/>
                <w:sz w:val="20"/>
                <w:szCs w:val="20"/>
              </w:rPr>
              <w:t>focused on</w:t>
            </w:r>
            <w:r w:rsidR="00273856">
              <w:rPr>
                <w:rFonts w:cs="Times New Roman"/>
                <w:noProof/>
                <w:sz w:val="20"/>
                <w:szCs w:val="20"/>
              </w:rPr>
              <w:t>:</w:t>
            </w:r>
            <w:r w:rsidRPr="0009795B">
              <w:rPr>
                <w:rFonts w:cs="Times New Roman"/>
                <w:noProof/>
                <w:sz w:val="20"/>
                <w:szCs w:val="20"/>
              </w:rPr>
              <w:t xml:space="preserve"> </w:t>
            </w:r>
            <w:r>
              <w:rPr>
                <w:rFonts w:cs="Times New Roman"/>
                <w:noProof/>
                <w:sz w:val="20"/>
                <w:szCs w:val="20"/>
              </w:rPr>
              <w:t xml:space="preserve">(1) </w:t>
            </w:r>
            <w:r w:rsidRPr="007C4BD5">
              <w:rPr>
                <w:rFonts w:cs="Times New Roman"/>
                <w:noProof/>
                <w:sz w:val="20"/>
                <w:szCs w:val="20"/>
              </w:rPr>
              <w:t xml:space="preserve">experiments </w:t>
            </w:r>
            <w:r w:rsidRPr="0055413D">
              <w:rPr>
                <w:rFonts w:cs="Times New Roman"/>
                <w:noProof/>
                <w:sz w:val="20"/>
                <w:szCs w:val="20"/>
              </w:rPr>
              <w:t>on</w:t>
            </w:r>
            <w:r w:rsidRPr="007C4BD5">
              <w:rPr>
                <w:rFonts w:cs="Times New Roman"/>
                <w:noProof/>
                <w:sz w:val="20"/>
                <w:szCs w:val="20"/>
              </w:rPr>
              <w:t xml:space="preserve"> </w:t>
            </w:r>
            <w:r w:rsidRPr="0055413D">
              <w:rPr>
                <w:rFonts w:cs="Times New Roman"/>
                <w:noProof/>
                <w:sz w:val="20"/>
                <w:szCs w:val="20"/>
              </w:rPr>
              <w:t xml:space="preserve">fusion </w:t>
            </w:r>
            <w:r w:rsidRPr="007C4BD5">
              <w:rPr>
                <w:rFonts w:cs="Times New Roman"/>
                <w:noProof/>
                <w:sz w:val="20"/>
                <w:szCs w:val="20"/>
              </w:rPr>
              <w:t xml:space="preserve">devices </w:t>
            </w:r>
            <w:r w:rsidRPr="0055413D">
              <w:rPr>
                <w:rFonts w:cs="Times New Roman"/>
                <w:noProof/>
                <w:sz w:val="20"/>
                <w:szCs w:val="20"/>
              </w:rPr>
              <w:t xml:space="preserve">to provide </w:t>
            </w:r>
            <w:r w:rsidR="00273856">
              <w:rPr>
                <w:rFonts w:cs="Times New Roman"/>
                <w:noProof/>
                <w:sz w:val="20"/>
                <w:szCs w:val="20"/>
              </w:rPr>
              <w:t xml:space="preserve">a </w:t>
            </w:r>
            <w:r w:rsidRPr="0055413D">
              <w:rPr>
                <w:rFonts w:cs="Times New Roman"/>
                <w:noProof/>
                <w:sz w:val="20"/>
                <w:szCs w:val="20"/>
              </w:rPr>
              <w:t xml:space="preserve">basis </w:t>
            </w:r>
            <w:r w:rsidRPr="007C4BD5">
              <w:rPr>
                <w:rFonts w:cs="Times New Roman"/>
                <w:noProof/>
                <w:sz w:val="20"/>
                <w:szCs w:val="20"/>
              </w:rPr>
              <w:t xml:space="preserve">for extrapolations </w:t>
            </w:r>
            <w:r w:rsidRPr="0055413D">
              <w:rPr>
                <w:rFonts w:cs="Times New Roman"/>
                <w:noProof/>
                <w:sz w:val="20"/>
                <w:szCs w:val="20"/>
              </w:rPr>
              <w:t>to</w:t>
            </w:r>
            <w:r w:rsidRPr="007C4BD5">
              <w:rPr>
                <w:rFonts w:cs="Times New Roman"/>
                <w:noProof/>
                <w:sz w:val="20"/>
                <w:szCs w:val="20"/>
              </w:rPr>
              <w:t xml:space="preserve"> ITER and </w:t>
            </w:r>
            <w:r w:rsidRPr="0055413D">
              <w:rPr>
                <w:rFonts w:cs="Times New Roman"/>
                <w:noProof/>
                <w:sz w:val="20"/>
                <w:szCs w:val="20"/>
              </w:rPr>
              <w:t>fusion</w:t>
            </w:r>
            <w:r w:rsidR="001C76E1">
              <w:rPr>
                <w:rFonts w:cs="Times New Roman"/>
                <w:noProof/>
                <w:sz w:val="20"/>
                <w:szCs w:val="20"/>
              </w:rPr>
              <w:t>-</w:t>
            </w:r>
            <w:r w:rsidRPr="0055413D">
              <w:rPr>
                <w:rFonts w:cs="Times New Roman"/>
                <w:noProof/>
                <w:sz w:val="20"/>
                <w:szCs w:val="20"/>
              </w:rPr>
              <w:t>power plants</w:t>
            </w:r>
            <w:r>
              <w:rPr>
                <w:rFonts w:cs="Times New Roman"/>
                <w:noProof/>
                <w:sz w:val="20"/>
                <w:szCs w:val="20"/>
              </w:rPr>
              <w:t>; (2) development of power</w:t>
            </w:r>
            <w:r w:rsidR="00273856">
              <w:rPr>
                <w:rFonts w:cs="Times New Roman"/>
                <w:noProof/>
                <w:sz w:val="20"/>
                <w:szCs w:val="20"/>
              </w:rPr>
              <w:t>-</w:t>
            </w:r>
            <w:r>
              <w:rPr>
                <w:rFonts w:cs="Times New Roman"/>
                <w:noProof/>
                <w:sz w:val="20"/>
                <w:szCs w:val="20"/>
              </w:rPr>
              <w:t>plant design and t</w:t>
            </w:r>
            <w:r w:rsidRPr="007C4BD5">
              <w:rPr>
                <w:rFonts w:cs="Times New Roman"/>
                <w:noProof/>
                <w:sz w:val="20"/>
                <w:szCs w:val="20"/>
              </w:rPr>
              <w:t>echnologies for future fusion</w:t>
            </w:r>
            <w:r w:rsidR="001C76E1">
              <w:rPr>
                <w:rFonts w:cs="Times New Roman"/>
                <w:noProof/>
                <w:sz w:val="20"/>
                <w:szCs w:val="20"/>
              </w:rPr>
              <w:t>-</w:t>
            </w:r>
            <w:r w:rsidRPr="007C4BD5">
              <w:rPr>
                <w:rFonts w:cs="Times New Roman"/>
                <w:noProof/>
                <w:sz w:val="20"/>
                <w:szCs w:val="20"/>
              </w:rPr>
              <w:t>power plant</w:t>
            </w:r>
            <w:r w:rsidR="001D587E">
              <w:rPr>
                <w:rFonts w:cs="Times New Roman"/>
                <w:noProof/>
                <w:sz w:val="20"/>
                <w:szCs w:val="20"/>
              </w:rPr>
              <w:t>s</w:t>
            </w:r>
            <w:r w:rsidRPr="007C4BD5">
              <w:rPr>
                <w:rFonts w:cs="Times New Roman"/>
                <w:noProof/>
                <w:sz w:val="20"/>
                <w:szCs w:val="20"/>
              </w:rPr>
              <w:t xml:space="preserve"> (materials, breeding blankets</w:t>
            </w:r>
            <w:r w:rsidR="001D587E">
              <w:rPr>
                <w:rFonts w:cs="Times New Roman"/>
                <w:noProof/>
                <w:sz w:val="20"/>
                <w:szCs w:val="20"/>
              </w:rPr>
              <w:t>,</w:t>
            </w:r>
            <w:r w:rsidRPr="007C4BD5">
              <w:rPr>
                <w:rFonts w:cs="Times New Roman"/>
                <w:noProof/>
                <w:sz w:val="20"/>
                <w:szCs w:val="20"/>
              </w:rPr>
              <w:t xml:space="preserve"> etc.)</w:t>
            </w:r>
          </w:p>
          <w:p w14:paraId="0E5795B6" w14:textId="77777777" w:rsidR="00383303" w:rsidRPr="007C4BD5" w:rsidRDefault="00383303" w:rsidP="00BB39D5">
            <w:pPr>
              <w:pStyle w:val="ListParagraph"/>
              <w:numPr>
                <w:ilvl w:val="0"/>
                <w:numId w:val="71"/>
              </w:numPr>
              <w:rPr>
                <w:rFonts w:cs="Times New Roman"/>
                <w:noProof/>
                <w:sz w:val="20"/>
                <w:szCs w:val="20"/>
              </w:rPr>
            </w:pPr>
            <w:r>
              <w:rPr>
                <w:rFonts w:cs="Times New Roman"/>
                <w:noProof/>
                <w:sz w:val="20"/>
                <w:szCs w:val="20"/>
              </w:rPr>
              <w:t>Fusion technology transfer to industry (EUROfusion action)</w:t>
            </w:r>
          </w:p>
        </w:tc>
      </w:tr>
      <w:tr w:rsidR="00383303" w:rsidRPr="0087477D" w14:paraId="76F33F00" w14:textId="77777777" w:rsidTr="00BB39D5">
        <w:tc>
          <w:tcPr>
            <w:tcW w:w="1809" w:type="dxa"/>
            <w:vAlign w:val="center"/>
          </w:tcPr>
          <w:p w14:paraId="00F64D47" w14:textId="77777777" w:rsidR="00383303" w:rsidRPr="000A5BF3" w:rsidRDefault="00383303" w:rsidP="00BB39D5">
            <w:pPr>
              <w:jc w:val="both"/>
              <w:rPr>
                <w:rFonts w:ascii="Times New Roman" w:hAnsi="Times New Roman" w:cs="Times New Roman"/>
                <w:noProof/>
                <w:sz w:val="20"/>
                <w:szCs w:val="20"/>
              </w:rPr>
            </w:pPr>
            <w:r w:rsidRPr="000A5BF3">
              <w:rPr>
                <w:rFonts w:ascii="Times New Roman" w:hAnsi="Times New Roman" w:cs="Times New Roman"/>
                <w:noProof/>
                <w:sz w:val="20"/>
                <w:szCs w:val="20"/>
              </w:rPr>
              <w:t>Research infrastructures</w:t>
            </w:r>
          </w:p>
        </w:tc>
        <w:tc>
          <w:tcPr>
            <w:tcW w:w="7207" w:type="dxa"/>
          </w:tcPr>
          <w:p w14:paraId="03FF5F2F" w14:textId="7D593F9C" w:rsidR="00383303" w:rsidRPr="0087477D" w:rsidRDefault="00383303" w:rsidP="00BB39D5">
            <w:pPr>
              <w:jc w:val="both"/>
              <w:rPr>
                <w:rFonts w:ascii="Times New Roman" w:hAnsi="Times New Roman" w:cs="Times New Roman"/>
                <w:noProof/>
                <w:sz w:val="20"/>
                <w:szCs w:val="20"/>
              </w:rPr>
            </w:pPr>
            <w:r>
              <w:rPr>
                <w:rFonts w:ascii="Times New Roman" w:hAnsi="Times New Roman" w:cs="Times New Roman"/>
                <w:noProof/>
                <w:sz w:val="20"/>
                <w:szCs w:val="20"/>
              </w:rPr>
              <w:t xml:space="preserve">Support for </w:t>
            </w:r>
            <w:r w:rsidR="00273856">
              <w:rPr>
                <w:rFonts w:ascii="Times New Roman" w:hAnsi="Times New Roman" w:cs="Times New Roman"/>
                <w:noProof/>
                <w:sz w:val="20"/>
                <w:szCs w:val="20"/>
              </w:rPr>
              <w:t xml:space="preserve">the </w:t>
            </w:r>
            <w:r>
              <w:rPr>
                <w:rFonts w:ascii="Times New Roman" w:hAnsi="Times New Roman" w:cs="Times New Roman"/>
                <w:noProof/>
                <w:sz w:val="20"/>
                <w:szCs w:val="20"/>
              </w:rPr>
              <w:t>qualification of innovative fuel for research reactors (</w:t>
            </w:r>
            <w:r w:rsidR="00504676">
              <w:rPr>
                <w:rFonts w:ascii="Times New Roman" w:hAnsi="Times New Roman" w:cs="Times New Roman"/>
                <w:noProof/>
                <w:sz w:val="20"/>
                <w:szCs w:val="20"/>
              </w:rPr>
              <w:t>2</w:t>
            </w:r>
            <w:r>
              <w:rPr>
                <w:rFonts w:ascii="Times New Roman" w:hAnsi="Times New Roman" w:cs="Times New Roman"/>
                <w:noProof/>
                <w:sz w:val="20"/>
                <w:szCs w:val="20"/>
              </w:rPr>
              <w:t xml:space="preserve"> projects), securing access rights to future research reactors (1 project), support for </w:t>
            </w:r>
            <w:r w:rsidR="00273856">
              <w:rPr>
                <w:rFonts w:ascii="Times New Roman" w:hAnsi="Times New Roman" w:cs="Times New Roman"/>
                <w:noProof/>
                <w:sz w:val="20"/>
                <w:szCs w:val="20"/>
              </w:rPr>
              <w:t xml:space="preserve">the </w:t>
            </w:r>
            <w:r>
              <w:rPr>
                <w:rFonts w:ascii="Times New Roman" w:hAnsi="Times New Roman" w:cs="Times New Roman"/>
                <w:noProof/>
                <w:sz w:val="20"/>
                <w:szCs w:val="20"/>
              </w:rPr>
              <w:t>coordinated use of research reactors in Europe</w:t>
            </w:r>
            <w:r w:rsidR="00504676">
              <w:rPr>
                <w:rFonts w:ascii="Times New Roman" w:hAnsi="Times New Roman" w:cs="Times New Roman"/>
                <w:noProof/>
                <w:sz w:val="20"/>
                <w:szCs w:val="20"/>
              </w:rPr>
              <w:t xml:space="preserve"> (1 project), preparations of IFMIF-DONES (1 project) </w:t>
            </w:r>
          </w:p>
        </w:tc>
      </w:tr>
    </w:tbl>
    <w:p w14:paraId="6CC4DFC9" w14:textId="77777777" w:rsidR="00383303" w:rsidRDefault="00383303" w:rsidP="00383303">
      <w:pPr>
        <w:spacing w:after="0" w:line="240" w:lineRule="auto"/>
        <w:jc w:val="both"/>
        <w:rPr>
          <w:noProof/>
        </w:rPr>
      </w:pPr>
    </w:p>
    <w:p w14:paraId="57CA1B7A" w14:textId="77777777" w:rsidR="00383303" w:rsidRPr="007C4BD5" w:rsidRDefault="00383303" w:rsidP="00383303">
      <w:pPr>
        <w:spacing w:after="0" w:line="240" w:lineRule="auto"/>
        <w:jc w:val="both"/>
        <w:rPr>
          <w:rFonts w:ascii="Times New Roman" w:hAnsi="Times New Roman" w:cs="Times New Roman"/>
          <w:b/>
          <w:bCs/>
          <w:i/>
          <w:iCs/>
          <w:noProof/>
          <w:sz w:val="24"/>
          <w:szCs w:val="24"/>
        </w:rPr>
      </w:pPr>
      <w:r w:rsidRPr="007C4BD5">
        <w:rPr>
          <w:rFonts w:ascii="Times New Roman" w:hAnsi="Times New Roman" w:cs="Times New Roman"/>
          <w:b/>
          <w:bCs/>
          <w:i/>
          <w:iCs/>
          <w:noProof/>
          <w:sz w:val="24"/>
          <w:szCs w:val="24"/>
        </w:rPr>
        <w:t>Indirect actions</w:t>
      </w:r>
      <w:r>
        <w:rPr>
          <w:rFonts w:ascii="Times New Roman" w:hAnsi="Times New Roman" w:cs="Times New Roman"/>
          <w:b/>
          <w:bCs/>
          <w:i/>
          <w:iCs/>
          <w:noProof/>
          <w:sz w:val="24"/>
          <w:szCs w:val="24"/>
        </w:rPr>
        <w:t xml:space="preserve"> (research grants and training actions)</w:t>
      </w:r>
    </w:p>
    <w:p w14:paraId="7F8D0217" w14:textId="77777777" w:rsidR="00383303" w:rsidRDefault="00383303" w:rsidP="00383303">
      <w:pPr>
        <w:spacing w:after="0" w:line="240" w:lineRule="auto"/>
        <w:jc w:val="both"/>
        <w:rPr>
          <w:noProof/>
        </w:rPr>
      </w:pPr>
    </w:p>
    <w:p w14:paraId="5F962656" w14:textId="77777777" w:rsidR="00383303" w:rsidRPr="007C4BD5" w:rsidRDefault="00383303" w:rsidP="00383303">
      <w:pPr>
        <w:pStyle w:val="ListParagraph"/>
        <w:numPr>
          <w:ilvl w:val="0"/>
          <w:numId w:val="73"/>
        </w:numPr>
        <w:spacing w:after="0" w:line="240" w:lineRule="auto"/>
        <w:rPr>
          <w:rFonts w:cs="Times New Roman"/>
          <w:b/>
          <w:bCs/>
          <w:noProof/>
          <w:color w:val="000000" w:themeColor="text1"/>
          <w:szCs w:val="24"/>
        </w:rPr>
      </w:pPr>
      <w:r w:rsidRPr="007C4BD5">
        <w:rPr>
          <w:rFonts w:cs="Times New Roman"/>
          <w:b/>
          <w:bCs/>
          <w:noProof/>
          <w:color w:val="000000" w:themeColor="text1"/>
          <w:szCs w:val="24"/>
        </w:rPr>
        <w:t>Safety</w:t>
      </w:r>
      <w:r>
        <w:rPr>
          <w:rFonts w:cs="Times New Roman"/>
          <w:b/>
          <w:bCs/>
          <w:noProof/>
          <w:color w:val="000000" w:themeColor="text1"/>
          <w:szCs w:val="24"/>
        </w:rPr>
        <w:t xml:space="preserve"> of nuclear systems</w:t>
      </w:r>
    </w:p>
    <w:p w14:paraId="1E49A65C" w14:textId="3B83FA9B" w:rsidR="00383303" w:rsidRPr="00BB39D5" w:rsidRDefault="00383303" w:rsidP="00383303">
      <w:pPr>
        <w:spacing w:after="120"/>
        <w:jc w:val="both"/>
        <w:rPr>
          <w:rFonts w:ascii="Times New Roman" w:hAnsi="Times New Roman" w:cs="Times New Roman"/>
          <w:noProof/>
          <w:color w:val="000000" w:themeColor="text1"/>
          <w:sz w:val="24"/>
          <w:szCs w:val="24"/>
        </w:rPr>
      </w:pPr>
      <w:r w:rsidRPr="008E387B">
        <w:rPr>
          <w:rFonts w:ascii="Times New Roman" w:hAnsi="Times New Roman" w:cs="Times New Roman"/>
          <w:noProof/>
          <w:color w:val="000000" w:themeColor="text1"/>
          <w:sz w:val="24"/>
          <w:szCs w:val="24"/>
        </w:rPr>
        <w:t xml:space="preserve">The </w:t>
      </w:r>
      <w:r w:rsidRPr="008E387B">
        <w:rPr>
          <w:rFonts w:ascii="Times New Roman" w:hAnsi="Times New Roman" w:cs="Times New Roman"/>
          <w:noProof/>
          <w:color w:val="000000" w:themeColor="text1"/>
          <w:sz w:val="24"/>
          <w:szCs w:val="24"/>
          <w:lang w:val="mt-MT"/>
        </w:rPr>
        <w:t>P</w:t>
      </w:r>
      <w:r w:rsidRPr="008E387B">
        <w:rPr>
          <w:rFonts w:ascii="Times New Roman" w:hAnsi="Times New Roman" w:cs="Times New Roman"/>
          <w:noProof/>
          <w:color w:val="000000" w:themeColor="text1"/>
          <w:sz w:val="24"/>
          <w:szCs w:val="24"/>
        </w:rPr>
        <w:t>rogramme</w:t>
      </w:r>
      <w:r>
        <w:rPr>
          <w:rFonts w:ascii="Times New Roman" w:hAnsi="Times New Roman" w:cs="Times New Roman"/>
          <w:noProof/>
          <w:color w:val="000000" w:themeColor="text1"/>
          <w:sz w:val="24"/>
          <w:szCs w:val="24"/>
          <w:lang w:val="mt-MT"/>
        </w:rPr>
        <w:t xml:space="preserve"> funded </w:t>
      </w:r>
      <w:r>
        <w:rPr>
          <w:rFonts w:ascii="Times New Roman" w:hAnsi="Times New Roman" w:cs="Times New Roman"/>
          <w:noProof/>
          <w:color w:val="000000" w:themeColor="text1"/>
          <w:sz w:val="24"/>
          <w:szCs w:val="24"/>
        </w:rPr>
        <w:t xml:space="preserve">projects </w:t>
      </w:r>
      <w:r w:rsidRPr="008E387B">
        <w:rPr>
          <w:rFonts w:ascii="Times New Roman" w:hAnsi="Times New Roman" w:cs="Times New Roman"/>
          <w:noProof/>
          <w:color w:val="000000" w:themeColor="text1"/>
          <w:sz w:val="24"/>
          <w:szCs w:val="24"/>
        </w:rPr>
        <w:t>in fission research focu</w:t>
      </w:r>
      <w:r w:rsidRPr="008E387B">
        <w:rPr>
          <w:rFonts w:ascii="Times New Roman" w:hAnsi="Times New Roman" w:cs="Times New Roman"/>
          <w:noProof/>
          <w:color w:val="000000" w:themeColor="text1"/>
          <w:sz w:val="24"/>
          <w:szCs w:val="24"/>
          <w:lang w:val="mt-MT"/>
        </w:rPr>
        <w:t>sed</w:t>
      </w:r>
      <w:r w:rsidRPr="008E387B">
        <w:rPr>
          <w:rFonts w:ascii="Times New Roman" w:hAnsi="Times New Roman" w:cs="Times New Roman"/>
          <w:noProof/>
          <w:color w:val="000000" w:themeColor="text1"/>
          <w:sz w:val="24"/>
          <w:szCs w:val="24"/>
        </w:rPr>
        <w:t xml:space="preserve"> on </w:t>
      </w:r>
      <w:r>
        <w:rPr>
          <w:rFonts w:ascii="Times New Roman" w:hAnsi="Times New Roman" w:cs="Times New Roman"/>
          <w:noProof/>
          <w:color w:val="000000" w:themeColor="text1"/>
          <w:sz w:val="24"/>
          <w:szCs w:val="24"/>
        </w:rPr>
        <w:t xml:space="preserve">crucial </w:t>
      </w:r>
      <w:r w:rsidRPr="008E387B">
        <w:rPr>
          <w:rFonts w:ascii="Times New Roman" w:hAnsi="Times New Roman" w:cs="Times New Roman"/>
          <w:noProof/>
          <w:color w:val="000000" w:themeColor="text1"/>
          <w:sz w:val="24"/>
          <w:szCs w:val="24"/>
        </w:rPr>
        <w:t xml:space="preserve">safety-related </w:t>
      </w:r>
      <w:r w:rsidRPr="007C4BD5">
        <w:rPr>
          <w:rFonts w:ascii="Times New Roman" w:hAnsi="Times New Roman" w:cs="Times New Roman"/>
          <w:noProof/>
          <w:sz w:val="24"/>
          <w:szCs w:val="24"/>
        </w:rPr>
        <w:t xml:space="preserve">issues, </w:t>
      </w:r>
      <w:r w:rsidR="00273856">
        <w:rPr>
          <w:rFonts w:ascii="Times New Roman" w:hAnsi="Times New Roman" w:cs="Times New Roman"/>
          <w:noProof/>
          <w:sz w:val="24"/>
          <w:szCs w:val="24"/>
        </w:rPr>
        <w:t>(including issues such as the</w:t>
      </w:r>
      <w:r w:rsidR="00273856" w:rsidRPr="007C4BD5">
        <w:rPr>
          <w:rFonts w:ascii="Times New Roman" w:hAnsi="Times New Roman" w:cs="Times New Roman"/>
          <w:noProof/>
          <w:sz w:val="24"/>
          <w:szCs w:val="24"/>
        </w:rPr>
        <w:t xml:space="preserve"> </w:t>
      </w:r>
      <w:r w:rsidRPr="007C4BD5">
        <w:rPr>
          <w:rFonts w:ascii="Times New Roman" w:hAnsi="Times New Roman" w:cs="Times New Roman"/>
          <w:noProof/>
          <w:sz w:val="24"/>
          <w:szCs w:val="24"/>
        </w:rPr>
        <w:t xml:space="preserve">operational safety of NPPs </w:t>
      </w:r>
      <w:r w:rsidR="00273856">
        <w:rPr>
          <w:rFonts w:ascii="Times New Roman" w:hAnsi="Times New Roman" w:cs="Times New Roman"/>
          <w:noProof/>
          <w:sz w:val="24"/>
          <w:szCs w:val="24"/>
        </w:rPr>
        <w:t>and</w:t>
      </w:r>
      <w:r w:rsidR="00273856" w:rsidRPr="007C4BD5">
        <w:rPr>
          <w:rFonts w:ascii="Times New Roman" w:hAnsi="Times New Roman" w:cs="Times New Roman"/>
          <w:noProof/>
          <w:sz w:val="24"/>
          <w:szCs w:val="24"/>
        </w:rPr>
        <w:t xml:space="preserve"> </w:t>
      </w:r>
      <w:r w:rsidRPr="007C4BD5">
        <w:rPr>
          <w:rFonts w:ascii="Times New Roman" w:hAnsi="Times New Roman" w:cs="Times New Roman"/>
          <w:noProof/>
          <w:sz w:val="24"/>
          <w:szCs w:val="24"/>
        </w:rPr>
        <w:t>safety features for new designs</w:t>
      </w:r>
      <w:r w:rsidR="00273856">
        <w:rPr>
          <w:rFonts w:ascii="Times New Roman" w:hAnsi="Times New Roman" w:cs="Times New Roman"/>
          <w:noProof/>
          <w:sz w:val="24"/>
          <w:szCs w:val="24"/>
        </w:rPr>
        <w:t>)</w:t>
      </w:r>
      <w:r>
        <w:rPr>
          <w:rFonts w:ascii="Times New Roman" w:hAnsi="Times New Roman" w:cs="Times New Roman"/>
          <w:noProof/>
          <w:sz w:val="24"/>
          <w:szCs w:val="24"/>
        </w:rPr>
        <w:t xml:space="preserve">, in line with the </w:t>
      </w:r>
      <w:r w:rsidR="00A550B7">
        <w:rPr>
          <w:rFonts w:ascii="Times New Roman" w:hAnsi="Times New Roman" w:cs="Times New Roman"/>
          <w:noProof/>
          <w:sz w:val="24"/>
          <w:szCs w:val="24"/>
        </w:rPr>
        <w:t>work programmes</w:t>
      </w:r>
      <w:r>
        <w:rPr>
          <w:rFonts w:ascii="Times New Roman" w:hAnsi="Times New Roman" w:cs="Times New Roman"/>
          <w:noProof/>
          <w:sz w:val="24"/>
          <w:szCs w:val="24"/>
        </w:rPr>
        <w:t xml:space="preserve"> and based on feedback from ongoing research.</w:t>
      </w:r>
      <w:r w:rsidRPr="007C4BD5">
        <w:rPr>
          <w:rFonts w:ascii="Times New Roman" w:hAnsi="Times New Roman" w:cs="Times New Roman"/>
          <w:noProof/>
          <w:sz w:val="24"/>
          <w:szCs w:val="24"/>
        </w:rPr>
        <w:t xml:space="preserve"> </w:t>
      </w:r>
      <w:r w:rsidRPr="009A5715">
        <w:rPr>
          <w:rFonts w:ascii="Times New Roman" w:hAnsi="Times New Roman" w:cs="Times New Roman"/>
          <w:noProof/>
          <w:sz w:val="24"/>
          <w:szCs w:val="24"/>
        </w:rPr>
        <w:t xml:space="preserve">The increasing average age of the fleet of </w:t>
      </w:r>
      <w:r w:rsidR="00A550B7">
        <w:rPr>
          <w:rFonts w:ascii="Times New Roman" w:hAnsi="Times New Roman" w:cs="Times New Roman"/>
          <w:noProof/>
          <w:sz w:val="24"/>
          <w:szCs w:val="24"/>
        </w:rPr>
        <w:t>NPPs</w:t>
      </w:r>
      <w:r w:rsidRPr="009A5715">
        <w:rPr>
          <w:rFonts w:ascii="Times New Roman" w:hAnsi="Times New Roman" w:cs="Times New Roman"/>
          <w:noProof/>
          <w:sz w:val="24"/>
          <w:szCs w:val="24"/>
        </w:rPr>
        <w:t xml:space="preserve"> in Europe required </w:t>
      </w:r>
      <w:r w:rsidR="00207A0A">
        <w:rPr>
          <w:rFonts w:ascii="Times New Roman" w:hAnsi="Times New Roman" w:cs="Times New Roman"/>
          <w:noProof/>
          <w:sz w:val="24"/>
          <w:szCs w:val="24"/>
        </w:rPr>
        <w:t xml:space="preserve">– </w:t>
      </w:r>
      <w:r w:rsidRPr="009A5715">
        <w:rPr>
          <w:rFonts w:ascii="Times New Roman" w:hAnsi="Times New Roman" w:cs="Times New Roman"/>
          <w:noProof/>
          <w:sz w:val="24"/>
          <w:szCs w:val="24"/>
        </w:rPr>
        <w:t>and still requires</w:t>
      </w:r>
      <w:r w:rsidR="00207A0A">
        <w:rPr>
          <w:rFonts w:ascii="Times New Roman" w:hAnsi="Times New Roman" w:cs="Times New Roman"/>
          <w:noProof/>
          <w:sz w:val="24"/>
          <w:szCs w:val="24"/>
        </w:rPr>
        <w:t xml:space="preserve"> –</w:t>
      </w:r>
      <w:r w:rsidRPr="009A5715">
        <w:rPr>
          <w:rFonts w:ascii="Times New Roman" w:hAnsi="Times New Roman" w:cs="Times New Roman"/>
          <w:noProof/>
          <w:sz w:val="24"/>
          <w:szCs w:val="24"/>
        </w:rPr>
        <w:t xml:space="preserve"> particular </w:t>
      </w:r>
      <w:r>
        <w:rPr>
          <w:rFonts w:ascii="Times New Roman" w:hAnsi="Times New Roman" w:cs="Times New Roman"/>
          <w:noProof/>
          <w:sz w:val="24"/>
          <w:szCs w:val="24"/>
        </w:rPr>
        <w:t xml:space="preserve">attention to </w:t>
      </w:r>
      <w:r w:rsidRPr="009A5715">
        <w:rPr>
          <w:rFonts w:ascii="Times New Roman" w:hAnsi="Times New Roman" w:cs="Times New Roman"/>
          <w:noProof/>
          <w:sz w:val="24"/>
          <w:szCs w:val="24"/>
        </w:rPr>
        <w:t>their ageing and long-term operation strategies.</w:t>
      </w:r>
      <w:r>
        <w:rPr>
          <w:rFonts w:ascii="Times New Roman" w:hAnsi="Times New Roman" w:cs="Times New Roman"/>
          <w:noProof/>
          <w:sz w:val="24"/>
          <w:szCs w:val="24"/>
        </w:rPr>
        <w:t xml:space="preserve"> </w:t>
      </w:r>
      <w:r w:rsidRPr="009A5715">
        <w:rPr>
          <w:rFonts w:ascii="Times New Roman" w:hAnsi="Times New Roman" w:cs="Times New Roman"/>
          <w:noProof/>
          <w:sz w:val="24"/>
          <w:szCs w:val="24"/>
        </w:rPr>
        <w:t xml:space="preserve">Research is needed to understand </w:t>
      </w:r>
      <w:r w:rsidR="00207A0A">
        <w:rPr>
          <w:rFonts w:ascii="Times New Roman" w:hAnsi="Times New Roman" w:cs="Times New Roman"/>
          <w:noProof/>
          <w:sz w:val="24"/>
          <w:szCs w:val="24"/>
        </w:rPr>
        <w:t xml:space="preserve">the </w:t>
      </w:r>
      <w:r w:rsidRPr="009A5715">
        <w:rPr>
          <w:rFonts w:ascii="Times New Roman" w:hAnsi="Times New Roman" w:cs="Times New Roman"/>
          <w:noProof/>
          <w:sz w:val="24"/>
          <w:szCs w:val="24"/>
        </w:rPr>
        <w:t xml:space="preserve">degradation mechanisms of safety-relevant components and the impact </w:t>
      </w:r>
      <w:r w:rsidR="00207A0A">
        <w:rPr>
          <w:rFonts w:ascii="Times New Roman" w:hAnsi="Times New Roman" w:cs="Times New Roman"/>
          <w:noProof/>
          <w:sz w:val="24"/>
          <w:szCs w:val="24"/>
        </w:rPr>
        <w:t xml:space="preserve">of this degradation </w:t>
      </w:r>
      <w:r w:rsidRPr="009A5715">
        <w:rPr>
          <w:rFonts w:ascii="Times New Roman" w:hAnsi="Times New Roman" w:cs="Times New Roman"/>
          <w:noProof/>
          <w:sz w:val="24"/>
          <w:szCs w:val="24"/>
        </w:rPr>
        <w:t>on overall safety. Th</w:t>
      </w:r>
      <w:r w:rsidR="00081EB3">
        <w:rPr>
          <w:rFonts w:ascii="Times New Roman" w:hAnsi="Times New Roman" w:cs="Times New Roman"/>
          <w:noProof/>
          <w:sz w:val="24"/>
          <w:szCs w:val="24"/>
        </w:rPr>
        <w:t>e</w:t>
      </w:r>
      <w:r w:rsidRPr="009A5715">
        <w:rPr>
          <w:rFonts w:ascii="Times New Roman" w:hAnsi="Times New Roman" w:cs="Times New Roman"/>
          <w:noProof/>
          <w:sz w:val="24"/>
          <w:szCs w:val="24"/>
        </w:rPr>
        <w:t xml:space="preserve"> knowledge </w:t>
      </w:r>
      <w:r w:rsidR="00081EB3">
        <w:rPr>
          <w:rFonts w:ascii="Times New Roman" w:hAnsi="Times New Roman" w:cs="Times New Roman"/>
          <w:noProof/>
          <w:sz w:val="24"/>
          <w:szCs w:val="24"/>
        </w:rPr>
        <w:t xml:space="preserve">produced by this research can </w:t>
      </w:r>
      <w:r w:rsidRPr="009A5715">
        <w:rPr>
          <w:rFonts w:ascii="Times New Roman" w:hAnsi="Times New Roman" w:cs="Times New Roman"/>
          <w:noProof/>
          <w:sz w:val="24"/>
          <w:szCs w:val="24"/>
        </w:rPr>
        <w:t xml:space="preserve">support a science-based assessment of the safety margins and </w:t>
      </w:r>
      <w:r w:rsidR="00081EB3">
        <w:rPr>
          <w:rFonts w:ascii="Times New Roman" w:hAnsi="Times New Roman" w:cs="Times New Roman"/>
          <w:noProof/>
          <w:sz w:val="24"/>
          <w:szCs w:val="24"/>
        </w:rPr>
        <w:t>make possible</w:t>
      </w:r>
      <w:r w:rsidRPr="009A5715">
        <w:rPr>
          <w:rFonts w:ascii="Times New Roman" w:hAnsi="Times New Roman" w:cs="Times New Roman"/>
          <w:noProof/>
          <w:sz w:val="24"/>
          <w:szCs w:val="24"/>
        </w:rPr>
        <w:t xml:space="preserve"> the timely implementation of safety improvements. The predictive tools and assessment methods </w:t>
      </w:r>
      <w:r w:rsidR="00081EB3">
        <w:rPr>
          <w:rFonts w:ascii="Times New Roman" w:hAnsi="Times New Roman" w:cs="Times New Roman"/>
          <w:noProof/>
          <w:sz w:val="24"/>
          <w:szCs w:val="24"/>
        </w:rPr>
        <w:t xml:space="preserve">produced by research of this type will </w:t>
      </w:r>
      <w:r w:rsidRPr="009A5715">
        <w:rPr>
          <w:rFonts w:ascii="Times New Roman" w:hAnsi="Times New Roman" w:cs="Times New Roman"/>
          <w:noProof/>
          <w:sz w:val="24"/>
          <w:szCs w:val="24"/>
        </w:rPr>
        <w:t xml:space="preserve">benefit periodic safety reviews of existing nuclear installations. They </w:t>
      </w:r>
      <w:r w:rsidR="00081EB3">
        <w:rPr>
          <w:rFonts w:ascii="Times New Roman" w:hAnsi="Times New Roman" w:cs="Times New Roman"/>
          <w:noProof/>
          <w:sz w:val="24"/>
          <w:szCs w:val="24"/>
        </w:rPr>
        <w:t xml:space="preserve">will </w:t>
      </w:r>
      <w:r w:rsidRPr="009A5715">
        <w:rPr>
          <w:rFonts w:ascii="Times New Roman" w:hAnsi="Times New Roman" w:cs="Times New Roman"/>
          <w:noProof/>
          <w:sz w:val="24"/>
          <w:szCs w:val="24"/>
        </w:rPr>
        <w:t xml:space="preserve">also help regulators </w:t>
      </w:r>
      <w:r w:rsidR="00081EB3">
        <w:rPr>
          <w:rFonts w:ascii="Times New Roman" w:hAnsi="Times New Roman" w:cs="Times New Roman"/>
          <w:noProof/>
          <w:sz w:val="24"/>
          <w:szCs w:val="24"/>
        </w:rPr>
        <w:t>to</w:t>
      </w:r>
      <w:r w:rsidR="00081EB3" w:rsidRPr="009A5715">
        <w:rPr>
          <w:rFonts w:ascii="Times New Roman" w:hAnsi="Times New Roman" w:cs="Times New Roman"/>
          <w:noProof/>
          <w:sz w:val="24"/>
          <w:szCs w:val="24"/>
        </w:rPr>
        <w:t xml:space="preserve"> </w:t>
      </w:r>
      <w:r w:rsidRPr="009A5715">
        <w:rPr>
          <w:rFonts w:ascii="Times New Roman" w:hAnsi="Times New Roman" w:cs="Times New Roman"/>
          <w:noProof/>
          <w:sz w:val="24"/>
          <w:szCs w:val="24"/>
        </w:rPr>
        <w:t>assess new designs.</w:t>
      </w:r>
      <w:r w:rsidRPr="007C4BD5">
        <w:rPr>
          <w:rFonts w:ascii="Times New Roman" w:hAnsi="Times New Roman" w:cs="Times New Roman"/>
          <w:noProof/>
          <w:sz w:val="24"/>
          <w:szCs w:val="24"/>
        </w:rPr>
        <w:t xml:space="preserve"> Research funded by </w:t>
      </w:r>
      <w:r>
        <w:rPr>
          <w:rFonts w:ascii="Times New Roman" w:hAnsi="Times New Roman" w:cs="Times New Roman"/>
          <w:noProof/>
          <w:sz w:val="24"/>
          <w:szCs w:val="24"/>
        </w:rPr>
        <w:t xml:space="preserve">the </w:t>
      </w:r>
      <w:r w:rsidRPr="007C4BD5">
        <w:rPr>
          <w:rFonts w:ascii="Times New Roman" w:hAnsi="Times New Roman" w:cs="Times New Roman"/>
          <w:noProof/>
          <w:sz w:val="24"/>
          <w:szCs w:val="24"/>
        </w:rPr>
        <w:t>Programme</w:t>
      </w:r>
      <w:r>
        <w:rPr>
          <w:rFonts w:ascii="Times New Roman" w:hAnsi="Times New Roman" w:cs="Times New Roman"/>
          <w:noProof/>
          <w:sz w:val="24"/>
          <w:szCs w:val="24"/>
        </w:rPr>
        <w:t xml:space="preserve">, in particular </w:t>
      </w:r>
      <w:r w:rsidR="00081EB3">
        <w:rPr>
          <w:rFonts w:ascii="Times New Roman" w:hAnsi="Times New Roman" w:cs="Times New Roman"/>
          <w:noProof/>
          <w:sz w:val="24"/>
          <w:szCs w:val="24"/>
        </w:rPr>
        <w:t xml:space="preserve">research </w:t>
      </w:r>
      <w:r w:rsidR="006F3FA8">
        <w:rPr>
          <w:rFonts w:ascii="Times New Roman" w:hAnsi="Times New Roman" w:cs="Times New Roman"/>
          <w:noProof/>
          <w:sz w:val="24"/>
          <w:szCs w:val="24"/>
        </w:rPr>
        <w:t xml:space="preserve">on </w:t>
      </w:r>
      <w:r>
        <w:rPr>
          <w:rFonts w:ascii="Times New Roman" w:hAnsi="Times New Roman" w:cs="Times New Roman"/>
          <w:noProof/>
          <w:sz w:val="24"/>
          <w:szCs w:val="24"/>
        </w:rPr>
        <w:t xml:space="preserve">enabling </w:t>
      </w:r>
      <w:r w:rsidR="001D587E">
        <w:rPr>
          <w:rFonts w:ascii="Times New Roman" w:hAnsi="Times New Roman" w:cs="Times New Roman"/>
          <w:noProof/>
          <w:sz w:val="24"/>
          <w:szCs w:val="24"/>
        </w:rPr>
        <w:t xml:space="preserve">the </w:t>
      </w:r>
      <w:r>
        <w:rPr>
          <w:rFonts w:ascii="Times New Roman" w:hAnsi="Times New Roman" w:cs="Times New Roman"/>
          <w:noProof/>
          <w:sz w:val="24"/>
          <w:szCs w:val="24"/>
        </w:rPr>
        <w:t>long</w:t>
      </w:r>
      <w:r w:rsidR="006F3FA8">
        <w:rPr>
          <w:rFonts w:ascii="Times New Roman" w:hAnsi="Times New Roman" w:cs="Times New Roman"/>
          <w:noProof/>
          <w:sz w:val="24"/>
          <w:szCs w:val="24"/>
        </w:rPr>
        <w:t>-</w:t>
      </w:r>
      <w:r>
        <w:rPr>
          <w:rFonts w:ascii="Times New Roman" w:hAnsi="Times New Roman" w:cs="Times New Roman"/>
          <w:noProof/>
          <w:sz w:val="24"/>
          <w:szCs w:val="24"/>
        </w:rPr>
        <w:t>term operation</w:t>
      </w:r>
      <w:r w:rsidR="00110BC2">
        <w:rPr>
          <w:rFonts w:ascii="Times New Roman" w:hAnsi="Times New Roman" w:cs="Times New Roman"/>
          <w:noProof/>
          <w:sz w:val="24"/>
          <w:szCs w:val="24"/>
        </w:rPr>
        <w:t xml:space="preserve"> of NPPs</w:t>
      </w:r>
      <w:r>
        <w:rPr>
          <w:rFonts w:ascii="Times New Roman" w:hAnsi="Times New Roman" w:cs="Times New Roman"/>
          <w:noProof/>
          <w:sz w:val="24"/>
          <w:szCs w:val="24"/>
        </w:rPr>
        <w:t>,</w:t>
      </w:r>
      <w:r w:rsidRPr="007C4BD5">
        <w:rPr>
          <w:rFonts w:ascii="Times New Roman" w:hAnsi="Times New Roman" w:cs="Times New Roman"/>
          <w:noProof/>
          <w:sz w:val="24"/>
          <w:szCs w:val="24"/>
        </w:rPr>
        <w:t xml:space="preserve"> </w:t>
      </w:r>
      <w:r>
        <w:rPr>
          <w:rFonts w:ascii="Times New Roman" w:hAnsi="Times New Roman" w:cs="Times New Roman"/>
          <w:noProof/>
          <w:sz w:val="24"/>
          <w:szCs w:val="24"/>
        </w:rPr>
        <w:t xml:space="preserve">also </w:t>
      </w:r>
      <w:r w:rsidRPr="007C4BD5">
        <w:rPr>
          <w:rFonts w:ascii="Times New Roman" w:hAnsi="Times New Roman" w:cs="Times New Roman"/>
          <w:noProof/>
          <w:sz w:val="24"/>
          <w:szCs w:val="24"/>
        </w:rPr>
        <w:t xml:space="preserve">demonstrated </w:t>
      </w:r>
      <w:r w:rsidR="00110BC2">
        <w:rPr>
          <w:rFonts w:ascii="Times New Roman" w:hAnsi="Times New Roman" w:cs="Times New Roman"/>
          <w:noProof/>
          <w:sz w:val="24"/>
          <w:szCs w:val="24"/>
        </w:rPr>
        <w:t>significant</w:t>
      </w:r>
      <w:r w:rsidR="00110BC2" w:rsidRPr="007C4BD5">
        <w:rPr>
          <w:rFonts w:ascii="Times New Roman" w:hAnsi="Times New Roman" w:cs="Times New Roman"/>
          <w:noProof/>
          <w:sz w:val="24"/>
          <w:szCs w:val="24"/>
        </w:rPr>
        <w:t xml:space="preserve"> </w:t>
      </w:r>
      <w:r w:rsidRPr="007C4BD5">
        <w:rPr>
          <w:rFonts w:ascii="Times New Roman" w:hAnsi="Times New Roman" w:cs="Times New Roman"/>
          <w:noProof/>
          <w:sz w:val="24"/>
          <w:szCs w:val="24"/>
        </w:rPr>
        <w:t xml:space="preserve">cross-cutting benefits of nuclear research for energy and climate policies, </w:t>
      </w:r>
      <w:r>
        <w:rPr>
          <w:rFonts w:ascii="Times New Roman" w:hAnsi="Times New Roman" w:cs="Times New Roman"/>
          <w:noProof/>
          <w:sz w:val="24"/>
          <w:szCs w:val="24"/>
        </w:rPr>
        <w:t>as well as</w:t>
      </w:r>
      <w:r w:rsidR="00097678">
        <w:rPr>
          <w:rFonts w:ascii="Times New Roman" w:hAnsi="Times New Roman" w:cs="Times New Roman"/>
          <w:noProof/>
          <w:sz w:val="24"/>
          <w:szCs w:val="24"/>
        </w:rPr>
        <w:t xml:space="preserve"> for</w:t>
      </w:r>
      <w:r>
        <w:rPr>
          <w:rFonts w:ascii="Times New Roman" w:hAnsi="Times New Roman" w:cs="Times New Roman"/>
          <w:noProof/>
          <w:sz w:val="24"/>
          <w:szCs w:val="24"/>
        </w:rPr>
        <w:t xml:space="preserve"> </w:t>
      </w:r>
      <w:r w:rsidRPr="007C4BD5">
        <w:rPr>
          <w:rFonts w:ascii="Times New Roman" w:hAnsi="Times New Roman" w:cs="Times New Roman"/>
          <w:noProof/>
          <w:sz w:val="24"/>
          <w:szCs w:val="24"/>
        </w:rPr>
        <w:t>security of energy supply</w:t>
      </w:r>
      <w:r>
        <w:rPr>
          <w:rFonts w:ascii="Times New Roman" w:hAnsi="Times New Roman" w:cs="Times New Roman"/>
          <w:noProof/>
          <w:sz w:val="24"/>
          <w:szCs w:val="24"/>
        </w:rPr>
        <w:t>.</w:t>
      </w:r>
    </w:p>
    <w:p w14:paraId="0A7FC73B" w14:textId="5131D54A" w:rsidR="00383303" w:rsidRDefault="00383303" w:rsidP="00383303">
      <w:pPr>
        <w:pStyle w:val="ListParagraph"/>
        <w:numPr>
          <w:ilvl w:val="0"/>
          <w:numId w:val="73"/>
        </w:numPr>
        <w:spacing w:after="0" w:line="240" w:lineRule="auto"/>
        <w:rPr>
          <w:noProof/>
        </w:rPr>
      </w:pPr>
      <w:r w:rsidRPr="007C4BD5">
        <w:rPr>
          <w:b/>
          <w:bCs/>
          <w:noProof/>
        </w:rPr>
        <w:t xml:space="preserve">Development of safe, longer-term solutions for the management of </w:t>
      </w:r>
      <w:r w:rsidR="00DC05A1">
        <w:rPr>
          <w:b/>
          <w:bCs/>
          <w:noProof/>
        </w:rPr>
        <w:t>radioactive</w:t>
      </w:r>
      <w:r w:rsidRPr="007C4BD5">
        <w:rPr>
          <w:b/>
          <w:bCs/>
          <w:noProof/>
        </w:rPr>
        <w:t xml:space="preserve"> waste</w:t>
      </w:r>
    </w:p>
    <w:p w14:paraId="630AD190" w14:textId="0AD986EC" w:rsidR="00383303" w:rsidRPr="007C4BD5" w:rsidRDefault="00383303" w:rsidP="00383303">
      <w:pPr>
        <w:spacing w:after="0" w:line="240" w:lineRule="auto"/>
        <w:jc w:val="both"/>
        <w:rPr>
          <w:rFonts w:ascii="Times New Roman" w:hAnsi="Times New Roman" w:cs="Times New Roman"/>
          <w:noProof/>
          <w:color w:val="000000" w:themeColor="text1"/>
          <w:sz w:val="24"/>
          <w:szCs w:val="24"/>
        </w:rPr>
      </w:pPr>
      <w:r w:rsidRPr="007C4BD5">
        <w:rPr>
          <w:rFonts w:ascii="Times New Roman" w:hAnsi="Times New Roman" w:cs="Times New Roman"/>
          <w:noProof/>
          <w:color w:val="000000" w:themeColor="text1"/>
          <w:sz w:val="24"/>
          <w:szCs w:val="24"/>
        </w:rPr>
        <w:t xml:space="preserve">Research actions launched through subsequent Euratom work programmes </w:t>
      </w:r>
      <w:r>
        <w:rPr>
          <w:rFonts w:ascii="Times New Roman" w:hAnsi="Times New Roman" w:cs="Times New Roman"/>
          <w:noProof/>
          <w:color w:val="000000" w:themeColor="text1"/>
          <w:sz w:val="24"/>
          <w:szCs w:val="24"/>
        </w:rPr>
        <w:t xml:space="preserve">aimed to help Member States </w:t>
      </w:r>
      <w:r w:rsidRPr="007C4BD5">
        <w:rPr>
          <w:rFonts w:ascii="Times New Roman" w:hAnsi="Times New Roman" w:cs="Times New Roman"/>
          <w:noProof/>
          <w:color w:val="000000" w:themeColor="text1"/>
          <w:sz w:val="24"/>
          <w:szCs w:val="24"/>
        </w:rPr>
        <w:t>address key issues for the safe and effective management of radioactive waste in the EU</w:t>
      </w:r>
      <w:r w:rsidR="00110BC2">
        <w:rPr>
          <w:rFonts w:ascii="Times New Roman" w:hAnsi="Times New Roman" w:cs="Times New Roman"/>
          <w:noProof/>
          <w:color w:val="000000" w:themeColor="text1"/>
          <w:sz w:val="24"/>
          <w:szCs w:val="24"/>
        </w:rPr>
        <w:t>,</w:t>
      </w:r>
      <w:r w:rsidRPr="007C4BD5">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 xml:space="preserve">as required by </w:t>
      </w:r>
      <w:r w:rsidRPr="007C4BD5">
        <w:rPr>
          <w:rFonts w:ascii="Times New Roman" w:hAnsi="Times New Roman" w:cs="Times New Roman"/>
          <w:noProof/>
          <w:color w:val="000000" w:themeColor="text1"/>
          <w:sz w:val="24"/>
          <w:szCs w:val="24"/>
        </w:rPr>
        <w:t>Directive 2011/70/Euratom establishing a Community framework for the responsible and safe management of spent fuel and radioactive waste</w:t>
      </w:r>
      <w:r>
        <w:rPr>
          <w:rFonts w:ascii="Times New Roman" w:hAnsi="Times New Roman" w:cs="Times New Roman"/>
          <w:noProof/>
          <w:color w:val="000000" w:themeColor="text1"/>
          <w:sz w:val="24"/>
          <w:szCs w:val="24"/>
        </w:rPr>
        <w:t xml:space="preserve">. </w:t>
      </w:r>
      <w:r w:rsidRPr="007C4BD5">
        <w:rPr>
          <w:rFonts w:ascii="Times New Roman" w:hAnsi="Times New Roman" w:cs="Times New Roman"/>
          <w:noProof/>
          <w:color w:val="000000" w:themeColor="text1"/>
          <w:sz w:val="24"/>
          <w:szCs w:val="24"/>
        </w:rPr>
        <w:t xml:space="preserve">The issues </w:t>
      </w:r>
      <w:r w:rsidR="00110BC2">
        <w:rPr>
          <w:rFonts w:ascii="Times New Roman" w:hAnsi="Times New Roman" w:cs="Times New Roman"/>
          <w:noProof/>
          <w:color w:val="000000" w:themeColor="text1"/>
          <w:sz w:val="24"/>
          <w:szCs w:val="24"/>
        </w:rPr>
        <w:t xml:space="preserve">addressed by these research actions </w:t>
      </w:r>
      <w:r w:rsidRPr="007C4BD5">
        <w:rPr>
          <w:rFonts w:ascii="Times New Roman" w:hAnsi="Times New Roman" w:cs="Times New Roman"/>
          <w:noProof/>
          <w:color w:val="000000" w:themeColor="text1"/>
          <w:sz w:val="24"/>
          <w:szCs w:val="24"/>
        </w:rPr>
        <w:t>included</w:t>
      </w:r>
      <w:r w:rsidR="00AE12D6">
        <w:rPr>
          <w:rFonts w:ascii="Times New Roman" w:hAnsi="Times New Roman" w:cs="Times New Roman"/>
          <w:noProof/>
          <w:color w:val="000000" w:themeColor="text1"/>
          <w:sz w:val="24"/>
          <w:szCs w:val="24"/>
        </w:rPr>
        <w:t>: (i)</w:t>
      </w:r>
      <w:r w:rsidRPr="007C4BD5">
        <w:rPr>
          <w:rFonts w:ascii="Times New Roman" w:hAnsi="Times New Roman" w:cs="Times New Roman"/>
          <w:noProof/>
          <w:color w:val="000000" w:themeColor="text1"/>
          <w:sz w:val="24"/>
          <w:szCs w:val="24"/>
        </w:rPr>
        <w:t xml:space="preserve"> the safety of future geological disposal facilities</w:t>
      </w:r>
      <w:r w:rsidR="00AE12D6">
        <w:rPr>
          <w:rFonts w:ascii="Times New Roman" w:hAnsi="Times New Roman" w:cs="Times New Roman"/>
          <w:noProof/>
          <w:color w:val="000000" w:themeColor="text1"/>
          <w:sz w:val="24"/>
          <w:szCs w:val="24"/>
        </w:rPr>
        <w:t>; (ii)</w:t>
      </w:r>
      <w:r w:rsidRPr="007C4BD5">
        <w:rPr>
          <w:rFonts w:ascii="Times New Roman" w:hAnsi="Times New Roman" w:cs="Times New Roman"/>
          <w:noProof/>
          <w:color w:val="000000" w:themeColor="text1"/>
          <w:sz w:val="24"/>
          <w:szCs w:val="24"/>
        </w:rPr>
        <w:t xml:space="preserve"> the conditioning of radioactive waste</w:t>
      </w:r>
      <w:r w:rsidR="00AE12D6">
        <w:rPr>
          <w:rFonts w:ascii="Times New Roman" w:hAnsi="Times New Roman" w:cs="Times New Roman"/>
          <w:noProof/>
          <w:color w:val="000000" w:themeColor="text1"/>
          <w:sz w:val="24"/>
          <w:szCs w:val="24"/>
        </w:rPr>
        <w:t>; (iii)</w:t>
      </w:r>
      <w:r w:rsidRPr="007C4BD5">
        <w:rPr>
          <w:rFonts w:ascii="Times New Roman" w:hAnsi="Times New Roman" w:cs="Times New Roman"/>
          <w:noProof/>
          <w:color w:val="000000" w:themeColor="text1"/>
          <w:sz w:val="24"/>
          <w:szCs w:val="24"/>
        </w:rPr>
        <w:t xml:space="preserve"> the long-term behaviour of spent fuel in a repository</w:t>
      </w:r>
      <w:r w:rsidR="00AE12D6">
        <w:rPr>
          <w:rFonts w:ascii="Times New Roman" w:hAnsi="Times New Roman" w:cs="Times New Roman"/>
          <w:noProof/>
          <w:color w:val="000000" w:themeColor="text1"/>
          <w:sz w:val="24"/>
          <w:szCs w:val="24"/>
        </w:rPr>
        <w:t>;</w:t>
      </w:r>
      <w:r w:rsidRPr="007C4BD5">
        <w:rPr>
          <w:rFonts w:ascii="Times New Roman" w:hAnsi="Times New Roman" w:cs="Times New Roman"/>
          <w:noProof/>
          <w:color w:val="000000" w:themeColor="text1"/>
          <w:sz w:val="24"/>
          <w:szCs w:val="24"/>
        </w:rPr>
        <w:t xml:space="preserve"> and</w:t>
      </w:r>
      <w:r w:rsidR="00AE12D6">
        <w:rPr>
          <w:rFonts w:ascii="Times New Roman" w:hAnsi="Times New Roman" w:cs="Times New Roman"/>
          <w:noProof/>
          <w:color w:val="000000" w:themeColor="text1"/>
          <w:sz w:val="24"/>
          <w:szCs w:val="24"/>
        </w:rPr>
        <w:t xml:space="preserve"> (iv)</w:t>
      </w:r>
      <w:r w:rsidRPr="007C4BD5">
        <w:rPr>
          <w:rFonts w:ascii="Times New Roman" w:hAnsi="Times New Roman" w:cs="Times New Roman"/>
          <w:noProof/>
          <w:color w:val="000000" w:themeColor="text1"/>
          <w:sz w:val="24"/>
          <w:szCs w:val="24"/>
        </w:rPr>
        <w:t xml:space="preserve"> the clean-up of decommissioned sites. The </w:t>
      </w:r>
      <w:r w:rsidR="006F3FA8">
        <w:rPr>
          <w:rFonts w:ascii="Times New Roman" w:hAnsi="Times New Roman" w:cs="Times New Roman"/>
          <w:noProof/>
          <w:color w:val="000000" w:themeColor="text1"/>
          <w:sz w:val="24"/>
          <w:szCs w:val="24"/>
        </w:rPr>
        <w:t>P</w:t>
      </w:r>
      <w:r w:rsidRPr="007C4BD5">
        <w:rPr>
          <w:rFonts w:ascii="Times New Roman" w:hAnsi="Times New Roman" w:cs="Times New Roman"/>
          <w:noProof/>
          <w:color w:val="000000" w:themeColor="text1"/>
          <w:sz w:val="24"/>
          <w:szCs w:val="24"/>
        </w:rPr>
        <w:t>rogramme</w:t>
      </w:r>
      <w:r w:rsidR="00D5539E">
        <w:rPr>
          <w:rFonts w:ascii="Times New Roman" w:hAnsi="Times New Roman" w:cs="Times New Roman"/>
          <w:noProof/>
          <w:color w:val="000000" w:themeColor="text1"/>
          <w:sz w:val="24"/>
          <w:szCs w:val="24"/>
        </w:rPr>
        <w:t>’</w:t>
      </w:r>
      <w:r>
        <w:rPr>
          <w:rFonts w:ascii="Times New Roman" w:hAnsi="Times New Roman" w:cs="Times New Roman"/>
          <w:noProof/>
          <w:color w:val="000000" w:themeColor="text1"/>
          <w:sz w:val="24"/>
          <w:szCs w:val="24"/>
        </w:rPr>
        <w:t>s actions</w:t>
      </w:r>
      <w:r w:rsidRPr="007C4BD5">
        <w:rPr>
          <w:rFonts w:ascii="Times New Roman" w:hAnsi="Times New Roman" w:cs="Times New Roman"/>
          <w:noProof/>
          <w:color w:val="000000" w:themeColor="text1"/>
          <w:sz w:val="24"/>
          <w:szCs w:val="24"/>
        </w:rPr>
        <w:t xml:space="preserve"> also aimed to </w:t>
      </w:r>
      <w:bookmarkStart w:id="3" w:name="_Hlk168469466"/>
      <w:r w:rsidRPr="009A5715">
        <w:rPr>
          <w:rFonts w:ascii="Times New Roman" w:hAnsi="Times New Roman" w:cs="Times New Roman"/>
          <w:noProof/>
          <w:color w:val="000000" w:themeColor="text1"/>
          <w:sz w:val="24"/>
          <w:szCs w:val="24"/>
        </w:rPr>
        <w:t>deploy joint programming</w:t>
      </w:r>
      <w:r>
        <w:rPr>
          <w:rFonts w:ascii="Times New Roman" w:hAnsi="Times New Roman" w:cs="Times New Roman"/>
          <w:noProof/>
          <w:color w:val="000000" w:themeColor="text1"/>
          <w:sz w:val="24"/>
          <w:szCs w:val="24"/>
        </w:rPr>
        <w:t xml:space="preserve"> in this field</w:t>
      </w:r>
      <w:r w:rsidRPr="009A5715">
        <w:rPr>
          <w:rFonts w:ascii="Times New Roman" w:hAnsi="Times New Roman" w:cs="Times New Roman"/>
          <w:noProof/>
          <w:color w:val="000000" w:themeColor="text1"/>
          <w:sz w:val="24"/>
          <w:szCs w:val="24"/>
        </w:rPr>
        <w:t xml:space="preserve"> to </w:t>
      </w:r>
      <w:r w:rsidR="00AE12D6">
        <w:rPr>
          <w:rFonts w:ascii="Times New Roman" w:hAnsi="Times New Roman" w:cs="Times New Roman"/>
          <w:noProof/>
          <w:color w:val="000000" w:themeColor="text1"/>
          <w:sz w:val="24"/>
          <w:szCs w:val="24"/>
        </w:rPr>
        <w:t>help</w:t>
      </w:r>
      <w:r w:rsidR="00AE12D6" w:rsidRPr="009A5715">
        <w:rPr>
          <w:rFonts w:ascii="Times New Roman" w:hAnsi="Times New Roman" w:cs="Times New Roman"/>
          <w:noProof/>
          <w:color w:val="000000" w:themeColor="text1"/>
          <w:sz w:val="24"/>
          <w:szCs w:val="24"/>
        </w:rPr>
        <w:t xml:space="preserve"> </w:t>
      </w:r>
      <w:r w:rsidRPr="009A5715">
        <w:rPr>
          <w:rFonts w:ascii="Times New Roman" w:hAnsi="Times New Roman" w:cs="Times New Roman"/>
          <w:noProof/>
          <w:color w:val="000000" w:themeColor="text1"/>
          <w:sz w:val="24"/>
          <w:szCs w:val="24"/>
        </w:rPr>
        <w:t xml:space="preserve">Member States </w:t>
      </w:r>
      <w:r w:rsidR="00AE12D6">
        <w:rPr>
          <w:rFonts w:ascii="Times New Roman" w:hAnsi="Times New Roman" w:cs="Times New Roman"/>
          <w:noProof/>
          <w:color w:val="000000" w:themeColor="text1"/>
          <w:sz w:val="24"/>
          <w:szCs w:val="24"/>
        </w:rPr>
        <w:t>to</w:t>
      </w:r>
      <w:r w:rsidR="00AE12D6" w:rsidRPr="009A5715">
        <w:rPr>
          <w:rFonts w:ascii="Times New Roman" w:hAnsi="Times New Roman" w:cs="Times New Roman"/>
          <w:noProof/>
          <w:color w:val="000000" w:themeColor="text1"/>
          <w:sz w:val="24"/>
          <w:szCs w:val="24"/>
        </w:rPr>
        <w:t xml:space="preserve"> </w:t>
      </w:r>
      <w:r w:rsidRPr="009A5715">
        <w:rPr>
          <w:rFonts w:ascii="Times New Roman" w:hAnsi="Times New Roman" w:cs="Times New Roman"/>
          <w:noProof/>
          <w:color w:val="000000" w:themeColor="text1"/>
          <w:sz w:val="24"/>
          <w:szCs w:val="24"/>
        </w:rPr>
        <w:t xml:space="preserve">develop and implement their national </w:t>
      </w:r>
      <w:r>
        <w:rPr>
          <w:rFonts w:ascii="Times New Roman" w:hAnsi="Times New Roman" w:cs="Times New Roman"/>
          <w:noProof/>
          <w:color w:val="000000" w:themeColor="text1"/>
          <w:sz w:val="24"/>
          <w:szCs w:val="24"/>
        </w:rPr>
        <w:t xml:space="preserve">waste </w:t>
      </w:r>
      <w:r w:rsidRPr="009A5715">
        <w:rPr>
          <w:rFonts w:ascii="Times New Roman" w:hAnsi="Times New Roman" w:cs="Times New Roman"/>
          <w:noProof/>
          <w:color w:val="000000" w:themeColor="text1"/>
          <w:sz w:val="24"/>
          <w:szCs w:val="24"/>
        </w:rPr>
        <w:t>programmes</w:t>
      </w:r>
      <w:bookmarkEnd w:id="3"/>
      <w:r>
        <w:rPr>
          <w:rFonts w:ascii="Times New Roman" w:hAnsi="Times New Roman" w:cs="Times New Roman"/>
          <w:noProof/>
          <w:color w:val="000000" w:themeColor="text1"/>
          <w:sz w:val="24"/>
          <w:szCs w:val="24"/>
        </w:rPr>
        <w:t>.</w:t>
      </w:r>
    </w:p>
    <w:p w14:paraId="311664D2" w14:textId="77777777" w:rsidR="00383303" w:rsidRPr="007C4BD5" w:rsidRDefault="00383303" w:rsidP="00383303">
      <w:pPr>
        <w:pStyle w:val="ListParagraph"/>
        <w:spacing w:after="0" w:line="240" w:lineRule="auto"/>
        <w:ind w:left="360"/>
        <w:rPr>
          <w:rFonts w:cs="Times New Roman"/>
          <w:b/>
          <w:bCs/>
          <w:noProof/>
          <w:color w:val="000000" w:themeColor="text1"/>
          <w:szCs w:val="24"/>
        </w:rPr>
      </w:pPr>
    </w:p>
    <w:p w14:paraId="43268828" w14:textId="5F7DEA2E" w:rsidR="00383303" w:rsidRPr="00344F7A" w:rsidRDefault="00383303" w:rsidP="00383303">
      <w:pPr>
        <w:pStyle w:val="ListParagraph"/>
        <w:numPr>
          <w:ilvl w:val="0"/>
          <w:numId w:val="73"/>
        </w:numPr>
        <w:spacing w:after="0" w:line="240" w:lineRule="auto"/>
        <w:rPr>
          <w:rFonts w:cs="Times New Roman"/>
          <w:b/>
          <w:bCs/>
          <w:noProof/>
          <w:color w:val="000000" w:themeColor="text1"/>
          <w:szCs w:val="24"/>
        </w:rPr>
      </w:pPr>
      <w:r w:rsidRPr="007C4BD5">
        <w:rPr>
          <w:b/>
          <w:bCs/>
          <w:noProof/>
        </w:rPr>
        <w:t xml:space="preserve">Development and sustainability of nuclear expertise and excellence in the </w:t>
      </w:r>
      <w:r w:rsidR="00AE12D6">
        <w:rPr>
          <w:b/>
          <w:bCs/>
          <w:noProof/>
        </w:rPr>
        <w:t>EU</w:t>
      </w:r>
    </w:p>
    <w:p w14:paraId="38424564" w14:textId="7EF645C8" w:rsidR="00383303" w:rsidRPr="007C4BD5" w:rsidRDefault="00383303" w:rsidP="00383303">
      <w:pPr>
        <w:spacing w:after="0" w:line="240" w:lineRule="auto"/>
        <w:jc w:val="both"/>
        <w:rPr>
          <w:rFonts w:ascii="Times New Roman" w:hAnsi="Times New Roman" w:cs="Times New Roman"/>
          <w:noProof/>
          <w:color w:val="000000" w:themeColor="text1"/>
          <w:sz w:val="24"/>
          <w:szCs w:val="24"/>
        </w:rPr>
      </w:pPr>
      <w:r w:rsidRPr="001E7839">
        <w:rPr>
          <w:rFonts w:ascii="Times New Roman" w:hAnsi="Times New Roman" w:cs="Times New Roman"/>
          <w:noProof/>
          <w:color w:val="000000" w:themeColor="text1"/>
          <w:sz w:val="24"/>
          <w:szCs w:val="24"/>
        </w:rPr>
        <w:t xml:space="preserve">The </w:t>
      </w:r>
      <w:r w:rsidR="006F3FA8">
        <w:rPr>
          <w:rFonts w:ascii="Times New Roman" w:hAnsi="Times New Roman" w:cs="Times New Roman"/>
          <w:noProof/>
          <w:color w:val="000000" w:themeColor="text1"/>
          <w:sz w:val="24"/>
          <w:szCs w:val="24"/>
        </w:rPr>
        <w:t>P</w:t>
      </w:r>
      <w:r w:rsidRPr="001E7839">
        <w:rPr>
          <w:rFonts w:ascii="Times New Roman" w:hAnsi="Times New Roman" w:cs="Times New Roman"/>
          <w:noProof/>
          <w:color w:val="000000" w:themeColor="text1"/>
          <w:sz w:val="24"/>
          <w:szCs w:val="24"/>
        </w:rPr>
        <w:t xml:space="preserve">rogramme funded specific actions </w:t>
      </w:r>
      <w:r w:rsidR="00367E4F">
        <w:rPr>
          <w:rFonts w:ascii="Times New Roman" w:hAnsi="Times New Roman" w:cs="Times New Roman"/>
          <w:noProof/>
          <w:color w:val="000000" w:themeColor="text1"/>
          <w:sz w:val="24"/>
          <w:szCs w:val="24"/>
        </w:rPr>
        <w:t>to</w:t>
      </w:r>
      <w:r w:rsidR="00367E4F" w:rsidRPr="001E7839">
        <w:rPr>
          <w:rFonts w:ascii="Times New Roman" w:hAnsi="Times New Roman" w:cs="Times New Roman"/>
          <w:noProof/>
          <w:color w:val="000000" w:themeColor="text1"/>
          <w:sz w:val="24"/>
          <w:szCs w:val="24"/>
        </w:rPr>
        <w:t xml:space="preserve"> </w:t>
      </w:r>
      <w:r w:rsidR="00367E4F" w:rsidRPr="001E7839">
        <w:rPr>
          <w:rFonts w:ascii="Times New Roman" w:hAnsi="Times New Roman" w:cs="Times New Roman"/>
          <w:noProof/>
          <w:sz w:val="24"/>
          <w:szCs w:val="24"/>
        </w:rPr>
        <w:t>maintain critical skills and capacities in the nuclear sector</w:t>
      </w:r>
      <w:r w:rsidR="00367E4F">
        <w:rPr>
          <w:rFonts w:ascii="Times New Roman" w:hAnsi="Times New Roman" w:cs="Times New Roman"/>
          <w:noProof/>
          <w:color w:val="000000" w:themeColor="text1"/>
          <w:sz w:val="24"/>
          <w:szCs w:val="24"/>
        </w:rPr>
        <w:t>. A</w:t>
      </w:r>
      <w:r w:rsidR="00367E4F" w:rsidRPr="001E7839">
        <w:rPr>
          <w:rFonts w:ascii="Times New Roman" w:hAnsi="Times New Roman" w:cs="Times New Roman"/>
          <w:noProof/>
          <w:color w:val="000000" w:themeColor="text1"/>
          <w:sz w:val="24"/>
          <w:szCs w:val="24"/>
        </w:rPr>
        <w:t>nd</w:t>
      </w:r>
      <w:r>
        <w:rPr>
          <w:rFonts w:ascii="Times New Roman" w:hAnsi="Times New Roman" w:cs="Times New Roman"/>
          <w:noProof/>
          <w:color w:val="000000" w:themeColor="text1"/>
          <w:sz w:val="24"/>
          <w:szCs w:val="24"/>
        </w:rPr>
        <w:t xml:space="preserve"> in line with work programmes,</w:t>
      </w:r>
      <w:r w:rsidRPr="001E7839">
        <w:rPr>
          <w:rFonts w:ascii="Times New Roman" w:hAnsi="Times New Roman" w:cs="Times New Roman"/>
          <w:noProof/>
          <w:color w:val="000000" w:themeColor="text1"/>
          <w:sz w:val="24"/>
          <w:szCs w:val="24"/>
        </w:rPr>
        <w:t xml:space="preserve"> </w:t>
      </w:r>
      <w:r w:rsidR="00367E4F">
        <w:rPr>
          <w:rFonts w:ascii="Times New Roman" w:hAnsi="Times New Roman" w:cs="Times New Roman"/>
          <w:noProof/>
          <w:color w:val="000000" w:themeColor="text1"/>
          <w:sz w:val="24"/>
          <w:szCs w:val="24"/>
        </w:rPr>
        <w:t xml:space="preserve">the Programme </w:t>
      </w:r>
      <w:r w:rsidR="006F3FA8" w:rsidRPr="001E7839">
        <w:rPr>
          <w:rFonts w:ascii="Times New Roman" w:hAnsi="Times New Roman" w:cs="Times New Roman"/>
          <w:noProof/>
          <w:color w:val="000000" w:themeColor="text1"/>
          <w:sz w:val="24"/>
          <w:szCs w:val="24"/>
        </w:rPr>
        <w:t xml:space="preserve">dedicated </w:t>
      </w:r>
      <w:r w:rsidRPr="001E7839">
        <w:rPr>
          <w:rFonts w:ascii="Times New Roman" w:hAnsi="Times New Roman" w:cs="Times New Roman"/>
          <w:noProof/>
          <w:color w:val="000000" w:themeColor="text1"/>
          <w:sz w:val="24"/>
          <w:szCs w:val="24"/>
        </w:rPr>
        <w:t xml:space="preserve">part of </w:t>
      </w:r>
      <w:r w:rsidR="006F3FA8">
        <w:rPr>
          <w:rFonts w:ascii="Times New Roman" w:hAnsi="Times New Roman" w:cs="Times New Roman"/>
          <w:noProof/>
          <w:color w:val="000000" w:themeColor="text1"/>
          <w:sz w:val="24"/>
          <w:szCs w:val="24"/>
        </w:rPr>
        <w:t xml:space="preserve">the </w:t>
      </w:r>
      <w:r w:rsidRPr="001E7839">
        <w:rPr>
          <w:rFonts w:ascii="Times New Roman" w:hAnsi="Times New Roman" w:cs="Times New Roman"/>
          <w:noProof/>
          <w:color w:val="000000" w:themeColor="text1"/>
          <w:sz w:val="24"/>
          <w:szCs w:val="24"/>
        </w:rPr>
        <w:t>budget of all research and innovation actions</w:t>
      </w:r>
      <w:r w:rsidR="00367E4F">
        <w:rPr>
          <w:rFonts w:ascii="Times New Roman" w:hAnsi="Times New Roman" w:cs="Times New Roman"/>
          <w:noProof/>
          <w:color w:val="000000" w:themeColor="text1"/>
          <w:sz w:val="24"/>
          <w:szCs w:val="24"/>
        </w:rPr>
        <w:t xml:space="preserve"> to this end</w:t>
      </w:r>
      <w:r w:rsidRPr="001E7839">
        <w:rPr>
          <w:rFonts w:ascii="Times New Roman" w:hAnsi="Times New Roman" w:cs="Times New Roman"/>
          <w:noProof/>
          <w:sz w:val="24"/>
          <w:szCs w:val="24"/>
        </w:rPr>
        <w:t>.</w:t>
      </w:r>
      <w:r w:rsidR="00AE12D6">
        <w:rPr>
          <w:rFonts w:ascii="Times New Roman" w:hAnsi="Times New Roman" w:cs="Times New Roman"/>
          <w:noProof/>
          <w:sz w:val="24"/>
          <w:szCs w:val="24"/>
        </w:rPr>
        <w:t xml:space="preserve"> The</w:t>
      </w:r>
      <w:r w:rsidRPr="001E7839">
        <w:rPr>
          <w:rFonts w:ascii="Times New Roman" w:hAnsi="Times New Roman" w:cs="Times New Roman"/>
          <w:noProof/>
          <w:color w:val="000000" w:themeColor="text1"/>
          <w:sz w:val="24"/>
          <w:szCs w:val="24"/>
        </w:rPr>
        <w:t xml:space="preserve"> </w:t>
      </w:r>
      <w:r w:rsidR="00AE12D6">
        <w:rPr>
          <w:rFonts w:ascii="Times New Roman" w:hAnsi="Times New Roman" w:cs="Times New Roman"/>
          <w:noProof/>
          <w:color w:val="000000" w:themeColor="text1"/>
          <w:sz w:val="24"/>
          <w:szCs w:val="24"/>
        </w:rPr>
        <w:t>u</w:t>
      </w:r>
      <w:r w:rsidRPr="007C4BD5">
        <w:rPr>
          <w:rFonts w:ascii="Times New Roman" w:hAnsi="Times New Roman" w:cs="Times New Roman"/>
          <w:noProof/>
          <w:color w:val="000000" w:themeColor="text1"/>
          <w:sz w:val="24"/>
          <w:szCs w:val="24"/>
        </w:rPr>
        <w:t>s</w:t>
      </w:r>
      <w:r w:rsidR="006F3FA8">
        <w:rPr>
          <w:rFonts w:ascii="Times New Roman" w:hAnsi="Times New Roman" w:cs="Times New Roman"/>
          <w:noProof/>
          <w:color w:val="000000" w:themeColor="text1"/>
          <w:sz w:val="24"/>
          <w:szCs w:val="24"/>
        </w:rPr>
        <w:t>e</w:t>
      </w:r>
      <w:r w:rsidRPr="007C4BD5">
        <w:rPr>
          <w:rFonts w:ascii="Times New Roman" w:hAnsi="Times New Roman" w:cs="Times New Roman"/>
          <w:noProof/>
          <w:color w:val="000000" w:themeColor="text1"/>
          <w:sz w:val="24"/>
          <w:szCs w:val="24"/>
        </w:rPr>
        <w:t xml:space="preserve"> of nuclear technologies in all areas of application as well as nuclear safety and security require a highly specialised workforce and preservation of the knowledge base.</w:t>
      </w:r>
      <w:r w:rsidRPr="001E7839">
        <w:rPr>
          <w:rFonts w:ascii="Times New Roman" w:hAnsi="Times New Roman" w:cs="Times New Roman"/>
          <w:noProof/>
          <w:color w:val="000000" w:themeColor="text1"/>
          <w:sz w:val="24"/>
          <w:szCs w:val="24"/>
        </w:rPr>
        <w:t xml:space="preserve"> </w:t>
      </w:r>
      <w:r w:rsidRPr="007C4BD5">
        <w:rPr>
          <w:rFonts w:ascii="Times New Roman" w:hAnsi="Times New Roman" w:cs="Times New Roman"/>
          <w:noProof/>
          <w:sz w:val="24"/>
          <w:szCs w:val="24"/>
        </w:rPr>
        <w:t>The overall workforce situation in the E</w:t>
      </w:r>
      <w:r>
        <w:rPr>
          <w:rFonts w:ascii="Times New Roman" w:hAnsi="Times New Roman" w:cs="Times New Roman"/>
          <w:noProof/>
          <w:sz w:val="24"/>
          <w:szCs w:val="24"/>
        </w:rPr>
        <w:t>U</w:t>
      </w:r>
      <w:r w:rsidRPr="007C4BD5">
        <w:rPr>
          <w:rFonts w:ascii="Times New Roman" w:hAnsi="Times New Roman" w:cs="Times New Roman"/>
          <w:noProof/>
          <w:sz w:val="24"/>
          <w:szCs w:val="24"/>
        </w:rPr>
        <w:t xml:space="preserve"> </w:t>
      </w:r>
      <w:r>
        <w:rPr>
          <w:rFonts w:ascii="Times New Roman" w:hAnsi="Times New Roman" w:cs="Times New Roman"/>
          <w:noProof/>
          <w:sz w:val="24"/>
          <w:szCs w:val="24"/>
        </w:rPr>
        <w:t>was</w:t>
      </w:r>
      <w:r w:rsidRPr="007C4BD5">
        <w:rPr>
          <w:rFonts w:ascii="Times New Roman" w:hAnsi="Times New Roman" w:cs="Times New Roman"/>
          <w:noProof/>
          <w:sz w:val="24"/>
          <w:szCs w:val="24"/>
        </w:rPr>
        <w:t xml:space="preserve"> </w:t>
      </w:r>
      <w:r w:rsidR="00AE12D6">
        <w:rPr>
          <w:rFonts w:ascii="Times New Roman" w:hAnsi="Times New Roman" w:cs="Times New Roman"/>
          <w:noProof/>
          <w:sz w:val="24"/>
          <w:szCs w:val="24"/>
        </w:rPr>
        <w:t xml:space="preserve">– </w:t>
      </w:r>
      <w:r>
        <w:rPr>
          <w:rFonts w:ascii="Times New Roman" w:hAnsi="Times New Roman" w:cs="Times New Roman"/>
          <w:noProof/>
          <w:sz w:val="24"/>
          <w:szCs w:val="24"/>
        </w:rPr>
        <w:t>and continue</w:t>
      </w:r>
      <w:r w:rsidR="006F3FA8">
        <w:rPr>
          <w:rFonts w:ascii="Times New Roman" w:hAnsi="Times New Roman" w:cs="Times New Roman"/>
          <w:noProof/>
          <w:sz w:val="24"/>
          <w:szCs w:val="24"/>
        </w:rPr>
        <w:t>s</w:t>
      </w:r>
      <w:r>
        <w:rPr>
          <w:rFonts w:ascii="Times New Roman" w:hAnsi="Times New Roman" w:cs="Times New Roman"/>
          <w:noProof/>
          <w:sz w:val="24"/>
          <w:szCs w:val="24"/>
        </w:rPr>
        <w:t xml:space="preserve"> to be </w:t>
      </w:r>
      <w:r w:rsidR="00AE12D6">
        <w:rPr>
          <w:rFonts w:ascii="Times New Roman" w:hAnsi="Times New Roman" w:cs="Times New Roman"/>
          <w:noProof/>
          <w:sz w:val="24"/>
          <w:szCs w:val="24"/>
        </w:rPr>
        <w:t xml:space="preserve">– </w:t>
      </w:r>
      <w:r w:rsidRPr="007C4BD5">
        <w:rPr>
          <w:rFonts w:ascii="Times New Roman" w:hAnsi="Times New Roman" w:cs="Times New Roman"/>
          <w:noProof/>
          <w:sz w:val="24"/>
          <w:szCs w:val="24"/>
        </w:rPr>
        <w:t xml:space="preserve">at risk </w:t>
      </w:r>
      <w:r>
        <w:rPr>
          <w:rFonts w:ascii="Times New Roman" w:hAnsi="Times New Roman" w:cs="Times New Roman"/>
          <w:noProof/>
          <w:sz w:val="24"/>
          <w:szCs w:val="24"/>
        </w:rPr>
        <w:t xml:space="preserve">due to </w:t>
      </w:r>
      <w:r w:rsidRPr="007C4BD5">
        <w:rPr>
          <w:rFonts w:ascii="Times New Roman" w:hAnsi="Times New Roman" w:cs="Times New Roman"/>
          <w:noProof/>
          <w:sz w:val="24"/>
          <w:szCs w:val="24"/>
        </w:rPr>
        <w:t xml:space="preserve">retirements </w:t>
      </w:r>
      <w:r>
        <w:rPr>
          <w:rFonts w:ascii="Times New Roman" w:hAnsi="Times New Roman" w:cs="Times New Roman"/>
          <w:noProof/>
          <w:sz w:val="24"/>
          <w:szCs w:val="24"/>
        </w:rPr>
        <w:t>and</w:t>
      </w:r>
      <w:r w:rsidR="00AE1A22">
        <w:rPr>
          <w:rFonts w:ascii="Times New Roman" w:hAnsi="Times New Roman" w:cs="Times New Roman"/>
          <w:noProof/>
          <w:sz w:val="24"/>
          <w:szCs w:val="24"/>
        </w:rPr>
        <w:t xml:space="preserve"> a</w:t>
      </w:r>
      <w:r w:rsidRPr="007C4BD5">
        <w:rPr>
          <w:rFonts w:ascii="Times New Roman" w:hAnsi="Times New Roman" w:cs="Times New Roman"/>
          <w:noProof/>
          <w:sz w:val="24"/>
          <w:szCs w:val="24"/>
        </w:rPr>
        <w:t xml:space="preserve"> decline in the number of students</w:t>
      </w:r>
      <w:r w:rsidR="00AE1A22">
        <w:rPr>
          <w:rFonts w:ascii="Times New Roman" w:hAnsi="Times New Roman" w:cs="Times New Roman"/>
          <w:noProof/>
          <w:sz w:val="24"/>
          <w:szCs w:val="24"/>
        </w:rPr>
        <w:t xml:space="preserve"> studying relevant subjects</w:t>
      </w:r>
      <w:r>
        <w:rPr>
          <w:rFonts w:ascii="Times New Roman" w:hAnsi="Times New Roman" w:cs="Times New Roman"/>
          <w:noProof/>
          <w:sz w:val="24"/>
          <w:szCs w:val="24"/>
        </w:rPr>
        <w:t>.</w:t>
      </w:r>
    </w:p>
    <w:p w14:paraId="616CE584" w14:textId="77777777" w:rsidR="00383303" w:rsidRPr="007C4BD5" w:rsidRDefault="00383303" w:rsidP="00383303">
      <w:pPr>
        <w:pStyle w:val="ListParagraph"/>
        <w:spacing w:after="0" w:line="240" w:lineRule="auto"/>
        <w:ind w:left="360"/>
        <w:rPr>
          <w:rFonts w:eastAsiaTheme="minorHAnsi" w:cs="Times New Roman"/>
          <w:noProof/>
          <w:color w:val="000000" w:themeColor="text1"/>
          <w:szCs w:val="24"/>
          <w:lang w:eastAsia="en-US"/>
        </w:rPr>
      </w:pPr>
    </w:p>
    <w:p w14:paraId="29ADF124" w14:textId="77777777" w:rsidR="00383303" w:rsidRPr="00555E7B" w:rsidRDefault="00383303" w:rsidP="00383303">
      <w:pPr>
        <w:pStyle w:val="ListParagraph"/>
        <w:numPr>
          <w:ilvl w:val="0"/>
          <w:numId w:val="73"/>
        </w:numPr>
        <w:spacing w:after="0" w:line="240" w:lineRule="auto"/>
        <w:rPr>
          <w:rFonts w:cs="Times New Roman"/>
          <w:b/>
          <w:bCs/>
          <w:noProof/>
          <w:color w:val="000000" w:themeColor="text1"/>
          <w:szCs w:val="24"/>
        </w:rPr>
      </w:pPr>
      <w:r>
        <w:rPr>
          <w:b/>
          <w:bCs/>
          <w:noProof/>
        </w:rPr>
        <w:t>R</w:t>
      </w:r>
      <w:r w:rsidRPr="007C4BD5">
        <w:rPr>
          <w:b/>
          <w:bCs/>
          <w:noProof/>
        </w:rPr>
        <w:t>adiation protection and the development of medical applications of radiation</w:t>
      </w:r>
    </w:p>
    <w:p w14:paraId="1108B30B" w14:textId="0A8181DF" w:rsidR="00383303" w:rsidRDefault="00383303" w:rsidP="00383303">
      <w:pPr>
        <w:suppressAutoHyphens/>
        <w:spacing w:after="120"/>
        <w:jc w:val="both"/>
        <w:rPr>
          <w:rFonts w:ascii="Times New Roman" w:eastAsia="Times New Roman" w:hAnsi="Times New Roman" w:cs="Times New Roman"/>
          <w:b/>
          <w:bCs/>
          <w:noProof/>
          <w:color w:val="0E101A"/>
          <w:sz w:val="24"/>
          <w:szCs w:val="24"/>
          <w:u w:val="single"/>
          <w:lang w:val="en-IE" w:eastAsia="en-IE"/>
        </w:rPr>
      </w:pPr>
      <w:r>
        <w:rPr>
          <w:rFonts w:ascii="Times New Roman" w:hAnsi="Times New Roman" w:cs="Times New Roman"/>
          <w:noProof/>
          <w:color w:val="000000" w:themeColor="text1"/>
          <w:sz w:val="24"/>
          <w:szCs w:val="24"/>
        </w:rPr>
        <w:t xml:space="preserve">Through calls for proposals, the </w:t>
      </w:r>
      <w:r w:rsidR="004B67AB">
        <w:rPr>
          <w:rFonts w:ascii="Times New Roman" w:hAnsi="Times New Roman" w:cs="Times New Roman"/>
          <w:noProof/>
          <w:color w:val="000000" w:themeColor="text1"/>
          <w:sz w:val="24"/>
          <w:szCs w:val="24"/>
        </w:rPr>
        <w:t>P</w:t>
      </w:r>
      <w:r>
        <w:rPr>
          <w:rFonts w:ascii="Times New Roman" w:hAnsi="Times New Roman" w:cs="Times New Roman"/>
          <w:noProof/>
          <w:color w:val="000000" w:themeColor="text1"/>
          <w:sz w:val="24"/>
          <w:szCs w:val="24"/>
        </w:rPr>
        <w:t>rogramme funded actions which</w:t>
      </w:r>
      <w:r w:rsidR="00AE1A22">
        <w:rPr>
          <w:rFonts w:ascii="Times New Roman" w:hAnsi="Times New Roman" w:cs="Times New Roman"/>
          <w:noProof/>
          <w:color w:val="000000" w:themeColor="text1"/>
          <w:sz w:val="24"/>
          <w:szCs w:val="24"/>
        </w:rPr>
        <w:t>: (i)</w:t>
      </w:r>
      <w:r>
        <w:rPr>
          <w:rFonts w:ascii="Times New Roman" w:hAnsi="Times New Roman" w:cs="Times New Roman"/>
          <w:noProof/>
          <w:color w:val="000000" w:themeColor="text1"/>
          <w:sz w:val="24"/>
          <w:szCs w:val="24"/>
        </w:rPr>
        <w:t xml:space="preserve"> </w:t>
      </w:r>
      <w:r w:rsidR="00367E4F">
        <w:rPr>
          <w:rFonts w:ascii="Times New Roman" w:hAnsi="Times New Roman" w:cs="Times New Roman"/>
          <w:noProof/>
          <w:color w:val="000000" w:themeColor="text1"/>
          <w:sz w:val="24"/>
          <w:szCs w:val="24"/>
        </w:rPr>
        <w:t>enabled</w:t>
      </w:r>
      <w:r w:rsidRPr="007C4BD5">
        <w:rPr>
          <w:rFonts w:ascii="Times New Roman" w:hAnsi="Times New Roman" w:cs="Times New Roman"/>
          <w:noProof/>
          <w:color w:val="000000" w:themeColor="text1"/>
          <w:sz w:val="24"/>
          <w:szCs w:val="24"/>
        </w:rPr>
        <w:t xml:space="preserve"> </w:t>
      </w:r>
      <w:r w:rsidR="00AE1A22">
        <w:rPr>
          <w:rFonts w:ascii="Times New Roman" w:hAnsi="Times New Roman" w:cs="Times New Roman"/>
          <w:noProof/>
          <w:color w:val="000000" w:themeColor="text1"/>
          <w:sz w:val="24"/>
          <w:szCs w:val="24"/>
        </w:rPr>
        <w:t xml:space="preserve">a </w:t>
      </w:r>
      <w:r w:rsidRPr="007C4BD5">
        <w:rPr>
          <w:rFonts w:ascii="Times New Roman" w:hAnsi="Times New Roman" w:cs="Times New Roman"/>
          <w:noProof/>
          <w:color w:val="000000" w:themeColor="text1"/>
          <w:sz w:val="24"/>
          <w:szCs w:val="24"/>
        </w:rPr>
        <w:t xml:space="preserve">better understanding of </w:t>
      </w:r>
      <w:r w:rsidR="00AE1A22">
        <w:rPr>
          <w:rFonts w:ascii="Times New Roman" w:hAnsi="Times New Roman" w:cs="Times New Roman"/>
          <w:noProof/>
          <w:color w:val="000000" w:themeColor="text1"/>
          <w:sz w:val="24"/>
          <w:szCs w:val="24"/>
        </w:rPr>
        <w:t xml:space="preserve">the </w:t>
      </w:r>
      <w:r w:rsidRPr="007C4BD5">
        <w:rPr>
          <w:rFonts w:ascii="Times New Roman" w:hAnsi="Times New Roman" w:cs="Times New Roman"/>
          <w:noProof/>
          <w:color w:val="000000" w:themeColor="text1"/>
          <w:sz w:val="24"/>
          <w:szCs w:val="24"/>
        </w:rPr>
        <w:t>harmful effects of radiation from natural and artificial sources</w:t>
      </w:r>
      <w:r w:rsidR="00AE1A22">
        <w:rPr>
          <w:rFonts w:ascii="Times New Roman" w:hAnsi="Times New Roman" w:cs="Times New Roman"/>
          <w:noProof/>
          <w:color w:val="000000" w:themeColor="text1"/>
          <w:sz w:val="24"/>
          <w:szCs w:val="24"/>
        </w:rPr>
        <w:t xml:space="preserve">; and (ii) helped </w:t>
      </w:r>
      <w:r w:rsidR="00AE1A22" w:rsidRPr="007C4BD5">
        <w:rPr>
          <w:rFonts w:ascii="Times New Roman" w:hAnsi="Times New Roman" w:cs="Times New Roman"/>
          <w:noProof/>
          <w:color w:val="000000" w:themeColor="text1"/>
          <w:sz w:val="24"/>
          <w:szCs w:val="24"/>
        </w:rPr>
        <w:t>expand</w:t>
      </w:r>
      <w:r w:rsidR="00AE1A22">
        <w:rPr>
          <w:rFonts w:ascii="Times New Roman" w:hAnsi="Times New Roman" w:cs="Times New Roman"/>
          <w:noProof/>
          <w:color w:val="000000" w:themeColor="text1"/>
          <w:sz w:val="24"/>
          <w:szCs w:val="24"/>
        </w:rPr>
        <w:t xml:space="preserve"> the</w:t>
      </w:r>
      <w:r w:rsidR="00AE1A22" w:rsidRPr="007C4BD5">
        <w:rPr>
          <w:rFonts w:ascii="Times New Roman" w:hAnsi="Times New Roman" w:cs="Times New Roman"/>
          <w:noProof/>
          <w:color w:val="000000" w:themeColor="text1"/>
          <w:sz w:val="24"/>
          <w:szCs w:val="24"/>
        </w:rPr>
        <w:t xml:space="preserve"> </w:t>
      </w:r>
      <w:r w:rsidRPr="007C4BD5">
        <w:rPr>
          <w:rFonts w:ascii="Times New Roman" w:hAnsi="Times New Roman" w:cs="Times New Roman"/>
          <w:noProof/>
          <w:color w:val="000000" w:themeColor="text1"/>
          <w:sz w:val="24"/>
          <w:szCs w:val="24"/>
        </w:rPr>
        <w:t>beneficial applications of radiation technologies</w:t>
      </w:r>
      <w:r>
        <w:rPr>
          <w:rFonts w:ascii="Times New Roman" w:hAnsi="Times New Roman" w:cs="Times New Roman"/>
          <w:noProof/>
          <w:color w:val="000000" w:themeColor="text1"/>
          <w:sz w:val="24"/>
          <w:szCs w:val="24"/>
        </w:rPr>
        <w:t xml:space="preserve">, in particular in </w:t>
      </w:r>
      <w:r w:rsidR="004B67AB">
        <w:rPr>
          <w:rFonts w:ascii="Times New Roman" w:hAnsi="Times New Roman" w:cs="Times New Roman"/>
          <w:noProof/>
          <w:color w:val="000000" w:themeColor="text1"/>
          <w:sz w:val="24"/>
          <w:szCs w:val="24"/>
        </w:rPr>
        <w:t xml:space="preserve">the </w:t>
      </w:r>
      <w:r>
        <w:rPr>
          <w:rFonts w:ascii="Times New Roman" w:hAnsi="Times New Roman" w:cs="Times New Roman"/>
          <w:noProof/>
          <w:color w:val="000000" w:themeColor="text1"/>
          <w:sz w:val="24"/>
          <w:szCs w:val="24"/>
        </w:rPr>
        <w:t>medical field (imaging and radiotherapies)</w:t>
      </w:r>
      <w:r w:rsidRPr="007C4BD5">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 xml:space="preserve">Actions selected for funding </w:t>
      </w:r>
      <w:r w:rsidR="00AE1A22">
        <w:rPr>
          <w:rFonts w:ascii="Times New Roman" w:hAnsi="Times New Roman" w:cs="Times New Roman"/>
          <w:noProof/>
          <w:color w:val="000000" w:themeColor="text1"/>
          <w:sz w:val="24"/>
          <w:szCs w:val="24"/>
        </w:rPr>
        <w:t xml:space="preserve">in </w:t>
      </w:r>
      <w:r>
        <w:rPr>
          <w:rFonts w:ascii="Times New Roman" w:hAnsi="Times New Roman" w:cs="Times New Roman"/>
          <w:noProof/>
          <w:color w:val="000000" w:themeColor="text1"/>
          <w:sz w:val="24"/>
          <w:szCs w:val="24"/>
        </w:rPr>
        <w:t xml:space="preserve">2014-2020, </w:t>
      </w:r>
      <w:r w:rsidR="00AE1A22">
        <w:rPr>
          <w:rFonts w:ascii="Times New Roman" w:hAnsi="Times New Roman" w:cs="Times New Roman"/>
          <w:noProof/>
          <w:color w:val="000000" w:themeColor="text1"/>
          <w:sz w:val="24"/>
          <w:szCs w:val="24"/>
        </w:rPr>
        <w:t xml:space="preserve">included </w:t>
      </w:r>
      <w:r>
        <w:rPr>
          <w:rFonts w:ascii="Times New Roman" w:hAnsi="Times New Roman" w:cs="Times New Roman"/>
          <w:noProof/>
          <w:color w:val="000000" w:themeColor="text1"/>
          <w:sz w:val="24"/>
          <w:szCs w:val="24"/>
        </w:rPr>
        <w:t xml:space="preserve">in particular  </w:t>
      </w:r>
      <w:r w:rsidR="004B67AB">
        <w:rPr>
          <w:rFonts w:ascii="Times New Roman" w:hAnsi="Times New Roman" w:cs="Times New Roman"/>
          <w:noProof/>
          <w:color w:val="000000" w:themeColor="text1"/>
          <w:sz w:val="24"/>
          <w:szCs w:val="24"/>
        </w:rPr>
        <w:t xml:space="preserve">the </w:t>
      </w:r>
      <w:r>
        <w:rPr>
          <w:rFonts w:ascii="Times New Roman" w:hAnsi="Times New Roman" w:cs="Times New Roman"/>
          <w:noProof/>
          <w:color w:val="000000" w:themeColor="text1"/>
          <w:sz w:val="24"/>
          <w:szCs w:val="24"/>
        </w:rPr>
        <w:t xml:space="preserve">CONCERT European </w:t>
      </w:r>
      <w:r w:rsidR="00647D08">
        <w:rPr>
          <w:rFonts w:ascii="Times New Roman" w:hAnsi="Times New Roman" w:cs="Times New Roman"/>
          <w:noProof/>
          <w:color w:val="000000" w:themeColor="text1"/>
          <w:sz w:val="24"/>
          <w:szCs w:val="24"/>
        </w:rPr>
        <w:t>j</w:t>
      </w:r>
      <w:r>
        <w:rPr>
          <w:rFonts w:ascii="Times New Roman" w:hAnsi="Times New Roman" w:cs="Times New Roman"/>
          <w:noProof/>
          <w:color w:val="000000" w:themeColor="text1"/>
          <w:sz w:val="24"/>
          <w:szCs w:val="24"/>
        </w:rPr>
        <w:t xml:space="preserve">oint </w:t>
      </w:r>
      <w:r w:rsidR="00647D08">
        <w:rPr>
          <w:rFonts w:ascii="Times New Roman" w:hAnsi="Times New Roman" w:cs="Times New Roman"/>
          <w:noProof/>
          <w:color w:val="000000" w:themeColor="text1"/>
          <w:sz w:val="24"/>
          <w:szCs w:val="24"/>
        </w:rPr>
        <w:t>p</w:t>
      </w:r>
      <w:r>
        <w:rPr>
          <w:rFonts w:ascii="Times New Roman" w:hAnsi="Times New Roman" w:cs="Times New Roman"/>
          <w:noProof/>
          <w:color w:val="000000" w:themeColor="text1"/>
          <w:sz w:val="24"/>
          <w:szCs w:val="24"/>
        </w:rPr>
        <w:t>rogramme</w:t>
      </w:r>
      <w:r w:rsidR="00886523">
        <w:rPr>
          <w:rFonts w:ascii="Times New Roman" w:hAnsi="Times New Roman" w:cs="Times New Roman"/>
          <w:noProof/>
          <w:color w:val="000000" w:themeColor="text1"/>
          <w:sz w:val="24"/>
          <w:szCs w:val="24"/>
        </w:rPr>
        <w:t xml:space="preserve"> (EJP)</w:t>
      </w:r>
      <w:r w:rsidR="00886523" w:rsidRPr="001E3C9B">
        <w:rPr>
          <w:rStyle w:val="FootnoteReference"/>
          <w:rFonts w:ascii="Times New Roman" w:hAnsi="Times New Roman" w:cs="Times New Roman"/>
          <w:noProof/>
          <w:color w:val="000000" w:themeColor="text1"/>
          <w:sz w:val="24"/>
          <w:szCs w:val="24"/>
        </w:rPr>
        <w:footnoteReference w:id="5"/>
      </w:r>
      <w:r w:rsidR="00F66284">
        <w:rPr>
          <w:rFonts w:ascii="Times New Roman" w:hAnsi="Times New Roman" w:cs="Times New Roman"/>
          <w:noProof/>
          <w:color w:val="000000" w:themeColor="text1"/>
          <w:sz w:val="24"/>
          <w:szCs w:val="24"/>
        </w:rPr>
        <w:t>. This EJP</w:t>
      </w:r>
      <w:r w:rsidR="00AE1A22">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 xml:space="preserve">followed </w:t>
      </w:r>
      <w:r w:rsidR="004B67AB">
        <w:rPr>
          <w:rFonts w:ascii="Times New Roman" w:hAnsi="Times New Roman" w:cs="Times New Roman"/>
          <w:noProof/>
          <w:color w:val="000000" w:themeColor="text1"/>
          <w:sz w:val="24"/>
          <w:szCs w:val="24"/>
        </w:rPr>
        <w:t xml:space="preserve">a </w:t>
      </w:r>
      <w:r>
        <w:rPr>
          <w:rFonts w:ascii="Times New Roman" w:hAnsi="Times New Roman" w:cs="Times New Roman"/>
          <w:noProof/>
          <w:color w:val="000000" w:themeColor="text1"/>
          <w:sz w:val="24"/>
          <w:szCs w:val="24"/>
        </w:rPr>
        <w:t xml:space="preserve">new approach promoted by </w:t>
      </w:r>
      <w:r w:rsidRPr="007C4BD5">
        <w:rPr>
          <w:rFonts w:ascii="Times New Roman" w:hAnsi="Times New Roman" w:cs="Times New Roman"/>
          <w:noProof/>
          <w:color w:val="000000" w:themeColor="text1"/>
          <w:sz w:val="24"/>
          <w:szCs w:val="24"/>
        </w:rPr>
        <w:t>European platforms for</w:t>
      </w:r>
      <w:r w:rsidR="00AE1A22">
        <w:rPr>
          <w:rFonts w:ascii="Times New Roman" w:hAnsi="Times New Roman" w:cs="Times New Roman"/>
          <w:noProof/>
          <w:color w:val="000000" w:themeColor="text1"/>
          <w:sz w:val="24"/>
          <w:szCs w:val="24"/>
        </w:rPr>
        <w:t xml:space="preserve"> research in</w:t>
      </w:r>
      <w:r w:rsidRPr="007C4BD5">
        <w:rPr>
          <w:rFonts w:ascii="Times New Roman" w:hAnsi="Times New Roman" w:cs="Times New Roman"/>
          <w:noProof/>
          <w:color w:val="000000" w:themeColor="text1"/>
          <w:sz w:val="24"/>
          <w:szCs w:val="24"/>
        </w:rPr>
        <w:t xml:space="preserve"> radiation protection in the five key areas of</w:t>
      </w:r>
      <w:r w:rsidR="00AE1A22">
        <w:rPr>
          <w:rFonts w:ascii="Times New Roman" w:hAnsi="Times New Roman" w:cs="Times New Roman"/>
          <w:noProof/>
          <w:color w:val="000000" w:themeColor="text1"/>
          <w:sz w:val="24"/>
          <w:szCs w:val="24"/>
        </w:rPr>
        <w:t>:</w:t>
      </w:r>
      <w:r w:rsidRPr="007C4BD5">
        <w:rPr>
          <w:rFonts w:ascii="Times New Roman" w:hAnsi="Times New Roman" w:cs="Times New Roman"/>
          <w:noProof/>
          <w:color w:val="000000" w:themeColor="text1"/>
          <w:sz w:val="24"/>
          <w:szCs w:val="24"/>
        </w:rPr>
        <w:t xml:space="preserve"> low</w:t>
      </w:r>
      <w:r w:rsidR="00E86DB0">
        <w:rPr>
          <w:rFonts w:ascii="Times New Roman" w:hAnsi="Times New Roman" w:cs="Times New Roman"/>
          <w:noProof/>
          <w:color w:val="000000" w:themeColor="text1"/>
          <w:sz w:val="24"/>
          <w:szCs w:val="24"/>
        </w:rPr>
        <w:t>-</w:t>
      </w:r>
      <w:r w:rsidRPr="007C4BD5">
        <w:rPr>
          <w:rFonts w:ascii="Times New Roman" w:hAnsi="Times New Roman" w:cs="Times New Roman"/>
          <w:noProof/>
          <w:color w:val="000000" w:themeColor="text1"/>
          <w:sz w:val="24"/>
          <w:szCs w:val="24"/>
        </w:rPr>
        <w:t>dose risks</w:t>
      </w:r>
      <w:r w:rsidR="00AE1A22">
        <w:rPr>
          <w:rFonts w:ascii="Times New Roman" w:hAnsi="Times New Roman" w:cs="Times New Roman"/>
          <w:noProof/>
          <w:color w:val="000000" w:themeColor="text1"/>
          <w:sz w:val="24"/>
          <w:szCs w:val="24"/>
        </w:rPr>
        <w:t>;</w:t>
      </w:r>
      <w:r w:rsidRPr="007C4BD5">
        <w:rPr>
          <w:rFonts w:ascii="Times New Roman" w:hAnsi="Times New Roman" w:cs="Times New Roman"/>
          <w:noProof/>
          <w:color w:val="000000" w:themeColor="text1"/>
          <w:sz w:val="24"/>
          <w:szCs w:val="24"/>
        </w:rPr>
        <w:t xml:space="preserve"> dosimetry</w:t>
      </w:r>
      <w:r w:rsidR="00AE1A22">
        <w:rPr>
          <w:rFonts w:ascii="Times New Roman" w:hAnsi="Times New Roman" w:cs="Times New Roman"/>
          <w:noProof/>
          <w:color w:val="000000" w:themeColor="text1"/>
          <w:sz w:val="24"/>
          <w:szCs w:val="24"/>
        </w:rPr>
        <w:t>;</w:t>
      </w:r>
      <w:r w:rsidRPr="007C4BD5">
        <w:rPr>
          <w:rFonts w:ascii="Times New Roman" w:hAnsi="Times New Roman" w:cs="Times New Roman"/>
          <w:noProof/>
          <w:color w:val="000000" w:themeColor="text1"/>
          <w:sz w:val="24"/>
          <w:szCs w:val="24"/>
        </w:rPr>
        <w:t xml:space="preserve"> emergency and preparedness</w:t>
      </w:r>
      <w:r w:rsidR="00AE1A22">
        <w:rPr>
          <w:rFonts w:ascii="Times New Roman" w:hAnsi="Times New Roman" w:cs="Times New Roman"/>
          <w:noProof/>
          <w:color w:val="000000" w:themeColor="text1"/>
          <w:sz w:val="24"/>
          <w:szCs w:val="24"/>
        </w:rPr>
        <w:t>;</w:t>
      </w:r>
      <w:r w:rsidRPr="007C4BD5">
        <w:rPr>
          <w:rFonts w:ascii="Times New Roman" w:hAnsi="Times New Roman" w:cs="Times New Roman"/>
          <w:noProof/>
          <w:color w:val="000000" w:themeColor="text1"/>
          <w:sz w:val="24"/>
          <w:szCs w:val="24"/>
        </w:rPr>
        <w:t xml:space="preserve"> radioecology</w:t>
      </w:r>
      <w:r w:rsidR="00AE1A22">
        <w:rPr>
          <w:rFonts w:ascii="Times New Roman" w:hAnsi="Times New Roman" w:cs="Times New Roman"/>
          <w:noProof/>
          <w:color w:val="000000" w:themeColor="text1"/>
          <w:sz w:val="24"/>
          <w:szCs w:val="24"/>
        </w:rPr>
        <w:t>;</w:t>
      </w:r>
      <w:r w:rsidRPr="007C4BD5">
        <w:rPr>
          <w:rFonts w:ascii="Times New Roman" w:hAnsi="Times New Roman" w:cs="Times New Roman"/>
          <w:noProof/>
          <w:color w:val="000000" w:themeColor="text1"/>
          <w:sz w:val="24"/>
          <w:szCs w:val="24"/>
        </w:rPr>
        <w:t xml:space="preserve"> and medical applications.</w:t>
      </w:r>
      <w:r>
        <w:rPr>
          <w:rFonts w:ascii="Times New Roman" w:hAnsi="Times New Roman" w:cs="Times New Roman"/>
          <w:noProof/>
          <w:color w:val="000000" w:themeColor="text1"/>
          <w:sz w:val="24"/>
          <w:szCs w:val="24"/>
        </w:rPr>
        <w:t xml:space="preserve"> </w:t>
      </w:r>
      <w:r w:rsidRPr="007C4BD5">
        <w:rPr>
          <w:rFonts w:ascii="Times New Roman" w:hAnsi="Times New Roman" w:cs="Times New Roman"/>
          <w:noProof/>
          <w:color w:val="000000" w:themeColor="text1"/>
          <w:sz w:val="24"/>
          <w:szCs w:val="24"/>
        </w:rPr>
        <w:t>Further multidisciplinary research</w:t>
      </w:r>
      <w:r w:rsidR="00F66284">
        <w:rPr>
          <w:rFonts w:ascii="Times New Roman" w:hAnsi="Times New Roman" w:cs="Times New Roman"/>
          <w:noProof/>
          <w:color w:val="000000" w:themeColor="text1"/>
          <w:sz w:val="24"/>
          <w:szCs w:val="24"/>
        </w:rPr>
        <w:t xml:space="preserve"> that</w:t>
      </w:r>
      <w:r w:rsidRPr="007C4BD5">
        <w:rPr>
          <w:rFonts w:ascii="Times New Roman" w:hAnsi="Times New Roman" w:cs="Times New Roman"/>
          <w:noProof/>
          <w:color w:val="000000" w:themeColor="text1"/>
          <w:sz w:val="24"/>
          <w:szCs w:val="24"/>
        </w:rPr>
        <w:t xml:space="preserve"> integrat</w:t>
      </w:r>
      <w:r w:rsidR="00F66284">
        <w:rPr>
          <w:rFonts w:ascii="Times New Roman" w:hAnsi="Times New Roman" w:cs="Times New Roman"/>
          <w:noProof/>
          <w:color w:val="000000" w:themeColor="text1"/>
          <w:sz w:val="24"/>
          <w:szCs w:val="24"/>
        </w:rPr>
        <w:t>es</w:t>
      </w:r>
      <w:r w:rsidRPr="007C4BD5">
        <w:rPr>
          <w:rFonts w:ascii="Times New Roman" w:hAnsi="Times New Roman" w:cs="Times New Roman"/>
          <w:noProof/>
          <w:color w:val="000000" w:themeColor="text1"/>
          <w:sz w:val="24"/>
          <w:szCs w:val="24"/>
        </w:rPr>
        <w:t xml:space="preserve"> different scientific communities </w:t>
      </w:r>
      <w:r w:rsidR="00AE1A22">
        <w:rPr>
          <w:rFonts w:ascii="Times New Roman" w:hAnsi="Times New Roman" w:cs="Times New Roman"/>
          <w:noProof/>
          <w:color w:val="000000" w:themeColor="text1"/>
          <w:sz w:val="24"/>
          <w:szCs w:val="24"/>
        </w:rPr>
        <w:t>is</w:t>
      </w:r>
      <w:r w:rsidR="00AE1A22" w:rsidRPr="007C4BD5">
        <w:rPr>
          <w:rFonts w:ascii="Times New Roman" w:hAnsi="Times New Roman" w:cs="Times New Roman"/>
          <w:noProof/>
          <w:color w:val="000000" w:themeColor="text1"/>
          <w:sz w:val="24"/>
          <w:szCs w:val="24"/>
        </w:rPr>
        <w:t xml:space="preserve"> </w:t>
      </w:r>
      <w:r w:rsidRPr="007C4BD5">
        <w:rPr>
          <w:rFonts w:ascii="Times New Roman" w:hAnsi="Times New Roman" w:cs="Times New Roman"/>
          <w:noProof/>
          <w:color w:val="000000" w:themeColor="text1"/>
          <w:sz w:val="24"/>
          <w:szCs w:val="24"/>
        </w:rPr>
        <w:t xml:space="preserve">needed to determine the mechanisms involved </w:t>
      </w:r>
      <w:r w:rsidR="00AE1A22">
        <w:rPr>
          <w:rFonts w:ascii="Times New Roman" w:hAnsi="Times New Roman" w:cs="Times New Roman"/>
          <w:noProof/>
          <w:color w:val="000000" w:themeColor="text1"/>
          <w:sz w:val="24"/>
          <w:szCs w:val="24"/>
        </w:rPr>
        <w:t xml:space="preserve">in these risks </w:t>
      </w:r>
      <w:r w:rsidRPr="007C4BD5">
        <w:rPr>
          <w:rFonts w:ascii="Times New Roman" w:hAnsi="Times New Roman" w:cs="Times New Roman"/>
          <w:noProof/>
          <w:color w:val="000000" w:themeColor="text1"/>
          <w:sz w:val="24"/>
          <w:szCs w:val="24"/>
        </w:rPr>
        <w:t>and to quantify the risks of latent cancers and vascular diseases at these low doses</w:t>
      </w:r>
      <w:r>
        <w:rPr>
          <w:rFonts w:ascii="Times New Roman" w:hAnsi="Times New Roman" w:cs="Times New Roman"/>
          <w:noProof/>
          <w:color w:val="000000" w:themeColor="text1"/>
          <w:sz w:val="24"/>
          <w:szCs w:val="24"/>
        </w:rPr>
        <w:t>.</w:t>
      </w:r>
    </w:p>
    <w:p w14:paraId="15C972FB" w14:textId="255FF44C" w:rsidR="00383303" w:rsidRPr="007C4BD5" w:rsidRDefault="00383303" w:rsidP="00383303">
      <w:pPr>
        <w:pStyle w:val="ListParagraph"/>
        <w:numPr>
          <w:ilvl w:val="0"/>
          <w:numId w:val="73"/>
        </w:numPr>
        <w:spacing w:after="0" w:line="240" w:lineRule="auto"/>
        <w:rPr>
          <w:b/>
          <w:bCs/>
          <w:noProof/>
        </w:rPr>
      </w:pPr>
      <w:r w:rsidRPr="007C4BD5">
        <w:rPr>
          <w:b/>
          <w:bCs/>
          <w:noProof/>
        </w:rPr>
        <w:t>Fusion energy research</w:t>
      </w:r>
      <w:r>
        <w:rPr>
          <w:b/>
          <w:bCs/>
          <w:noProof/>
        </w:rPr>
        <w:t xml:space="preserve"> (demonstration of feasibility, power</w:t>
      </w:r>
      <w:r w:rsidR="00E86DB0">
        <w:rPr>
          <w:b/>
          <w:bCs/>
          <w:noProof/>
        </w:rPr>
        <w:t>-</w:t>
      </w:r>
      <w:r>
        <w:rPr>
          <w:b/>
          <w:bCs/>
          <w:noProof/>
        </w:rPr>
        <w:t>plant preparations)</w:t>
      </w:r>
    </w:p>
    <w:p w14:paraId="5E59E511" w14:textId="2147BE6D" w:rsidR="005474AB" w:rsidRDefault="00383303" w:rsidP="001B42ED">
      <w:pPr>
        <w:spacing w:after="120"/>
        <w:jc w:val="both"/>
        <w:rPr>
          <w:rFonts w:ascii="Times New Roman" w:hAnsi="Times New Roman" w:cs="Times New Roman"/>
          <w:b/>
          <w:bCs/>
          <w:i/>
          <w:iCs/>
          <w:noProof/>
          <w:color w:val="000000" w:themeColor="text1"/>
          <w:sz w:val="24"/>
          <w:szCs w:val="24"/>
        </w:rPr>
      </w:pPr>
      <w:r>
        <w:rPr>
          <w:rFonts w:ascii="Times New Roman" w:hAnsi="Times New Roman" w:cs="Times New Roman"/>
          <w:noProof/>
          <w:color w:val="000000" w:themeColor="text1"/>
          <w:sz w:val="24"/>
          <w:szCs w:val="24"/>
        </w:rPr>
        <w:t>T</w:t>
      </w:r>
      <w:r w:rsidRPr="00572FC7">
        <w:rPr>
          <w:rFonts w:ascii="Times New Roman" w:hAnsi="Times New Roman" w:cs="Times New Roman"/>
          <w:noProof/>
          <w:color w:val="000000" w:themeColor="text1"/>
          <w:sz w:val="24"/>
          <w:szCs w:val="24"/>
        </w:rPr>
        <w:t>he evaluation highlights the relevance of Euratom-funded actions for making progress toward</w:t>
      </w:r>
      <w:r w:rsidR="00630571">
        <w:rPr>
          <w:rFonts w:ascii="Times New Roman" w:hAnsi="Times New Roman" w:cs="Times New Roman"/>
          <w:noProof/>
          <w:color w:val="000000" w:themeColor="text1"/>
          <w:sz w:val="24"/>
          <w:szCs w:val="24"/>
        </w:rPr>
        <w:t>s</w:t>
      </w:r>
      <w:r w:rsidRPr="00572FC7">
        <w:rPr>
          <w:rFonts w:ascii="Times New Roman" w:hAnsi="Times New Roman" w:cs="Times New Roman"/>
          <w:noProof/>
          <w:color w:val="000000" w:themeColor="text1"/>
          <w:sz w:val="24"/>
          <w:szCs w:val="24"/>
        </w:rPr>
        <w:t xml:space="preserve"> two </w:t>
      </w:r>
      <w:r w:rsidR="00630571">
        <w:rPr>
          <w:rFonts w:ascii="Times New Roman" w:hAnsi="Times New Roman" w:cs="Times New Roman"/>
          <w:noProof/>
          <w:color w:val="000000" w:themeColor="text1"/>
          <w:sz w:val="24"/>
          <w:szCs w:val="24"/>
        </w:rPr>
        <w:t>of the Programme</w:t>
      </w:r>
      <w:r w:rsidR="00D5539E">
        <w:rPr>
          <w:rFonts w:ascii="Times New Roman" w:hAnsi="Times New Roman" w:cs="Times New Roman"/>
          <w:noProof/>
          <w:color w:val="000000" w:themeColor="text1"/>
          <w:sz w:val="24"/>
          <w:szCs w:val="24"/>
        </w:rPr>
        <w:t>’</w:t>
      </w:r>
      <w:r w:rsidR="00630571">
        <w:rPr>
          <w:rFonts w:ascii="Times New Roman" w:hAnsi="Times New Roman" w:cs="Times New Roman"/>
          <w:noProof/>
          <w:color w:val="000000" w:themeColor="text1"/>
          <w:sz w:val="24"/>
          <w:szCs w:val="24"/>
        </w:rPr>
        <w:t xml:space="preserve">s </w:t>
      </w:r>
      <w:r w:rsidRPr="00572FC7">
        <w:rPr>
          <w:rFonts w:ascii="Times New Roman" w:hAnsi="Times New Roman" w:cs="Times New Roman"/>
          <w:noProof/>
          <w:color w:val="000000" w:themeColor="text1"/>
          <w:sz w:val="24"/>
          <w:szCs w:val="24"/>
        </w:rPr>
        <w:t>specific objectives: demonstrating the feasibility of fusion as a power source and preparing for future fusion</w:t>
      </w:r>
      <w:r w:rsidR="003B3DE7">
        <w:rPr>
          <w:rFonts w:ascii="Times New Roman" w:hAnsi="Times New Roman" w:cs="Times New Roman"/>
          <w:noProof/>
          <w:color w:val="000000" w:themeColor="text1"/>
          <w:sz w:val="24"/>
          <w:szCs w:val="24"/>
        </w:rPr>
        <w:t>-</w:t>
      </w:r>
      <w:r w:rsidRPr="00572FC7">
        <w:rPr>
          <w:rFonts w:ascii="Times New Roman" w:hAnsi="Times New Roman" w:cs="Times New Roman"/>
          <w:noProof/>
          <w:color w:val="000000" w:themeColor="text1"/>
          <w:sz w:val="24"/>
          <w:szCs w:val="24"/>
        </w:rPr>
        <w:t xml:space="preserve">power plants. To achieve this progress (97% of milestones achieved in 2020), the organisation of Euratom-funded fusion research required a new approach, as mandated by the Council </w:t>
      </w:r>
      <w:r w:rsidR="00630571">
        <w:rPr>
          <w:rFonts w:ascii="Times New Roman" w:hAnsi="Times New Roman" w:cs="Times New Roman"/>
          <w:noProof/>
          <w:color w:val="000000" w:themeColor="text1"/>
          <w:sz w:val="24"/>
          <w:szCs w:val="24"/>
        </w:rPr>
        <w:t>R</w:t>
      </w:r>
      <w:r w:rsidRPr="00572FC7">
        <w:rPr>
          <w:rFonts w:ascii="Times New Roman" w:hAnsi="Times New Roman" w:cs="Times New Roman"/>
          <w:noProof/>
          <w:color w:val="000000" w:themeColor="text1"/>
          <w:sz w:val="24"/>
          <w:szCs w:val="24"/>
        </w:rPr>
        <w:t xml:space="preserve">egulation. In 2014, European fusion laboratories </w:t>
      </w:r>
      <w:r w:rsidR="003B3DE7">
        <w:rPr>
          <w:rFonts w:ascii="Times New Roman" w:hAnsi="Times New Roman" w:cs="Times New Roman"/>
          <w:noProof/>
          <w:color w:val="000000" w:themeColor="text1"/>
          <w:sz w:val="24"/>
          <w:szCs w:val="24"/>
        </w:rPr>
        <w:t>set up</w:t>
      </w:r>
      <w:r w:rsidR="003B3DE7" w:rsidRPr="00572FC7">
        <w:rPr>
          <w:rFonts w:ascii="Times New Roman" w:hAnsi="Times New Roman" w:cs="Times New Roman"/>
          <w:noProof/>
          <w:color w:val="000000" w:themeColor="text1"/>
          <w:sz w:val="24"/>
          <w:szCs w:val="24"/>
        </w:rPr>
        <w:t xml:space="preserve"> </w:t>
      </w:r>
      <w:r w:rsidRPr="00572FC7">
        <w:rPr>
          <w:rFonts w:ascii="Times New Roman" w:hAnsi="Times New Roman" w:cs="Times New Roman"/>
          <w:noProof/>
          <w:color w:val="000000" w:themeColor="text1"/>
          <w:sz w:val="24"/>
          <w:szCs w:val="24"/>
        </w:rPr>
        <w:t xml:space="preserve">a </w:t>
      </w:r>
      <w:r>
        <w:rPr>
          <w:rFonts w:ascii="Times New Roman" w:hAnsi="Times New Roman" w:cs="Times New Roman"/>
          <w:noProof/>
          <w:color w:val="000000" w:themeColor="text1"/>
          <w:sz w:val="24"/>
          <w:szCs w:val="24"/>
        </w:rPr>
        <w:t>new</w:t>
      </w:r>
      <w:r w:rsidRPr="00572FC7">
        <w:rPr>
          <w:rFonts w:ascii="Times New Roman" w:hAnsi="Times New Roman" w:cs="Times New Roman"/>
          <w:noProof/>
          <w:color w:val="000000" w:themeColor="text1"/>
          <w:sz w:val="24"/>
          <w:szCs w:val="24"/>
        </w:rPr>
        <w:t xml:space="preserve"> research organisation, </w:t>
      </w:r>
      <w:r w:rsidR="00630571">
        <w:rPr>
          <w:rFonts w:ascii="Times New Roman" w:hAnsi="Times New Roman" w:cs="Times New Roman"/>
          <w:noProof/>
          <w:color w:val="000000" w:themeColor="text1"/>
          <w:sz w:val="24"/>
          <w:szCs w:val="24"/>
        </w:rPr>
        <w:t>the</w:t>
      </w:r>
      <w:r w:rsidRPr="00572FC7">
        <w:rPr>
          <w:rFonts w:ascii="Times New Roman" w:hAnsi="Times New Roman" w:cs="Times New Roman"/>
          <w:noProof/>
          <w:color w:val="000000" w:themeColor="text1"/>
          <w:sz w:val="24"/>
          <w:szCs w:val="24"/>
        </w:rPr>
        <w:t xml:space="preserve"> EUROfusion consortium, </w:t>
      </w:r>
      <w:r w:rsidR="004951DE">
        <w:rPr>
          <w:rFonts w:ascii="Times New Roman" w:hAnsi="Times New Roman" w:cs="Times New Roman"/>
          <w:noProof/>
          <w:color w:val="000000" w:themeColor="text1"/>
          <w:sz w:val="24"/>
          <w:szCs w:val="24"/>
        </w:rPr>
        <w:t>which</w:t>
      </w:r>
      <w:r w:rsidR="004951DE" w:rsidRPr="00572FC7">
        <w:rPr>
          <w:rFonts w:ascii="Times New Roman" w:hAnsi="Times New Roman" w:cs="Times New Roman"/>
          <w:noProof/>
          <w:color w:val="000000" w:themeColor="text1"/>
          <w:sz w:val="24"/>
          <w:szCs w:val="24"/>
        </w:rPr>
        <w:t xml:space="preserve"> </w:t>
      </w:r>
      <w:r w:rsidRPr="00572FC7">
        <w:rPr>
          <w:rFonts w:ascii="Times New Roman" w:hAnsi="Times New Roman" w:cs="Times New Roman"/>
          <w:noProof/>
          <w:color w:val="000000" w:themeColor="text1"/>
          <w:sz w:val="24"/>
          <w:szCs w:val="24"/>
        </w:rPr>
        <w:t>implemented a</w:t>
      </w:r>
      <w:r w:rsidR="003B3DE7">
        <w:rPr>
          <w:rFonts w:ascii="Times New Roman" w:hAnsi="Times New Roman" w:cs="Times New Roman"/>
          <w:noProof/>
          <w:color w:val="000000" w:themeColor="text1"/>
          <w:sz w:val="24"/>
          <w:szCs w:val="24"/>
        </w:rPr>
        <w:t>n</w:t>
      </w:r>
      <w:r w:rsidRPr="00572FC7">
        <w:rPr>
          <w:rFonts w:ascii="Times New Roman" w:hAnsi="Times New Roman" w:cs="Times New Roman"/>
          <w:noProof/>
          <w:color w:val="000000" w:themeColor="text1"/>
          <w:sz w:val="24"/>
          <w:szCs w:val="24"/>
        </w:rPr>
        <w:t xml:space="preserve"> EJP centred around the fusion roadmap </w:t>
      </w:r>
      <w:r w:rsidR="003B3DE7">
        <w:rPr>
          <w:rFonts w:ascii="Times New Roman" w:hAnsi="Times New Roman" w:cs="Times New Roman"/>
          <w:noProof/>
          <w:color w:val="000000" w:themeColor="text1"/>
          <w:sz w:val="24"/>
          <w:szCs w:val="24"/>
        </w:rPr>
        <w:t xml:space="preserve">and </w:t>
      </w:r>
      <w:r w:rsidRPr="00572FC7">
        <w:rPr>
          <w:rFonts w:ascii="Times New Roman" w:hAnsi="Times New Roman" w:cs="Times New Roman"/>
          <w:noProof/>
          <w:color w:val="000000" w:themeColor="text1"/>
          <w:sz w:val="24"/>
          <w:szCs w:val="24"/>
        </w:rPr>
        <w:t xml:space="preserve">based on eight thematic </w:t>
      </w:r>
      <w:r w:rsidR="005831FB">
        <w:rPr>
          <w:rFonts w:ascii="Times New Roman" w:hAnsi="Times New Roman" w:cs="Times New Roman"/>
          <w:noProof/>
          <w:color w:val="000000" w:themeColor="text1"/>
          <w:sz w:val="24"/>
          <w:szCs w:val="24"/>
        </w:rPr>
        <w:t>‘</w:t>
      </w:r>
      <w:r w:rsidRPr="00572FC7">
        <w:rPr>
          <w:rFonts w:ascii="Times New Roman" w:hAnsi="Times New Roman" w:cs="Times New Roman"/>
          <w:noProof/>
          <w:color w:val="000000" w:themeColor="text1"/>
          <w:sz w:val="24"/>
          <w:szCs w:val="24"/>
        </w:rPr>
        <w:t>missions</w:t>
      </w:r>
      <w:r w:rsidR="005831FB">
        <w:rPr>
          <w:rFonts w:ascii="Times New Roman" w:hAnsi="Times New Roman" w:cs="Times New Roman"/>
          <w:noProof/>
          <w:color w:val="000000" w:themeColor="text1"/>
          <w:sz w:val="24"/>
          <w:szCs w:val="24"/>
        </w:rPr>
        <w:t>’</w:t>
      </w:r>
      <w:r w:rsidRPr="00572FC7">
        <w:rPr>
          <w:rFonts w:ascii="Times New Roman" w:hAnsi="Times New Roman" w:cs="Times New Roman"/>
          <w:noProof/>
          <w:color w:val="000000" w:themeColor="text1"/>
          <w:sz w:val="24"/>
          <w:szCs w:val="24"/>
        </w:rPr>
        <w:t xml:space="preserve">. The </w:t>
      </w:r>
      <w:r w:rsidR="003B3DE7">
        <w:rPr>
          <w:rFonts w:ascii="Times New Roman" w:hAnsi="Times New Roman" w:cs="Times New Roman"/>
          <w:noProof/>
          <w:color w:val="000000" w:themeColor="text1"/>
          <w:sz w:val="24"/>
          <w:szCs w:val="24"/>
        </w:rPr>
        <w:t xml:space="preserve">fusion </w:t>
      </w:r>
      <w:r w:rsidRPr="00572FC7">
        <w:rPr>
          <w:rFonts w:ascii="Times New Roman" w:hAnsi="Times New Roman" w:cs="Times New Roman"/>
          <w:noProof/>
          <w:color w:val="000000" w:themeColor="text1"/>
          <w:sz w:val="24"/>
          <w:szCs w:val="24"/>
        </w:rPr>
        <w:t>roadmap represented a comprehensive</w:t>
      </w:r>
      <w:r w:rsidR="004951DE">
        <w:rPr>
          <w:rFonts w:ascii="Times New Roman" w:hAnsi="Times New Roman" w:cs="Times New Roman"/>
          <w:noProof/>
          <w:color w:val="000000" w:themeColor="text1"/>
          <w:sz w:val="24"/>
          <w:szCs w:val="24"/>
        </w:rPr>
        <w:t>,</w:t>
      </w:r>
      <w:r w:rsidRPr="00572FC7">
        <w:rPr>
          <w:rFonts w:ascii="Times New Roman" w:hAnsi="Times New Roman" w:cs="Times New Roman"/>
          <w:noProof/>
          <w:color w:val="000000" w:themeColor="text1"/>
          <w:sz w:val="24"/>
          <w:szCs w:val="24"/>
        </w:rPr>
        <w:t xml:space="preserve"> detailed </w:t>
      </w:r>
      <w:r w:rsidR="004951DE">
        <w:rPr>
          <w:rFonts w:ascii="Times New Roman" w:hAnsi="Times New Roman" w:cs="Times New Roman"/>
          <w:noProof/>
          <w:color w:val="000000" w:themeColor="text1"/>
          <w:sz w:val="24"/>
          <w:szCs w:val="24"/>
        </w:rPr>
        <w:t xml:space="preserve">and </w:t>
      </w:r>
      <w:r w:rsidRPr="00572FC7">
        <w:rPr>
          <w:rFonts w:ascii="Times New Roman" w:hAnsi="Times New Roman" w:cs="Times New Roman"/>
          <w:noProof/>
          <w:color w:val="000000" w:themeColor="text1"/>
          <w:sz w:val="24"/>
          <w:szCs w:val="24"/>
        </w:rPr>
        <w:t>goal-oriented approach to developing magnetic</w:t>
      </w:r>
      <w:r w:rsidR="003B3DE7">
        <w:rPr>
          <w:rFonts w:ascii="Times New Roman" w:hAnsi="Times New Roman" w:cs="Times New Roman"/>
          <w:noProof/>
          <w:color w:val="000000" w:themeColor="text1"/>
          <w:sz w:val="24"/>
          <w:szCs w:val="24"/>
        </w:rPr>
        <w:t>-</w:t>
      </w:r>
      <w:r w:rsidRPr="00572FC7">
        <w:rPr>
          <w:rFonts w:ascii="Times New Roman" w:hAnsi="Times New Roman" w:cs="Times New Roman"/>
          <w:noProof/>
          <w:color w:val="000000" w:themeColor="text1"/>
          <w:sz w:val="24"/>
          <w:szCs w:val="24"/>
        </w:rPr>
        <w:t xml:space="preserve">confinement fusion as an energy source. Its implementation </w:t>
      </w:r>
      <w:r w:rsidR="004951DE">
        <w:rPr>
          <w:rFonts w:ascii="Times New Roman" w:hAnsi="Times New Roman" w:cs="Times New Roman"/>
          <w:noProof/>
          <w:color w:val="000000" w:themeColor="text1"/>
          <w:sz w:val="24"/>
          <w:szCs w:val="24"/>
        </w:rPr>
        <w:t>enabled</w:t>
      </w:r>
      <w:r w:rsidRPr="00572FC7">
        <w:rPr>
          <w:rFonts w:ascii="Times New Roman" w:hAnsi="Times New Roman" w:cs="Times New Roman"/>
          <w:noProof/>
          <w:color w:val="000000" w:themeColor="text1"/>
          <w:sz w:val="24"/>
          <w:szCs w:val="24"/>
        </w:rPr>
        <w:t xml:space="preserve"> considerable </w:t>
      </w:r>
      <w:r w:rsidR="003B3DE7">
        <w:rPr>
          <w:rFonts w:ascii="Times New Roman" w:hAnsi="Times New Roman" w:cs="Times New Roman"/>
          <w:noProof/>
          <w:color w:val="000000" w:themeColor="text1"/>
          <w:sz w:val="24"/>
          <w:szCs w:val="24"/>
        </w:rPr>
        <w:t>progress</w:t>
      </w:r>
      <w:r w:rsidR="003B3DE7" w:rsidRPr="00572FC7">
        <w:rPr>
          <w:rFonts w:ascii="Times New Roman" w:hAnsi="Times New Roman" w:cs="Times New Roman"/>
          <w:noProof/>
          <w:color w:val="000000" w:themeColor="text1"/>
          <w:sz w:val="24"/>
          <w:szCs w:val="24"/>
        </w:rPr>
        <w:t xml:space="preserve"> </w:t>
      </w:r>
      <w:r w:rsidRPr="00572FC7">
        <w:rPr>
          <w:rFonts w:ascii="Times New Roman" w:hAnsi="Times New Roman" w:cs="Times New Roman"/>
          <w:noProof/>
          <w:color w:val="000000" w:themeColor="text1"/>
          <w:sz w:val="24"/>
          <w:szCs w:val="24"/>
        </w:rPr>
        <w:t>towards establishing the scientific basis for constructing and exploiting ITER</w:t>
      </w:r>
      <w:r w:rsidR="00E663CA">
        <w:rPr>
          <w:rStyle w:val="FootnoteReference"/>
          <w:rFonts w:ascii="Times New Roman" w:hAnsi="Times New Roman" w:cs="Times New Roman"/>
          <w:noProof/>
          <w:color w:val="000000" w:themeColor="text1"/>
          <w:sz w:val="24"/>
          <w:szCs w:val="24"/>
        </w:rPr>
        <w:footnoteReference w:id="6"/>
      </w:r>
      <w:r w:rsidR="001408D3">
        <w:rPr>
          <w:rFonts w:ascii="Times New Roman" w:hAnsi="Times New Roman" w:cs="Times New Roman"/>
          <w:noProof/>
          <w:color w:val="000000" w:themeColor="text1"/>
          <w:sz w:val="24"/>
          <w:szCs w:val="24"/>
        </w:rPr>
        <w:t>, the international nuclear fusion research project,</w:t>
      </w:r>
      <w:r w:rsidRPr="00572FC7">
        <w:rPr>
          <w:rFonts w:ascii="Times New Roman" w:hAnsi="Times New Roman" w:cs="Times New Roman"/>
          <w:noProof/>
          <w:color w:val="000000" w:themeColor="text1"/>
          <w:sz w:val="24"/>
          <w:szCs w:val="24"/>
        </w:rPr>
        <w:t xml:space="preserve"> and advancing the technical basis </w:t>
      </w:r>
      <w:r w:rsidR="00630571">
        <w:rPr>
          <w:rFonts w:ascii="Times New Roman" w:hAnsi="Times New Roman" w:cs="Times New Roman"/>
          <w:noProof/>
          <w:color w:val="000000" w:themeColor="text1"/>
          <w:sz w:val="24"/>
          <w:szCs w:val="24"/>
        </w:rPr>
        <w:t>for</w:t>
      </w:r>
      <w:r w:rsidRPr="00572FC7">
        <w:rPr>
          <w:rFonts w:ascii="Times New Roman" w:hAnsi="Times New Roman" w:cs="Times New Roman"/>
          <w:noProof/>
          <w:color w:val="000000" w:themeColor="text1"/>
          <w:sz w:val="24"/>
          <w:szCs w:val="24"/>
        </w:rPr>
        <w:t xml:space="preserve"> a future fusion</w:t>
      </w:r>
      <w:r w:rsidR="003B3DE7">
        <w:rPr>
          <w:rFonts w:ascii="Times New Roman" w:hAnsi="Times New Roman" w:cs="Times New Roman"/>
          <w:noProof/>
          <w:color w:val="000000" w:themeColor="text1"/>
          <w:sz w:val="24"/>
          <w:szCs w:val="24"/>
        </w:rPr>
        <w:t>-</w:t>
      </w:r>
      <w:r w:rsidRPr="00572FC7">
        <w:rPr>
          <w:rFonts w:ascii="Times New Roman" w:hAnsi="Times New Roman" w:cs="Times New Roman"/>
          <w:noProof/>
          <w:color w:val="000000" w:themeColor="text1"/>
          <w:sz w:val="24"/>
          <w:szCs w:val="24"/>
        </w:rPr>
        <w:t xml:space="preserve">power plant. The new organisation </w:t>
      </w:r>
      <w:r w:rsidR="00630571" w:rsidRPr="00572FC7">
        <w:rPr>
          <w:rFonts w:ascii="Times New Roman" w:hAnsi="Times New Roman" w:cs="Times New Roman"/>
          <w:noProof/>
          <w:color w:val="000000" w:themeColor="text1"/>
          <w:sz w:val="24"/>
          <w:szCs w:val="24"/>
        </w:rPr>
        <w:t xml:space="preserve">allowed national laboratories </w:t>
      </w:r>
      <w:r w:rsidRPr="00572FC7">
        <w:rPr>
          <w:rFonts w:ascii="Times New Roman" w:hAnsi="Times New Roman" w:cs="Times New Roman"/>
          <w:noProof/>
          <w:color w:val="000000" w:themeColor="text1"/>
          <w:sz w:val="24"/>
          <w:szCs w:val="24"/>
        </w:rPr>
        <w:t>with substantial national co-funding (45%</w:t>
      </w:r>
      <w:r w:rsidR="00630571">
        <w:rPr>
          <w:rFonts w:ascii="Times New Roman" w:hAnsi="Times New Roman" w:cs="Times New Roman"/>
          <w:noProof/>
          <w:color w:val="000000" w:themeColor="text1"/>
          <w:sz w:val="24"/>
          <w:szCs w:val="24"/>
        </w:rPr>
        <w:t xml:space="preserve"> of the consortium’s budget</w:t>
      </w:r>
      <w:r w:rsidRPr="00572FC7">
        <w:rPr>
          <w:rFonts w:ascii="Times New Roman" w:hAnsi="Times New Roman" w:cs="Times New Roman"/>
          <w:noProof/>
          <w:color w:val="000000" w:themeColor="text1"/>
          <w:sz w:val="24"/>
          <w:szCs w:val="24"/>
        </w:rPr>
        <w:t xml:space="preserve">) to join forces in the exploitation of common research facilities by </w:t>
      </w:r>
      <w:r w:rsidR="00BA682E">
        <w:rPr>
          <w:rFonts w:ascii="Times New Roman" w:hAnsi="Times New Roman" w:cs="Times New Roman"/>
          <w:noProof/>
          <w:color w:val="000000" w:themeColor="text1"/>
          <w:sz w:val="24"/>
          <w:szCs w:val="24"/>
        </w:rPr>
        <w:t>5</w:t>
      </w:r>
      <w:r w:rsidR="008F2274">
        <w:rPr>
          <w:rFonts w:ascii="Times New Roman" w:hAnsi="Times New Roman" w:cs="Times New Roman"/>
          <w:noProof/>
          <w:color w:val="000000" w:themeColor="text1"/>
          <w:sz w:val="24"/>
          <w:szCs w:val="24"/>
        </w:rPr>
        <w:t xml:space="preserve"> </w:t>
      </w:r>
      <w:r w:rsidR="00BA682E">
        <w:rPr>
          <w:rFonts w:ascii="Times New Roman" w:hAnsi="Times New Roman" w:cs="Times New Roman"/>
          <w:noProof/>
          <w:color w:val="000000" w:themeColor="text1"/>
          <w:sz w:val="24"/>
          <w:szCs w:val="24"/>
        </w:rPr>
        <w:t>815</w:t>
      </w:r>
      <w:r w:rsidRPr="00572FC7">
        <w:rPr>
          <w:rFonts w:ascii="Times New Roman" w:hAnsi="Times New Roman" w:cs="Times New Roman"/>
          <w:noProof/>
          <w:color w:val="000000" w:themeColor="text1"/>
          <w:sz w:val="24"/>
          <w:szCs w:val="24"/>
        </w:rPr>
        <w:t xml:space="preserve"> researchers</w:t>
      </w:r>
      <w:r w:rsidR="00BA682E">
        <w:rPr>
          <w:rFonts w:ascii="Times New Roman" w:hAnsi="Times New Roman" w:cs="Times New Roman"/>
          <w:noProof/>
          <w:color w:val="000000" w:themeColor="text1"/>
          <w:sz w:val="24"/>
          <w:szCs w:val="24"/>
        </w:rPr>
        <w:t>, engineers</w:t>
      </w:r>
      <w:r w:rsidRPr="00572FC7">
        <w:rPr>
          <w:rFonts w:ascii="Times New Roman" w:hAnsi="Times New Roman" w:cs="Times New Roman"/>
          <w:noProof/>
          <w:color w:val="000000" w:themeColor="text1"/>
          <w:sz w:val="24"/>
          <w:szCs w:val="24"/>
        </w:rPr>
        <w:t xml:space="preserve"> and </w:t>
      </w:r>
      <w:r w:rsidR="00BA682E">
        <w:rPr>
          <w:rFonts w:ascii="Times New Roman" w:hAnsi="Times New Roman" w:cs="Times New Roman"/>
          <w:noProof/>
          <w:color w:val="000000" w:themeColor="text1"/>
          <w:sz w:val="24"/>
          <w:szCs w:val="24"/>
        </w:rPr>
        <w:t>support staff</w:t>
      </w:r>
      <w:r w:rsidRPr="00572FC7">
        <w:rPr>
          <w:rFonts w:ascii="Times New Roman" w:hAnsi="Times New Roman" w:cs="Times New Roman"/>
          <w:noProof/>
          <w:color w:val="000000" w:themeColor="text1"/>
          <w:sz w:val="24"/>
          <w:szCs w:val="24"/>
        </w:rPr>
        <w:t xml:space="preserve"> (734 active </w:t>
      </w:r>
      <w:r w:rsidR="00630571">
        <w:rPr>
          <w:rFonts w:ascii="Times New Roman" w:hAnsi="Times New Roman" w:cs="Times New Roman"/>
          <w:noProof/>
          <w:color w:val="000000" w:themeColor="text1"/>
          <w:sz w:val="24"/>
          <w:szCs w:val="24"/>
        </w:rPr>
        <w:t>doctoral</w:t>
      </w:r>
      <w:r w:rsidRPr="00572FC7">
        <w:rPr>
          <w:rFonts w:ascii="Times New Roman" w:hAnsi="Times New Roman" w:cs="Times New Roman"/>
          <w:noProof/>
          <w:color w:val="000000" w:themeColor="text1"/>
          <w:sz w:val="24"/>
          <w:szCs w:val="24"/>
        </w:rPr>
        <w:t xml:space="preserve"> students in 2020), leading to </w:t>
      </w:r>
      <w:r w:rsidR="007651DE">
        <w:rPr>
          <w:rFonts w:ascii="Times New Roman" w:hAnsi="Times New Roman" w:cs="Times New Roman"/>
          <w:noProof/>
          <w:color w:val="000000" w:themeColor="text1"/>
          <w:sz w:val="24"/>
          <w:szCs w:val="24"/>
        </w:rPr>
        <w:t xml:space="preserve">a wide variety of </w:t>
      </w:r>
      <w:r w:rsidRPr="00572FC7">
        <w:rPr>
          <w:rFonts w:ascii="Times New Roman" w:hAnsi="Times New Roman" w:cs="Times New Roman"/>
          <w:noProof/>
          <w:color w:val="000000" w:themeColor="text1"/>
          <w:sz w:val="24"/>
          <w:szCs w:val="24"/>
        </w:rPr>
        <w:t>discoveries and knowledge creation (</w:t>
      </w:r>
      <w:r w:rsidR="00630571">
        <w:rPr>
          <w:rFonts w:ascii="Times New Roman" w:hAnsi="Times New Roman" w:cs="Times New Roman"/>
          <w:noProof/>
          <w:color w:val="000000" w:themeColor="text1"/>
          <w:sz w:val="24"/>
          <w:szCs w:val="24"/>
        </w:rPr>
        <w:t xml:space="preserve">through </w:t>
      </w:r>
      <w:r w:rsidRPr="00572FC7">
        <w:rPr>
          <w:rFonts w:ascii="Times New Roman" w:hAnsi="Times New Roman" w:cs="Times New Roman"/>
          <w:noProof/>
          <w:color w:val="000000" w:themeColor="text1"/>
          <w:sz w:val="24"/>
          <w:szCs w:val="24"/>
        </w:rPr>
        <w:t>5</w:t>
      </w:r>
      <w:r w:rsidR="00630571">
        <w:rPr>
          <w:rFonts w:ascii="Times New Roman" w:hAnsi="Times New Roman" w:cs="Times New Roman"/>
          <w:noProof/>
          <w:color w:val="000000" w:themeColor="text1"/>
          <w:sz w:val="24"/>
          <w:szCs w:val="24"/>
        </w:rPr>
        <w:t> </w:t>
      </w:r>
      <w:r w:rsidRPr="00572FC7">
        <w:rPr>
          <w:rFonts w:ascii="Times New Roman" w:hAnsi="Times New Roman" w:cs="Times New Roman"/>
          <w:noProof/>
          <w:color w:val="000000" w:themeColor="text1"/>
          <w:sz w:val="24"/>
          <w:szCs w:val="24"/>
        </w:rPr>
        <w:t>350 peer-reviewed publications).</w:t>
      </w:r>
      <w:r>
        <w:rPr>
          <w:rFonts w:ascii="Times New Roman" w:hAnsi="Times New Roman" w:cs="Times New Roman"/>
          <w:noProof/>
          <w:color w:val="000000" w:themeColor="text1"/>
          <w:sz w:val="24"/>
          <w:szCs w:val="24"/>
        </w:rPr>
        <w:t xml:space="preserve"> </w:t>
      </w:r>
      <w:r w:rsidR="007651DE">
        <w:rPr>
          <w:rFonts w:ascii="Times New Roman" w:hAnsi="Times New Roman" w:cs="Times New Roman"/>
          <w:noProof/>
          <w:color w:val="000000" w:themeColor="text1"/>
          <w:sz w:val="24"/>
          <w:szCs w:val="24"/>
        </w:rPr>
        <w:t>The r</w:t>
      </w:r>
      <w:r>
        <w:rPr>
          <w:rFonts w:ascii="Times New Roman" w:hAnsi="Times New Roman" w:cs="Times New Roman"/>
          <w:noProof/>
          <w:color w:val="000000" w:themeColor="text1"/>
          <w:sz w:val="24"/>
          <w:szCs w:val="24"/>
        </w:rPr>
        <w:t xml:space="preserve">elevance of EUROfusion actions was confirmed by ITER and </w:t>
      </w:r>
      <w:r w:rsidR="00630571">
        <w:rPr>
          <w:rFonts w:ascii="Times New Roman" w:hAnsi="Times New Roman" w:cs="Times New Roman"/>
          <w:noProof/>
          <w:color w:val="000000" w:themeColor="text1"/>
          <w:sz w:val="24"/>
          <w:szCs w:val="24"/>
        </w:rPr>
        <w:t xml:space="preserve">the </w:t>
      </w:r>
      <w:r>
        <w:rPr>
          <w:rFonts w:ascii="Times New Roman" w:hAnsi="Times New Roman" w:cs="Times New Roman"/>
          <w:noProof/>
          <w:color w:val="000000" w:themeColor="text1"/>
          <w:sz w:val="24"/>
          <w:szCs w:val="24"/>
        </w:rPr>
        <w:t>Euratom Scientitic and Technical Committee.</w:t>
      </w:r>
    </w:p>
    <w:p w14:paraId="4EE4886D" w14:textId="4440A829" w:rsidR="00673F27" w:rsidRPr="007C4BD5" w:rsidRDefault="00673F27" w:rsidP="001B42ED">
      <w:pPr>
        <w:spacing w:after="120"/>
        <w:jc w:val="both"/>
        <w:rPr>
          <w:rFonts w:ascii="Times New Roman" w:hAnsi="Times New Roman" w:cs="Times New Roman"/>
          <w:b/>
          <w:bCs/>
          <w:i/>
          <w:iCs/>
          <w:noProof/>
          <w:color w:val="000000" w:themeColor="text1"/>
          <w:sz w:val="24"/>
          <w:szCs w:val="24"/>
        </w:rPr>
      </w:pPr>
      <w:r w:rsidRPr="007C4BD5">
        <w:rPr>
          <w:rFonts w:ascii="Times New Roman" w:hAnsi="Times New Roman" w:cs="Times New Roman"/>
          <w:b/>
          <w:bCs/>
          <w:i/>
          <w:iCs/>
          <w:noProof/>
          <w:color w:val="000000" w:themeColor="text1"/>
          <w:sz w:val="24"/>
          <w:szCs w:val="24"/>
        </w:rPr>
        <w:t>Direct actions</w:t>
      </w:r>
      <w:r w:rsidR="009E1ADD">
        <w:rPr>
          <w:rFonts w:ascii="Times New Roman" w:hAnsi="Times New Roman" w:cs="Times New Roman"/>
          <w:b/>
          <w:bCs/>
          <w:i/>
          <w:iCs/>
          <w:noProof/>
          <w:color w:val="000000" w:themeColor="text1"/>
          <w:sz w:val="24"/>
          <w:szCs w:val="24"/>
        </w:rPr>
        <w:t xml:space="preserve"> by </w:t>
      </w:r>
      <w:r w:rsidR="007651DE">
        <w:rPr>
          <w:rFonts w:ascii="Times New Roman" w:hAnsi="Times New Roman" w:cs="Times New Roman"/>
          <w:b/>
          <w:bCs/>
          <w:i/>
          <w:iCs/>
          <w:noProof/>
          <w:color w:val="000000" w:themeColor="text1"/>
          <w:sz w:val="24"/>
          <w:szCs w:val="24"/>
        </w:rPr>
        <w:t xml:space="preserve">the </w:t>
      </w:r>
      <w:r w:rsidR="009E1ADD">
        <w:rPr>
          <w:rFonts w:ascii="Times New Roman" w:hAnsi="Times New Roman" w:cs="Times New Roman"/>
          <w:b/>
          <w:bCs/>
          <w:i/>
          <w:iCs/>
          <w:noProof/>
          <w:color w:val="000000" w:themeColor="text1"/>
          <w:sz w:val="24"/>
          <w:szCs w:val="24"/>
        </w:rPr>
        <w:t>JRC</w:t>
      </w:r>
    </w:p>
    <w:p w14:paraId="7FD502EF" w14:textId="2CEDF119" w:rsidR="003C39AB" w:rsidRDefault="00D86CC5" w:rsidP="001B42ED">
      <w:pPr>
        <w:spacing w:after="120"/>
        <w:jc w:val="both"/>
        <w:rPr>
          <w:rFonts w:ascii="Times New Roman" w:hAnsi="Times New Roman" w:cs="Times New Roman"/>
          <w:noProof/>
          <w:color w:val="000000" w:themeColor="text1"/>
          <w:sz w:val="24"/>
          <w:szCs w:val="24"/>
        </w:rPr>
      </w:pPr>
      <w:r w:rsidRPr="00961123">
        <w:rPr>
          <w:rFonts w:ascii="Times New Roman" w:hAnsi="Times New Roman" w:cs="Times New Roman"/>
          <w:noProof/>
          <w:color w:val="000000" w:themeColor="text1"/>
          <w:sz w:val="24"/>
          <w:szCs w:val="24"/>
        </w:rPr>
        <w:t xml:space="preserve">The </w:t>
      </w:r>
      <w:r w:rsidRPr="00C7423D">
        <w:rPr>
          <w:rFonts w:ascii="Times New Roman" w:hAnsi="Times New Roman" w:cs="Times New Roman"/>
          <w:i/>
          <w:noProof/>
          <w:color w:val="000000" w:themeColor="text1"/>
          <w:sz w:val="24"/>
          <w:szCs w:val="24"/>
        </w:rPr>
        <w:t>ex</w:t>
      </w:r>
      <w:r w:rsidR="001C76E1" w:rsidRPr="00C7423D">
        <w:rPr>
          <w:rFonts w:ascii="Times New Roman" w:hAnsi="Times New Roman" w:cs="Times New Roman"/>
          <w:i/>
          <w:noProof/>
          <w:color w:val="000000" w:themeColor="text1"/>
          <w:sz w:val="24"/>
          <w:szCs w:val="24"/>
        </w:rPr>
        <w:t xml:space="preserve"> </w:t>
      </w:r>
      <w:r w:rsidRPr="00C7423D">
        <w:rPr>
          <w:rFonts w:ascii="Times New Roman" w:hAnsi="Times New Roman" w:cs="Times New Roman"/>
          <w:i/>
          <w:noProof/>
          <w:color w:val="000000" w:themeColor="text1"/>
          <w:sz w:val="24"/>
          <w:szCs w:val="24"/>
        </w:rPr>
        <w:t>post</w:t>
      </w:r>
      <w:r w:rsidRPr="00961123">
        <w:rPr>
          <w:rFonts w:ascii="Times New Roman" w:hAnsi="Times New Roman" w:cs="Times New Roman"/>
          <w:noProof/>
          <w:color w:val="000000" w:themeColor="text1"/>
          <w:sz w:val="24"/>
          <w:szCs w:val="24"/>
        </w:rPr>
        <w:t xml:space="preserve"> evaluation </w:t>
      </w:r>
      <w:r>
        <w:rPr>
          <w:rFonts w:ascii="Times New Roman" w:hAnsi="Times New Roman" w:cs="Times New Roman"/>
          <w:noProof/>
          <w:color w:val="000000" w:themeColor="text1"/>
          <w:sz w:val="24"/>
          <w:szCs w:val="24"/>
        </w:rPr>
        <w:t>has demonstrated</w:t>
      </w:r>
      <w:r w:rsidRPr="00961123">
        <w:rPr>
          <w:rFonts w:ascii="Times New Roman" w:hAnsi="Times New Roman" w:cs="Times New Roman"/>
          <w:noProof/>
          <w:color w:val="000000" w:themeColor="text1"/>
          <w:sz w:val="24"/>
          <w:szCs w:val="24"/>
        </w:rPr>
        <w:t xml:space="preserve"> the</w:t>
      </w:r>
      <w:r>
        <w:rPr>
          <w:rFonts w:ascii="Times New Roman" w:hAnsi="Times New Roman" w:cs="Times New Roman"/>
          <w:noProof/>
          <w:color w:val="000000" w:themeColor="text1"/>
          <w:sz w:val="24"/>
          <w:szCs w:val="24"/>
        </w:rPr>
        <w:t xml:space="preserve"> relevance of</w:t>
      </w:r>
      <w:r w:rsidRPr="00961123">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 xml:space="preserve">the </w:t>
      </w:r>
      <w:r w:rsidR="00D7457E">
        <w:rPr>
          <w:rFonts w:ascii="Times New Roman" w:hAnsi="Times New Roman" w:cs="Times New Roman"/>
          <w:noProof/>
          <w:color w:val="000000" w:themeColor="text1"/>
          <w:sz w:val="24"/>
          <w:szCs w:val="24"/>
        </w:rPr>
        <w:t>d</w:t>
      </w:r>
      <w:r>
        <w:rPr>
          <w:rFonts w:ascii="Times New Roman" w:hAnsi="Times New Roman" w:cs="Times New Roman"/>
          <w:noProof/>
          <w:color w:val="000000" w:themeColor="text1"/>
          <w:sz w:val="24"/>
          <w:szCs w:val="24"/>
        </w:rPr>
        <w:t xml:space="preserve">irect </w:t>
      </w:r>
      <w:r w:rsidR="00D7457E">
        <w:rPr>
          <w:rFonts w:ascii="Times New Roman" w:hAnsi="Times New Roman" w:cs="Times New Roman"/>
          <w:noProof/>
          <w:color w:val="000000" w:themeColor="text1"/>
          <w:sz w:val="24"/>
          <w:szCs w:val="24"/>
        </w:rPr>
        <w:t>a</w:t>
      </w:r>
      <w:r>
        <w:rPr>
          <w:rFonts w:ascii="Times New Roman" w:hAnsi="Times New Roman" w:cs="Times New Roman"/>
          <w:noProof/>
          <w:color w:val="000000" w:themeColor="text1"/>
          <w:sz w:val="24"/>
          <w:szCs w:val="24"/>
        </w:rPr>
        <w:t xml:space="preserve">ctions against the specific objectives </w:t>
      </w:r>
      <w:r w:rsidR="001324BD">
        <w:rPr>
          <w:rFonts w:ascii="Times New Roman" w:hAnsi="Times New Roman" w:cs="Times New Roman"/>
          <w:noProof/>
          <w:color w:val="000000" w:themeColor="text1"/>
          <w:sz w:val="24"/>
          <w:szCs w:val="24"/>
        </w:rPr>
        <w:t>by the Programme, namely</w:t>
      </w:r>
      <w:r w:rsidR="004B5099">
        <w:rPr>
          <w:rFonts w:ascii="Times New Roman" w:hAnsi="Times New Roman" w:cs="Times New Roman"/>
          <w:noProof/>
          <w:color w:val="000000" w:themeColor="text1"/>
          <w:sz w:val="24"/>
          <w:szCs w:val="24"/>
        </w:rPr>
        <w:t>: (i)</w:t>
      </w:r>
      <w:r>
        <w:rPr>
          <w:rFonts w:ascii="Times New Roman" w:hAnsi="Times New Roman" w:cs="Times New Roman"/>
          <w:noProof/>
          <w:color w:val="000000" w:themeColor="text1"/>
          <w:sz w:val="24"/>
          <w:szCs w:val="24"/>
        </w:rPr>
        <w:t xml:space="preserve"> improving nuclear safety and nuclear security</w:t>
      </w:r>
      <w:r w:rsidR="004B5099">
        <w:rPr>
          <w:rFonts w:ascii="Times New Roman" w:hAnsi="Times New Roman" w:cs="Times New Roman"/>
          <w:noProof/>
          <w:color w:val="000000" w:themeColor="text1"/>
          <w:sz w:val="24"/>
          <w:szCs w:val="24"/>
        </w:rPr>
        <w:t>; (ii)</w:t>
      </w:r>
      <w:r>
        <w:rPr>
          <w:rFonts w:ascii="Times New Roman" w:hAnsi="Times New Roman" w:cs="Times New Roman"/>
          <w:noProof/>
          <w:color w:val="000000" w:themeColor="text1"/>
          <w:sz w:val="24"/>
          <w:szCs w:val="24"/>
        </w:rPr>
        <w:t xml:space="preserve"> increasing excellence in the nuclear science base for standardisation</w:t>
      </w:r>
      <w:r w:rsidR="004B5099">
        <w:rPr>
          <w:rFonts w:ascii="Times New Roman" w:hAnsi="Times New Roman" w:cs="Times New Roman"/>
          <w:noProof/>
          <w:color w:val="000000" w:themeColor="text1"/>
          <w:sz w:val="24"/>
          <w:szCs w:val="24"/>
        </w:rPr>
        <w:t>; (iii)</w:t>
      </w:r>
      <w:r>
        <w:rPr>
          <w:rFonts w:ascii="Times New Roman" w:hAnsi="Times New Roman" w:cs="Times New Roman"/>
          <w:noProof/>
          <w:color w:val="000000" w:themeColor="text1"/>
          <w:sz w:val="24"/>
          <w:szCs w:val="24"/>
        </w:rPr>
        <w:t xml:space="preserve"> fostering knowledge management, education and training</w:t>
      </w:r>
      <w:r w:rsidR="004B5099">
        <w:rPr>
          <w:rFonts w:ascii="Times New Roman" w:hAnsi="Times New Roman" w:cs="Times New Roman"/>
          <w:noProof/>
          <w:color w:val="000000" w:themeColor="text1"/>
          <w:sz w:val="24"/>
          <w:szCs w:val="24"/>
        </w:rPr>
        <w:t>; and (iv)</w:t>
      </w:r>
      <w:r>
        <w:rPr>
          <w:rFonts w:ascii="Times New Roman" w:hAnsi="Times New Roman" w:cs="Times New Roman"/>
          <w:noProof/>
          <w:color w:val="000000" w:themeColor="text1"/>
          <w:sz w:val="24"/>
          <w:szCs w:val="24"/>
        </w:rPr>
        <w:t xml:space="preserve"> supporting nuclear</w:t>
      </w:r>
      <w:r w:rsidR="004B5099">
        <w:rPr>
          <w:rFonts w:ascii="Times New Roman" w:hAnsi="Times New Roman" w:cs="Times New Roman"/>
          <w:noProof/>
          <w:color w:val="000000" w:themeColor="text1"/>
          <w:sz w:val="24"/>
          <w:szCs w:val="24"/>
        </w:rPr>
        <w:t>-</w:t>
      </w:r>
      <w:r>
        <w:rPr>
          <w:rFonts w:ascii="Times New Roman" w:hAnsi="Times New Roman" w:cs="Times New Roman"/>
          <w:noProof/>
          <w:color w:val="000000" w:themeColor="text1"/>
          <w:sz w:val="24"/>
          <w:szCs w:val="24"/>
        </w:rPr>
        <w:t>related policies</w:t>
      </w:r>
      <w:r w:rsidRPr="001324BD">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 xml:space="preserve">By meeting these objectives, the JRC’s nuclear research </w:t>
      </w:r>
      <w:r w:rsidR="001324BD">
        <w:rPr>
          <w:rFonts w:ascii="Times New Roman" w:hAnsi="Times New Roman" w:cs="Times New Roman"/>
          <w:noProof/>
          <w:color w:val="000000" w:themeColor="text1"/>
          <w:sz w:val="24"/>
          <w:szCs w:val="24"/>
        </w:rPr>
        <w:t xml:space="preserve">has </w:t>
      </w:r>
      <w:r w:rsidR="004B5099">
        <w:rPr>
          <w:rFonts w:ascii="Times New Roman" w:hAnsi="Times New Roman" w:cs="Times New Roman"/>
          <w:noProof/>
          <w:color w:val="000000" w:themeColor="text1"/>
          <w:sz w:val="24"/>
          <w:szCs w:val="24"/>
        </w:rPr>
        <w:t>helped</w:t>
      </w:r>
      <w:r w:rsidR="004B5099" w:rsidRPr="001E3C9B">
        <w:rPr>
          <w:rFonts w:ascii="Times New Roman" w:hAnsi="Times New Roman" w:cs="Times New Roman"/>
          <w:noProof/>
          <w:color w:val="000000" w:themeColor="text1"/>
          <w:sz w:val="24"/>
          <w:szCs w:val="24"/>
        </w:rPr>
        <w:t xml:space="preserve"> </w:t>
      </w:r>
      <w:r w:rsidR="001324BD" w:rsidRPr="001E3C9B">
        <w:rPr>
          <w:rFonts w:ascii="Times New Roman" w:hAnsi="Times New Roman" w:cs="Times New Roman"/>
          <w:noProof/>
          <w:color w:val="000000" w:themeColor="text1"/>
          <w:sz w:val="24"/>
          <w:szCs w:val="24"/>
        </w:rPr>
        <w:t xml:space="preserve">to </w:t>
      </w:r>
      <w:r w:rsidR="004B5099">
        <w:rPr>
          <w:rFonts w:ascii="Times New Roman" w:hAnsi="Times New Roman" w:cs="Times New Roman"/>
          <w:noProof/>
          <w:color w:val="000000" w:themeColor="text1"/>
          <w:sz w:val="24"/>
          <w:szCs w:val="24"/>
        </w:rPr>
        <w:t>address</w:t>
      </w:r>
      <w:r w:rsidR="001324BD" w:rsidRPr="001E3C9B">
        <w:rPr>
          <w:rFonts w:ascii="Times New Roman" w:hAnsi="Times New Roman" w:cs="Times New Roman"/>
          <w:noProof/>
          <w:color w:val="000000" w:themeColor="text1"/>
          <w:sz w:val="24"/>
          <w:szCs w:val="24"/>
        </w:rPr>
        <w:t xml:space="preserve"> existing needs and challenges in the nuclear field, therefore displaying </w:t>
      </w:r>
      <w:r w:rsidR="009F4F84" w:rsidRPr="001324BD">
        <w:rPr>
          <w:rFonts w:ascii="Times New Roman" w:hAnsi="Times New Roman" w:cs="Times New Roman"/>
          <w:noProof/>
          <w:color w:val="000000" w:themeColor="text1"/>
          <w:sz w:val="24"/>
          <w:szCs w:val="24"/>
        </w:rPr>
        <w:t>continu</w:t>
      </w:r>
      <w:r w:rsidR="004B5099">
        <w:rPr>
          <w:rFonts w:ascii="Times New Roman" w:hAnsi="Times New Roman" w:cs="Times New Roman"/>
          <w:noProof/>
          <w:color w:val="000000" w:themeColor="text1"/>
          <w:sz w:val="24"/>
          <w:szCs w:val="24"/>
        </w:rPr>
        <w:t>ed</w:t>
      </w:r>
      <w:r w:rsidR="009F4F84" w:rsidRPr="001324BD">
        <w:rPr>
          <w:rFonts w:ascii="Times New Roman" w:hAnsi="Times New Roman" w:cs="Times New Roman"/>
          <w:noProof/>
          <w:color w:val="000000" w:themeColor="text1"/>
          <w:sz w:val="24"/>
          <w:szCs w:val="24"/>
        </w:rPr>
        <w:t xml:space="preserve"> relevance</w:t>
      </w:r>
      <w:r w:rsidR="001324BD" w:rsidRPr="001E3C9B">
        <w:rPr>
          <w:rFonts w:ascii="Times New Roman" w:hAnsi="Times New Roman" w:cs="Times New Roman"/>
          <w:noProof/>
          <w:color w:val="000000" w:themeColor="text1"/>
          <w:sz w:val="24"/>
          <w:szCs w:val="24"/>
        </w:rPr>
        <w:t>.</w:t>
      </w:r>
      <w:r w:rsidR="00FE2E83">
        <w:rPr>
          <w:rFonts w:ascii="Times New Roman" w:hAnsi="Times New Roman" w:cs="Times New Roman"/>
          <w:noProof/>
          <w:color w:val="000000" w:themeColor="text1"/>
          <w:sz w:val="24"/>
          <w:szCs w:val="24"/>
        </w:rPr>
        <w:t xml:space="preserve"> </w:t>
      </w:r>
      <w:r w:rsidR="00453224">
        <w:rPr>
          <w:rFonts w:ascii="Times New Roman" w:hAnsi="Times New Roman" w:cs="Times New Roman"/>
          <w:noProof/>
          <w:color w:val="000000" w:themeColor="text1"/>
          <w:sz w:val="24"/>
          <w:szCs w:val="24"/>
        </w:rPr>
        <w:t>Th</w:t>
      </w:r>
      <w:r w:rsidR="00DC05A1">
        <w:rPr>
          <w:rFonts w:ascii="Times New Roman" w:hAnsi="Times New Roman" w:cs="Times New Roman"/>
          <w:noProof/>
          <w:color w:val="000000" w:themeColor="text1"/>
          <w:sz w:val="24"/>
          <w:szCs w:val="24"/>
        </w:rPr>
        <w:t>e relevance</w:t>
      </w:r>
      <w:r w:rsidR="002907B0">
        <w:rPr>
          <w:rFonts w:ascii="Times New Roman" w:hAnsi="Times New Roman" w:cs="Times New Roman"/>
          <w:noProof/>
          <w:color w:val="000000" w:themeColor="text1"/>
          <w:sz w:val="24"/>
          <w:szCs w:val="24"/>
        </w:rPr>
        <w:t xml:space="preserve"> </w:t>
      </w:r>
      <w:r w:rsidR="00453224">
        <w:rPr>
          <w:rFonts w:ascii="Times New Roman" w:hAnsi="Times New Roman" w:cs="Times New Roman"/>
          <w:noProof/>
          <w:color w:val="000000" w:themeColor="text1"/>
          <w:sz w:val="24"/>
          <w:szCs w:val="24"/>
        </w:rPr>
        <w:t>was</w:t>
      </w:r>
      <w:r w:rsidR="002907B0">
        <w:rPr>
          <w:rFonts w:ascii="Times New Roman" w:hAnsi="Times New Roman" w:cs="Times New Roman"/>
          <w:noProof/>
          <w:color w:val="000000" w:themeColor="text1"/>
          <w:sz w:val="24"/>
          <w:szCs w:val="24"/>
        </w:rPr>
        <w:t xml:space="preserve"> </w:t>
      </w:r>
      <w:r w:rsidR="00DC05A1">
        <w:rPr>
          <w:rFonts w:ascii="Times New Roman" w:hAnsi="Times New Roman" w:cs="Times New Roman"/>
          <w:noProof/>
          <w:color w:val="000000" w:themeColor="text1"/>
          <w:sz w:val="24"/>
          <w:szCs w:val="24"/>
        </w:rPr>
        <w:t>continuously</w:t>
      </w:r>
      <w:r w:rsidR="00875859">
        <w:rPr>
          <w:rFonts w:ascii="Times New Roman" w:hAnsi="Times New Roman" w:cs="Times New Roman"/>
          <w:noProof/>
          <w:color w:val="000000" w:themeColor="text1"/>
          <w:sz w:val="24"/>
          <w:szCs w:val="24"/>
        </w:rPr>
        <w:t>: (i)</w:t>
      </w:r>
      <w:r w:rsidR="00453224">
        <w:rPr>
          <w:rFonts w:ascii="Times New Roman" w:hAnsi="Times New Roman" w:cs="Times New Roman"/>
          <w:noProof/>
          <w:color w:val="000000" w:themeColor="text1"/>
          <w:sz w:val="24"/>
          <w:szCs w:val="24"/>
        </w:rPr>
        <w:t xml:space="preserve"> ensured through necessary changes to the JRC</w:t>
      </w:r>
      <w:r w:rsidR="004B5099">
        <w:rPr>
          <w:rFonts w:ascii="Times New Roman" w:hAnsi="Times New Roman" w:cs="Times New Roman"/>
          <w:noProof/>
          <w:color w:val="000000" w:themeColor="text1"/>
          <w:sz w:val="24"/>
          <w:szCs w:val="24"/>
        </w:rPr>
        <w:t>’s</w:t>
      </w:r>
      <w:r w:rsidR="00453224">
        <w:rPr>
          <w:rFonts w:ascii="Times New Roman" w:hAnsi="Times New Roman" w:cs="Times New Roman"/>
          <w:noProof/>
          <w:color w:val="000000" w:themeColor="text1"/>
          <w:sz w:val="24"/>
          <w:szCs w:val="24"/>
        </w:rPr>
        <w:t xml:space="preserve"> bi-annual work programme, </w:t>
      </w:r>
      <w:r w:rsidR="00875859">
        <w:rPr>
          <w:rFonts w:ascii="Times New Roman" w:hAnsi="Times New Roman" w:cs="Times New Roman"/>
          <w:noProof/>
          <w:color w:val="000000" w:themeColor="text1"/>
          <w:sz w:val="24"/>
          <w:szCs w:val="24"/>
        </w:rPr>
        <w:t xml:space="preserve">(ii) </w:t>
      </w:r>
      <w:r w:rsidR="00DC05A1">
        <w:rPr>
          <w:rFonts w:ascii="Times New Roman" w:hAnsi="Times New Roman" w:cs="Times New Roman"/>
          <w:noProof/>
          <w:color w:val="000000" w:themeColor="text1"/>
          <w:sz w:val="24"/>
          <w:szCs w:val="24"/>
        </w:rPr>
        <w:t>examined</w:t>
      </w:r>
      <w:r w:rsidR="004B5099">
        <w:rPr>
          <w:rFonts w:ascii="Times New Roman" w:hAnsi="Times New Roman" w:cs="Times New Roman"/>
          <w:noProof/>
          <w:color w:val="000000" w:themeColor="text1"/>
          <w:sz w:val="24"/>
          <w:szCs w:val="24"/>
        </w:rPr>
        <w:t xml:space="preserve"> </w:t>
      </w:r>
      <w:r w:rsidR="00453224">
        <w:rPr>
          <w:rFonts w:ascii="Times New Roman" w:hAnsi="Times New Roman" w:cs="Times New Roman"/>
          <w:noProof/>
          <w:color w:val="000000" w:themeColor="text1"/>
          <w:sz w:val="24"/>
          <w:szCs w:val="24"/>
        </w:rPr>
        <w:t>against the Programme</w:t>
      </w:r>
      <w:r w:rsidR="00D5539E">
        <w:rPr>
          <w:rFonts w:ascii="Times New Roman" w:hAnsi="Times New Roman" w:cs="Times New Roman"/>
          <w:noProof/>
          <w:color w:val="000000" w:themeColor="text1"/>
          <w:sz w:val="24"/>
          <w:szCs w:val="24"/>
        </w:rPr>
        <w:t>’</w:t>
      </w:r>
      <w:r w:rsidR="00453224">
        <w:rPr>
          <w:rFonts w:ascii="Times New Roman" w:hAnsi="Times New Roman" w:cs="Times New Roman"/>
          <w:noProof/>
          <w:color w:val="000000" w:themeColor="text1"/>
          <w:sz w:val="24"/>
          <w:szCs w:val="24"/>
        </w:rPr>
        <w:t>s s</w:t>
      </w:r>
      <w:r w:rsidR="005B712C">
        <w:rPr>
          <w:rFonts w:ascii="Times New Roman" w:hAnsi="Times New Roman" w:cs="Times New Roman"/>
          <w:noProof/>
          <w:color w:val="000000" w:themeColor="text1"/>
          <w:sz w:val="24"/>
          <w:szCs w:val="24"/>
        </w:rPr>
        <w:t>pe</w:t>
      </w:r>
      <w:r w:rsidR="00453224">
        <w:rPr>
          <w:rFonts w:ascii="Times New Roman" w:hAnsi="Times New Roman" w:cs="Times New Roman"/>
          <w:noProof/>
          <w:color w:val="000000" w:themeColor="text1"/>
          <w:sz w:val="24"/>
          <w:szCs w:val="24"/>
        </w:rPr>
        <w:t>cific objectives</w:t>
      </w:r>
      <w:r w:rsidR="00875859">
        <w:rPr>
          <w:rFonts w:ascii="Times New Roman" w:hAnsi="Times New Roman" w:cs="Times New Roman"/>
          <w:noProof/>
          <w:color w:val="000000" w:themeColor="text1"/>
          <w:sz w:val="24"/>
          <w:szCs w:val="24"/>
        </w:rPr>
        <w:t>;</w:t>
      </w:r>
      <w:r w:rsidR="00453224">
        <w:rPr>
          <w:rFonts w:ascii="Times New Roman" w:hAnsi="Times New Roman" w:cs="Times New Roman"/>
          <w:noProof/>
          <w:color w:val="000000" w:themeColor="text1"/>
          <w:sz w:val="24"/>
          <w:szCs w:val="24"/>
        </w:rPr>
        <w:t xml:space="preserve"> and </w:t>
      </w:r>
      <w:r w:rsidR="00875859">
        <w:rPr>
          <w:rFonts w:ascii="Times New Roman" w:hAnsi="Times New Roman" w:cs="Times New Roman"/>
          <w:noProof/>
          <w:color w:val="000000" w:themeColor="text1"/>
          <w:sz w:val="24"/>
          <w:szCs w:val="24"/>
        </w:rPr>
        <w:t xml:space="preserve">(iii) </w:t>
      </w:r>
      <w:r w:rsidR="00453224">
        <w:rPr>
          <w:rFonts w:ascii="Times New Roman" w:hAnsi="Times New Roman" w:cs="Times New Roman"/>
          <w:noProof/>
          <w:color w:val="000000" w:themeColor="text1"/>
          <w:sz w:val="24"/>
          <w:szCs w:val="24"/>
        </w:rPr>
        <w:t xml:space="preserve">adjusted to changes in the nuclear landscape. </w:t>
      </w:r>
    </w:p>
    <w:p w14:paraId="56518576" w14:textId="239E4D6A" w:rsidR="001B42ED" w:rsidRPr="001E3C9B" w:rsidRDefault="001B42ED" w:rsidP="001B42ED">
      <w:pPr>
        <w:tabs>
          <w:tab w:val="left" w:pos="3556"/>
        </w:tabs>
        <w:spacing w:after="120"/>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 xml:space="preserve">Over the evaluated period, </w:t>
      </w:r>
      <w:r w:rsidR="009A7FEE" w:rsidRPr="001E3C9B">
        <w:rPr>
          <w:rFonts w:ascii="Times New Roman" w:hAnsi="Times New Roman" w:cs="Times New Roman"/>
          <w:noProof/>
          <w:color w:val="000000" w:themeColor="text1"/>
          <w:sz w:val="24"/>
          <w:szCs w:val="24"/>
          <w:lang w:val="mt-MT"/>
        </w:rPr>
        <w:t xml:space="preserve">the </w:t>
      </w:r>
      <w:r w:rsidR="00875859">
        <w:rPr>
          <w:rFonts w:ascii="Times New Roman" w:hAnsi="Times New Roman" w:cs="Times New Roman"/>
          <w:noProof/>
          <w:color w:val="000000" w:themeColor="text1"/>
          <w:sz w:val="24"/>
          <w:szCs w:val="24"/>
          <w:lang w:val="mt-MT"/>
        </w:rPr>
        <w:t xml:space="preserve">relevance of the </w:t>
      </w:r>
      <w:r w:rsidRPr="001E3C9B">
        <w:rPr>
          <w:rFonts w:ascii="Times New Roman" w:hAnsi="Times New Roman" w:cs="Times New Roman"/>
          <w:noProof/>
          <w:color w:val="000000" w:themeColor="text1"/>
          <w:sz w:val="24"/>
          <w:szCs w:val="24"/>
        </w:rPr>
        <w:t>JRC’s activities</w:t>
      </w:r>
      <w:r w:rsidR="001324BD">
        <w:rPr>
          <w:rFonts w:ascii="Times New Roman" w:hAnsi="Times New Roman" w:cs="Times New Roman"/>
          <w:noProof/>
          <w:color w:val="000000" w:themeColor="text1"/>
          <w:sz w:val="24"/>
          <w:szCs w:val="24"/>
        </w:rPr>
        <w:t xml:space="preserve"> was </w:t>
      </w:r>
      <w:r w:rsidR="00FE65AE">
        <w:rPr>
          <w:rFonts w:ascii="Times New Roman" w:hAnsi="Times New Roman" w:cs="Times New Roman"/>
          <w:noProof/>
          <w:color w:val="000000" w:themeColor="text1"/>
          <w:sz w:val="24"/>
          <w:szCs w:val="24"/>
        </w:rPr>
        <w:t xml:space="preserve">also </w:t>
      </w:r>
      <w:r w:rsidR="001324BD">
        <w:rPr>
          <w:rFonts w:ascii="Times New Roman" w:hAnsi="Times New Roman" w:cs="Times New Roman"/>
          <w:noProof/>
          <w:color w:val="000000" w:themeColor="text1"/>
          <w:sz w:val="24"/>
          <w:szCs w:val="24"/>
        </w:rPr>
        <w:t>verified through it</w:t>
      </w:r>
      <w:r w:rsidR="00875859">
        <w:rPr>
          <w:rFonts w:ascii="Times New Roman" w:hAnsi="Times New Roman" w:cs="Times New Roman"/>
          <w:noProof/>
          <w:color w:val="000000" w:themeColor="text1"/>
          <w:sz w:val="24"/>
          <w:szCs w:val="24"/>
        </w:rPr>
        <w:t>s</w:t>
      </w:r>
      <w:r w:rsidRPr="001E3C9B">
        <w:rPr>
          <w:rFonts w:ascii="Times New Roman" w:hAnsi="Times New Roman" w:cs="Times New Roman"/>
          <w:noProof/>
          <w:color w:val="000000" w:themeColor="text1"/>
          <w:sz w:val="24"/>
          <w:szCs w:val="24"/>
        </w:rPr>
        <w:t xml:space="preserve"> research on nuclear materials</w:t>
      </w:r>
      <w:r w:rsidR="00875859">
        <w:rPr>
          <w:rFonts w:ascii="Times New Roman" w:hAnsi="Times New Roman" w:cs="Times New Roman"/>
          <w:noProof/>
          <w:color w:val="000000" w:themeColor="text1"/>
          <w:sz w:val="24"/>
          <w:szCs w:val="24"/>
          <w:lang w:val="mt-MT"/>
        </w:rPr>
        <w:t>. This research</w:t>
      </w:r>
      <w:r w:rsidR="002907B0">
        <w:rPr>
          <w:rFonts w:ascii="Times New Roman" w:hAnsi="Times New Roman" w:cs="Times New Roman"/>
          <w:noProof/>
          <w:color w:val="000000" w:themeColor="text1"/>
          <w:sz w:val="24"/>
          <w:szCs w:val="24"/>
          <w:lang w:val="mt-MT"/>
        </w:rPr>
        <w:t xml:space="preserve"> </w:t>
      </w:r>
      <w:r w:rsidR="00875859">
        <w:rPr>
          <w:rFonts w:ascii="Times New Roman" w:hAnsi="Times New Roman" w:cs="Times New Roman"/>
          <w:noProof/>
          <w:color w:val="000000" w:themeColor="text1"/>
          <w:sz w:val="24"/>
          <w:szCs w:val="24"/>
        </w:rPr>
        <w:t xml:space="preserve">both: (i) </w:t>
      </w:r>
      <w:r w:rsidR="00875859">
        <w:rPr>
          <w:rFonts w:ascii="Times New Roman" w:hAnsi="Times New Roman" w:cs="Times New Roman"/>
          <w:noProof/>
          <w:color w:val="000000" w:themeColor="text1"/>
          <w:sz w:val="24"/>
          <w:szCs w:val="24"/>
          <w:lang w:val="mt-MT"/>
        </w:rPr>
        <w:t>strengthened</w:t>
      </w:r>
      <w:r w:rsidR="001324BD">
        <w:rPr>
          <w:rFonts w:ascii="Times New Roman" w:hAnsi="Times New Roman" w:cs="Times New Roman"/>
          <w:noProof/>
          <w:color w:val="000000" w:themeColor="text1"/>
          <w:sz w:val="24"/>
          <w:szCs w:val="24"/>
        </w:rPr>
        <w:t xml:space="preserve"> the</w:t>
      </w:r>
      <w:r w:rsidRPr="001E3C9B">
        <w:rPr>
          <w:rFonts w:ascii="Times New Roman" w:hAnsi="Times New Roman" w:cs="Times New Roman"/>
          <w:noProof/>
          <w:color w:val="000000" w:themeColor="text1"/>
          <w:sz w:val="24"/>
          <w:szCs w:val="24"/>
        </w:rPr>
        <w:t xml:space="preserve"> safety </w:t>
      </w:r>
      <w:r w:rsidR="001324BD">
        <w:rPr>
          <w:rFonts w:ascii="Times New Roman" w:hAnsi="Times New Roman" w:cs="Times New Roman"/>
          <w:noProof/>
          <w:color w:val="000000" w:themeColor="text1"/>
          <w:sz w:val="24"/>
          <w:szCs w:val="24"/>
        </w:rPr>
        <w:t xml:space="preserve">analysis </w:t>
      </w:r>
      <w:r w:rsidR="00875859">
        <w:rPr>
          <w:rFonts w:ascii="Times New Roman" w:hAnsi="Times New Roman" w:cs="Times New Roman"/>
          <w:noProof/>
          <w:color w:val="000000" w:themeColor="text1"/>
          <w:sz w:val="24"/>
          <w:szCs w:val="24"/>
        </w:rPr>
        <w:t>for</w:t>
      </w:r>
      <w:r w:rsidR="001324BD">
        <w:rPr>
          <w:rFonts w:ascii="Times New Roman" w:hAnsi="Times New Roman" w:cs="Times New Roman"/>
          <w:noProof/>
          <w:color w:val="000000" w:themeColor="text1"/>
          <w:sz w:val="24"/>
          <w:szCs w:val="24"/>
        </w:rPr>
        <w:t xml:space="preserve"> </w:t>
      </w:r>
      <w:r w:rsidR="009A7FEE" w:rsidRPr="001E3C9B">
        <w:rPr>
          <w:rFonts w:ascii="Times New Roman" w:hAnsi="Times New Roman" w:cs="Times New Roman"/>
          <w:noProof/>
          <w:color w:val="000000" w:themeColor="text1"/>
          <w:sz w:val="24"/>
          <w:szCs w:val="24"/>
          <w:lang w:val="mt-MT"/>
        </w:rPr>
        <w:t xml:space="preserve">the </w:t>
      </w:r>
      <w:r w:rsidR="00875859">
        <w:rPr>
          <w:rFonts w:ascii="Times New Roman" w:hAnsi="Times New Roman" w:cs="Times New Roman"/>
          <w:noProof/>
          <w:color w:val="000000" w:themeColor="text1"/>
          <w:sz w:val="24"/>
          <w:szCs w:val="24"/>
          <w:lang w:val="mt-MT"/>
        </w:rPr>
        <w:t xml:space="preserve">possible </w:t>
      </w:r>
      <w:r w:rsidRPr="001E3C9B">
        <w:rPr>
          <w:rFonts w:ascii="Times New Roman" w:hAnsi="Times New Roman" w:cs="Times New Roman"/>
          <w:noProof/>
          <w:color w:val="000000" w:themeColor="text1"/>
          <w:sz w:val="24"/>
          <w:szCs w:val="24"/>
        </w:rPr>
        <w:t>long</w:t>
      </w:r>
      <w:r w:rsidR="009A7FEE" w:rsidRPr="001E3C9B">
        <w:rPr>
          <w:rFonts w:ascii="Times New Roman" w:hAnsi="Times New Roman" w:cs="Times New Roman"/>
          <w:noProof/>
          <w:color w:val="000000" w:themeColor="text1"/>
          <w:sz w:val="24"/>
          <w:szCs w:val="24"/>
          <w:lang w:val="mt-MT"/>
        </w:rPr>
        <w:t>-</w:t>
      </w:r>
      <w:r w:rsidRPr="001E3C9B">
        <w:rPr>
          <w:rFonts w:ascii="Times New Roman" w:hAnsi="Times New Roman" w:cs="Times New Roman"/>
          <w:noProof/>
          <w:color w:val="000000" w:themeColor="text1"/>
          <w:sz w:val="24"/>
          <w:szCs w:val="24"/>
        </w:rPr>
        <w:t xml:space="preserve">term operation of the </w:t>
      </w:r>
      <w:r w:rsidR="009A7FEE" w:rsidRPr="001E3C9B">
        <w:rPr>
          <w:rFonts w:ascii="Times New Roman" w:hAnsi="Times New Roman" w:cs="Times New Roman"/>
          <w:noProof/>
          <w:color w:val="000000" w:themeColor="text1"/>
          <w:sz w:val="24"/>
          <w:szCs w:val="24"/>
          <w:lang w:val="mt-MT"/>
        </w:rPr>
        <w:t>EU’s current</w:t>
      </w:r>
      <w:r w:rsidRPr="001E3C9B">
        <w:rPr>
          <w:rFonts w:ascii="Times New Roman" w:hAnsi="Times New Roman" w:cs="Times New Roman"/>
          <w:noProof/>
          <w:color w:val="000000" w:themeColor="text1"/>
          <w:sz w:val="24"/>
          <w:szCs w:val="24"/>
        </w:rPr>
        <w:t xml:space="preserve"> nuclear fleet</w:t>
      </w:r>
      <w:r w:rsidR="00875859">
        <w:rPr>
          <w:rFonts w:ascii="Times New Roman" w:hAnsi="Times New Roman" w:cs="Times New Roman"/>
          <w:noProof/>
          <w:color w:val="000000" w:themeColor="text1"/>
          <w:sz w:val="24"/>
          <w:szCs w:val="24"/>
        </w:rPr>
        <w:t>;</w:t>
      </w:r>
      <w:r w:rsidR="001324BD">
        <w:rPr>
          <w:rFonts w:ascii="Times New Roman" w:hAnsi="Times New Roman" w:cs="Times New Roman"/>
          <w:noProof/>
          <w:color w:val="000000" w:themeColor="text1"/>
          <w:sz w:val="24"/>
          <w:szCs w:val="24"/>
        </w:rPr>
        <w:t xml:space="preserve"> </w:t>
      </w:r>
      <w:r w:rsidR="00875859">
        <w:rPr>
          <w:rFonts w:ascii="Times New Roman" w:hAnsi="Times New Roman" w:cs="Times New Roman"/>
          <w:noProof/>
          <w:color w:val="000000" w:themeColor="text1"/>
          <w:sz w:val="24"/>
          <w:szCs w:val="24"/>
        </w:rPr>
        <w:t xml:space="preserve">and (ii) </w:t>
      </w:r>
      <w:r w:rsidR="001324BD">
        <w:rPr>
          <w:rFonts w:ascii="Times New Roman" w:hAnsi="Times New Roman" w:cs="Times New Roman"/>
          <w:noProof/>
          <w:color w:val="000000" w:themeColor="text1"/>
          <w:sz w:val="24"/>
          <w:szCs w:val="24"/>
        </w:rPr>
        <w:t>laid the ground for the safety assessment of new nuclear designs such as small modular reactors</w:t>
      </w:r>
      <w:r w:rsidR="008A14E1">
        <w:rPr>
          <w:rFonts w:ascii="Times New Roman" w:hAnsi="Times New Roman" w:cs="Times New Roman"/>
          <w:noProof/>
          <w:color w:val="000000" w:themeColor="text1"/>
          <w:sz w:val="24"/>
          <w:szCs w:val="24"/>
        </w:rPr>
        <w:t xml:space="preserve"> (SMRs)</w:t>
      </w:r>
      <w:r w:rsidRPr="001E3C9B">
        <w:rPr>
          <w:rFonts w:ascii="Times New Roman" w:hAnsi="Times New Roman" w:cs="Times New Roman"/>
          <w:noProof/>
          <w:color w:val="000000" w:themeColor="text1"/>
          <w:sz w:val="24"/>
          <w:szCs w:val="24"/>
        </w:rPr>
        <w:t xml:space="preserve">. Direct research on reference materials has </w:t>
      </w:r>
      <w:r w:rsidR="00875859">
        <w:rPr>
          <w:rFonts w:ascii="Times New Roman" w:hAnsi="Times New Roman" w:cs="Times New Roman"/>
          <w:noProof/>
          <w:color w:val="000000" w:themeColor="text1"/>
          <w:sz w:val="24"/>
          <w:szCs w:val="24"/>
        </w:rPr>
        <w:t>helped to</w:t>
      </w:r>
      <w:r w:rsidRPr="001E3C9B">
        <w:rPr>
          <w:rFonts w:ascii="Times New Roman" w:hAnsi="Times New Roman" w:cs="Times New Roman"/>
          <w:noProof/>
          <w:color w:val="000000" w:themeColor="text1"/>
          <w:sz w:val="24"/>
          <w:szCs w:val="24"/>
        </w:rPr>
        <w:t xml:space="preserve"> harmonis</w:t>
      </w:r>
      <w:r w:rsidR="00875859">
        <w:rPr>
          <w:rFonts w:ascii="Times New Roman" w:hAnsi="Times New Roman" w:cs="Times New Roman"/>
          <w:noProof/>
          <w:color w:val="000000" w:themeColor="text1"/>
          <w:sz w:val="24"/>
          <w:szCs w:val="24"/>
        </w:rPr>
        <w:t>e</w:t>
      </w:r>
      <w:r w:rsidRPr="001E3C9B">
        <w:rPr>
          <w:rFonts w:ascii="Times New Roman" w:hAnsi="Times New Roman" w:cs="Times New Roman"/>
          <w:noProof/>
          <w:color w:val="000000" w:themeColor="text1"/>
          <w:sz w:val="24"/>
          <w:szCs w:val="24"/>
        </w:rPr>
        <w:t xml:space="preserve"> the measurement of radioactivity in the environment in</w:t>
      </w:r>
      <w:r w:rsidR="009A7FEE" w:rsidRPr="001E3C9B">
        <w:rPr>
          <w:rFonts w:ascii="Times New Roman" w:hAnsi="Times New Roman" w:cs="Times New Roman"/>
          <w:noProof/>
          <w:color w:val="000000" w:themeColor="text1"/>
          <w:sz w:val="24"/>
          <w:szCs w:val="24"/>
          <w:lang w:val="mt-MT"/>
        </w:rPr>
        <w:t>side</w:t>
      </w:r>
      <w:r w:rsidRPr="001E3C9B">
        <w:rPr>
          <w:rFonts w:ascii="Times New Roman" w:hAnsi="Times New Roman" w:cs="Times New Roman"/>
          <w:noProof/>
          <w:color w:val="000000" w:themeColor="text1"/>
          <w:sz w:val="24"/>
          <w:szCs w:val="24"/>
        </w:rPr>
        <w:t xml:space="preserve"> and outside the EU</w:t>
      </w:r>
      <w:r w:rsidR="0075490C">
        <w:rPr>
          <w:rFonts w:ascii="Times New Roman" w:hAnsi="Times New Roman" w:cs="Times New Roman"/>
          <w:noProof/>
          <w:color w:val="000000" w:themeColor="text1"/>
          <w:sz w:val="24"/>
          <w:szCs w:val="24"/>
        </w:rPr>
        <w:t>, meeting the overall objective of increased standardisation</w:t>
      </w:r>
      <w:r w:rsidRPr="001E3C9B">
        <w:rPr>
          <w:rFonts w:ascii="Times New Roman" w:hAnsi="Times New Roman" w:cs="Times New Roman"/>
          <w:noProof/>
          <w:color w:val="000000" w:themeColor="text1"/>
          <w:sz w:val="24"/>
          <w:szCs w:val="24"/>
        </w:rPr>
        <w:t xml:space="preserve">. </w:t>
      </w:r>
      <w:r w:rsidR="009A7FEE" w:rsidRPr="001E3C9B">
        <w:rPr>
          <w:rFonts w:ascii="Times New Roman" w:hAnsi="Times New Roman" w:cs="Times New Roman"/>
          <w:noProof/>
          <w:color w:val="000000" w:themeColor="text1"/>
          <w:sz w:val="24"/>
          <w:szCs w:val="24"/>
          <w:lang w:val="mt-MT"/>
        </w:rPr>
        <w:t xml:space="preserve">The </w:t>
      </w:r>
      <w:r w:rsidRPr="001E3C9B">
        <w:rPr>
          <w:rFonts w:ascii="Times New Roman" w:hAnsi="Times New Roman" w:cs="Times New Roman"/>
          <w:noProof/>
          <w:color w:val="000000" w:themeColor="text1"/>
          <w:sz w:val="24"/>
          <w:szCs w:val="24"/>
        </w:rPr>
        <w:t>JRC’s expertise also assisted in the implementation of the Euratom nuclear safeguard</w:t>
      </w:r>
      <w:r w:rsidR="006012E8">
        <w:rPr>
          <w:rFonts w:ascii="Times New Roman" w:hAnsi="Times New Roman" w:cs="Times New Roman"/>
          <w:noProof/>
          <w:color w:val="000000" w:themeColor="text1"/>
          <w:sz w:val="24"/>
          <w:szCs w:val="24"/>
        </w:rPr>
        <w:t>s</w:t>
      </w:r>
      <w:r w:rsidRPr="001E3C9B">
        <w:rPr>
          <w:rFonts w:ascii="Times New Roman" w:hAnsi="Times New Roman" w:cs="Times New Roman"/>
          <w:noProof/>
          <w:color w:val="000000" w:themeColor="text1"/>
          <w:sz w:val="24"/>
          <w:szCs w:val="24"/>
        </w:rPr>
        <w:t xml:space="preserve"> system</w:t>
      </w:r>
      <w:r w:rsidR="00D41E86">
        <w:rPr>
          <w:rFonts w:ascii="Times New Roman" w:hAnsi="Times New Roman" w:cs="Times New Roman"/>
          <w:noProof/>
          <w:color w:val="000000" w:themeColor="text1"/>
          <w:sz w:val="24"/>
          <w:szCs w:val="24"/>
        </w:rPr>
        <w:t xml:space="preserve">. </w:t>
      </w:r>
      <w:r w:rsidR="00875859">
        <w:rPr>
          <w:rFonts w:ascii="Times New Roman" w:hAnsi="Times New Roman" w:cs="Times New Roman"/>
          <w:noProof/>
          <w:color w:val="000000" w:themeColor="text1"/>
          <w:sz w:val="24"/>
          <w:szCs w:val="24"/>
        </w:rPr>
        <w:t>In</w:t>
      </w:r>
      <w:r w:rsidR="00D41E86">
        <w:rPr>
          <w:rFonts w:ascii="Times New Roman" w:hAnsi="Times New Roman" w:cs="Times New Roman"/>
          <w:noProof/>
          <w:color w:val="000000" w:themeColor="text1"/>
          <w:sz w:val="24"/>
          <w:szCs w:val="24"/>
        </w:rPr>
        <w:t xml:space="preserve"> 2014-2020, the development</w:t>
      </w:r>
      <w:r w:rsidR="00DC05A1">
        <w:rPr>
          <w:rFonts w:ascii="Times New Roman" w:hAnsi="Times New Roman" w:cs="Times New Roman"/>
          <w:noProof/>
          <w:color w:val="000000" w:themeColor="text1"/>
          <w:sz w:val="24"/>
          <w:szCs w:val="24"/>
        </w:rPr>
        <w:t xml:space="preserve"> by the JRC </w:t>
      </w:r>
      <w:r w:rsidR="00D41E86">
        <w:rPr>
          <w:rFonts w:ascii="Times New Roman" w:hAnsi="Times New Roman" w:cs="Times New Roman"/>
          <w:noProof/>
          <w:color w:val="000000" w:themeColor="text1"/>
          <w:sz w:val="24"/>
          <w:szCs w:val="24"/>
        </w:rPr>
        <w:t xml:space="preserve">of the EUSECTRA training centre was instrumental in </w:t>
      </w:r>
      <w:r w:rsidR="00453224">
        <w:rPr>
          <w:rFonts w:ascii="Times New Roman" w:hAnsi="Times New Roman" w:cs="Times New Roman"/>
          <w:noProof/>
          <w:color w:val="000000" w:themeColor="text1"/>
          <w:sz w:val="24"/>
          <w:szCs w:val="24"/>
        </w:rPr>
        <w:t>meeting the objective of</w:t>
      </w:r>
      <w:r w:rsidRPr="001E3C9B">
        <w:rPr>
          <w:rFonts w:ascii="Times New Roman" w:hAnsi="Times New Roman" w:cs="Times New Roman"/>
          <w:noProof/>
          <w:color w:val="000000" w:themeColor="text1"/>
          <w:sz w:val="24"/>
          <w:szCs w:val="24"/>
        </w:rPr>
        <w:t xml:space="preserve"> strengthen</w:t>
      </w:r>
      <w:r w:rsidR="00D41E86">
        <w:rPr>
          <w:rFonts w:ascii="Times New Roman" w:hAnsi="Times New Roman" w:cs="Times New Roman"/>
          <w:noProof/>
          <w:color w:val="000000" w:themeColor="text1"/>
          <w:sz w:val="24"/>
          <w:szCs w:val="24"/>
        </w:rPr>
        <w:t>ing</w:t>
      </w:r>
      <w:r w:rsidRPr="001E3C9B">
        <w:rPr>
          <w:rFonts w:ascii="Times New Roman" w:hAnsi="Times New Roman" w:cs="Times New Roman"/>
          <w:noProof/>
          <w:color w:val="000000" w:themeColor="text1"/>
          <w:sz w:val="24"/>
          <w:szCs w:val="24"/>
        </w:rPr>
        <w:t xml:space="preserve"> nuclear</w:t>
      </w:r>
      <w:r w:rsidR="00B300EA">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security capacities in the EU Member States</w:t>
      </w:r>
      <w:r w:rsidR="009A7FEE" w:rsidRPr="001E3C9B">
        <w:rPr>
          <w:rFonts w:ascii="Times New Roman" w:hAnsi="Times New Roman" w:cs="Times New Roman"/>
          <w:noProof/>
          <w:color w:val="000000" w:themeColor="text1"/>
          <w:sz w:val="24"/>
          <w:szCs w:val="24"/>
          <w:lang w:val="mt-MT"/>
        </w:rPr>
        <w:t xml:space="preserve"> </w:t>
      </w:r>
      <w:r w:rsidR="00453224">
        <w:rPr>
          <w:rFonts w:ascii="Times New Roman" w:hAnsi="Times New Roman" w:cs="Times New Roman"/>
          <w:noProof/>
          <w:color w:val="000000" w:themeColor="text1"/>
          <w:sz w:val="24"/>
          <w:szCs w:val="24"/>
          <w:lang w:val="mt-MT"/>
        </w:rPr>
        <w:t>by</w:t>
      </w:r>
      <w:r w:rsidR="00D41E86">
        <w:rPr>
          <w:rFonts w:ascii="Times New Roman" w:hAnsi="Times New Roman" w:cs="Times New Roman"/>
          <w:noProof/>
          <w:color w:val="000000" w:themeColor="text1"/>
          <w:sz w:val="24"/>
          <w:szCs w:val="24"/>
          <w:lang w:val="mt-MT"/>
        </w:rPr>
        <w:t xml:space="preserve"> train</w:t>
      </w:r>
      <w:r w:rsidR="00453224">
        <w:rPr>
          <w:rFonts w:ascii="Times New Roman" w:hAnsi="Times New Roman" w:cs="Times New Roman"/>
          <w:noProof/>
          <w:color w:val="000000" w:themeColor="text1"/>
          <w:sz w:val="24"/>
          <w:szCs w:val="24"/>
          <w:lang w:val="mt-MT"/>
        </w:rPr>
        <w:t>ing</w:t>
      </w:r>
      <w:r w:rsidR="00D41E86">
        <w:rPr>
          <w:rFonts w:ascii="Times New Roman" w:hAnsi="Times New Roman" w:cs="Times New Roman"/>
          <w:noProof/>
          <w:color w:val="000000" w:themeColor="text1"/>
          <w:sz w:val="24"/>
          <w:szCs w:val="24"/>
          <w:lang w:val="mt-MT"/>
        </w:rPr>
        <w:t xml:space="preserve"> more than 1</w:t>
      </w:r>
      <w:r w:rsidR="005865F2">
        <w:rPr>
          <w:rFonts w:ascii="Times New Roman" w:hAnsi="Times New Roman" w:cs="Times New Roman"/>
          <w:noProof/>
          <w:color w:val="000000" w:themeColor="text1"/>
          <w:sz w:val="24"/>
          <w:szCs w:val="24"/>
          <w:lang w:val="mt-MT"/>
        </w:rPr>
        <w:t> </w:t>
      </w:r>
      <w:r w:rsidR="00D41E86">
        <w:rPr>
          <w:rFonts w:ascii="Times New Roman" w:hAnsi="Times New Roman" w:cs="Times New Roman"/>
          <w:noProof/>
          <w:color w:val="000000" w:themeColor="text1"/>
          <w:sz w:val="24"/>
          <w:szCs w:val="24"/>
          <w:lang w:val="mt-MT"/>
        </w:rPr>
        <w:t>600 front-line and law</w:t>
      </w:r>
      <w:r w:rsidR="00E86DB0">
        <w:rPr>
          <w:rFonts w:ascii="Times New Roman" w:hAnsi="Times New Roman" w:cs="Times New Roman"/>
          <w:noProof/>
          <w:color w:val="000000" w:themeColor="text1"/>
          <w:sz w:val="24"/>
          <w:szCs w:val="24"/>
          <w:lang w:val="mt-MT"/>
        </w:rPr>
        <w:t>-</w:t>
      </w:r>
      <w:r w:rsidR="00D41E86">
        <w:rPr>
          <w:rFonts w:ascii="Times New Roman" w:hAnsi="Times New Roman" w:cs="Times New Roman"/>
          <w:noProof/>
          <w:color w:val="000000" w:themeColor="text1"/>
          <w:sz w:val="24"/>
          <w:szCs w:val="24"/>
          <w:lang w:val="mt-MT"/>
        </w:rPr>
        <w:t>enforcement officers</w:t>
      </w:r>
      <w:r w:rsidR="009A7FEE" w:rsidRPr="001E3C9B">
        <w:rPr>
          <w:rFonts w:ascii="Times New Roman" w:hAnsi="Times New Roman" w:cs="Times New Roman"/>
          <w:noProof/>
          <w:color w:val="000000" w:themeColor="text1"/>
          <w:sz w:val="24"/>
          <w:szCs w:val="24"/>
          <w:lang w:val="mt-MT"/>
        </w:rPr>
        <w:t xml:space="preserve"> </w:t>
      </w:r>
      <w:r w:rsidR="00B300EA">
        <w:rPr>
          <w:rFonts w:ascii="Times New Roman" w:hAnsi="Times New Roman" w:cs="Times New Roman"/>
          <w:noProof/>
          <w:color w:val="000000" w:themeColor="text1"/>
          <w:sz w:val="24"/>
          <w:szCs w:val="24"/>
          <w:lang w:val="mt-MT"/>
        </w:rPr>
        <w:t>in</w:t>
      </w:r>
      <w:r w:rsidR="00B300EA"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nuclear detection and forensics. Long</w:t>
      </w:r>
      <w:r w:rsidR="00B300EA">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standing expertise and breakthrough research</w:t>
      </w:r>
      <w:r w:rsidR="00B300EA">
        <w:rPr>
          <w:rFonts w:ascii="Times New Roman" w:hAnsi="Times New Roman" w:cs="Times New Roman"/>
          <w:noProof/>
          <w:color w:val="000000" w:themeColor="text1"/>
          <w:sz w:val="24"/>
          <w:szCs w:val="24"/>
        </w:rPr>
        <w:t xml:space="preserve"> by the JRC</w:t>
      </w:r>
      <w:r w:rsidRPr="001E3C9B">
        <w:rPr>
          <w:rFonts w:ascii="Times New Roman" w:hAnsi="Times New Roman" w:cs="Times New Roman"/>
          <w:noProof/>
          <w:color w:val="000000" w:themeColor="text1"/>
          <w:sz w:val="24"/>
          <w:szCs w:val="24"/>
        </w:rPr>
        <w:t>, enabled by the direct actions in the field of medical applications of nuclear science, also had a significant impact for cancer treatment.</w:t>
      </w:r>
    </w:p>
    <w:p w14:paraId="1079F07D" w14:textId="634D57C9" w:rsidR="001B42ED" w:rsidRPr="001E3C9B" w:rsidRDefault="001B42ED" w:rsidP="001B42ED">
      <w:pPr>
        <w:spacing w:after="120"/>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 xml:space="preserve">Through its activities, the JRC </w:t>
      </w:r>
      <w:r w:rsidR="0075490C">
        <w:rPr>
          <w:rFonts w:ascii="Times New Roman" w:hAnsi="Times New Roman" w:cs="Times New Roman"/>
          <w:noProof/>
          <w:color w:val="000000" w:themeColor="text1"/>
          <w:sz w:val="24"/>
          <w:szCs w:val="24"/>
        </w:rPr>
        <w:t>supported the o</w:t>
      </w:r>
      <w:r w:rsidR="00B300EA">
        <w:rPr>
          <w:rFonts w:ascii="Times New Roman" w:hAnsi="Times New Roman" w:cs="Times New Roman"/>
          <w:noProof/>
          <w:color w:val="000000" w:themeColor="text1"/>
          <w:sz w:val="24"/>
          <w:szCs w:val="24"/>
        </w:rPr>
        <w:t>b</w:t>
      </w:r>
      <w:r w:rsidR="0075490C">
        <w:rPr>
          <w:rFonts w:ascii="Times New Roman" w:hAnsi="Times New Roman" w:cs="Times New Roman"/>
          <w:noProof/>
          <w:color w:val="000000" w:themeColor="text1"/>
          <w:sz w:val="24"/>
          <w:szCs w:val="24"/>
        </w:rPr>
        <w:t>jective</w:t>
      </w:r>
      <w:r w:rsidR="00B300EA">
        <w:rPr>
          <w:rFonts w:ascii="Times New Roman" w:hAnsi="Times New Roman" w:cs="Times New Roman"/>
          <w:noProof/>
          <w:color w:val="000000" w:themeColor="text1"/>
          <w:sz w:val="24"/>
          <w:szCs w:val="24"/>
        </w:rPr>
        <w:t>s</w:t>
      </w:r>
      <w:r w:rsidR="0075490C">
        <w:rPr>
          <w:rFonts w:ascii="Times New Roman" w:hAnsi="Times New Roman" w:cs="Times New Roman"/>
          <w:noProof/>
          <w:color w:val="000000" w:themeColor="text1"/>
          <w:sz w:val="24"/>
          <w:szCs w:val="24"/>
        </w:rPr>
        <w:t xml:space="preserve"> of</w:t>
      </w:r>
      <w:r w:rsidR="00B300EA">
        <w:rPr>
          <w:rFonts w:ascii="Times New Roman" w:hAnsi="Times New Roman" w:cs="Times New Roman"/>
          <w:noProof/>
          <w:color w:val="000000" w:themeColor="text1"/>
          <w:sz w:val="24"/>
          <w:szCs w:val="24"/>
        </w:rPr>
        <w:t>: (i)</w:t>
      </w:r>
      <w:r w:rsidRPr="001E3C9B">
        <w:rPr>
          <w:rFonts w:ascii="Times New Roman" w:hAnsi="Times New Roman" w:cs="Times New Roman"/>
          <w:noProof/>
          <w:color w:val="000000" w:themeColor="text1"/>
          <w:sz w:val="24"/>
          <w:szCs w:val="24"/>
        </w:rPr>
        <w:t xml:space="preserve"> building and maintaining essential </w:t>
      </w:r>
      <w:r w:rsidR="00B300EA">
        <w:rPr>
          <w:rFonts w:ascii="Times New Roman" w:hAnsi="Times New Roman" w:cs="Times New Roman"/>
          <w:noProof/>
          <w:color w:val="000000" w:themeColor="text1"/>
          <w:sz w:val="24"/>
          <w:szCs w:val="24"/>
        </w:rPr>
        <w:t>skills; and (ii)</w:t>
      </w:r>
      <w:r w:rsidRPr="001E3C9B">
        <w:rPr>
          <w:rFonts w:ascii="Times New Roman" w:hAnsi="Times New Roman" w:cs="Times New Roman"/>
          <w:noProof/>
          <w:color w:val="000000" w:themeColor="text1"/>
          <w:sz w:val="24"/>
          <w:szCs w:val="24"/>
        </w:rPr>
        <w:t xml:space="preserve"> supporting knowledge management in the fields of nuclear safety, security and safeguards in the EU. This </w:t>
      </w:r>
      <w:r w:rsidR="00B300EA">
        <w:rPr>
          <w:rFonts w:ascii="Times New Roman" w:hAnsi="Times New Roman" w:cs="Times New Roman"/>
          <w:noProof/>
          <w:color w:val="000000" w:themeColor="text1"/>
          <w:sz w:val="24"/>
          <w:szCs w:val="24"/>
        </w:rPr>
        <w:t>was</w:t>
      </w:r>
      <w:r w:rsidR="00B300EA"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 xml:space="preserve">also </w:t>
      </w:r>
      <w:r w:rsidR="008778FE" w:rsidRPr="001E3C9B">
        <w:rPr>
          <w:rFonts w:ascii="Times New Roman" w:hAnsi="Times New Roman" w:cs="Times New Roman"/>
          <w:noProof/>
          <w:color w:val="000000" w:themeColor="text1"/>
          <w:sz w:val="24"/>
          <w:szCs w:val="24"/>
          <w:lang w:val="mt-MT"/>
        </w:rPr>
        <w:t>made possible,</w:t>
      </w:r>
      <w:r w:rsidRPr="001E3C9B">
        <w:rPr>
          <w:rFonts w:ascii="Times New Roman" w:hAnsi="Times New Roman" w:cs="Times New Roman"/>
          <w:noProof/>
          <w:color w:val="000000" w:themeColor="text1"/>
          <w:sz w:val="24"/>
          <w:szCs w:val="24"/>
        </w:rPr>
        <w:t xml:space="preserve"> in large part</w:t>
      </w:r>
      <w:r w:rsidR="008778FE" w:rsidRPr="001E3C9B">
        <w:rPr>
          <w:rFonts w:ascii="Times New Roman" w:hAnsi="Times New Roman" w:cs="Times New Roman"/>
          <w:noProof/>
          <w:color w:val="000000" w:themeColor="text1"/>
          <w:sz w:val="24"/>
          <w:szCs w:val="24"/>
          <w:lang w:val="mt-MT"/>
        </w:rPr>
        <w:t>,</w:t>
      </w:r>
      <w:r w:rsidRPr="001E3C9B">
        <w:rPr>
          <w:rFonts w:ascii="Times New Roman" w:hAnsi="Times New Roman" w:cs="Times New Roman"/>
          <w:noProof/>
          <w:color w:val="000000" w:themeColor="text1"/>
          <w:sz w:val="24"/>
          <w:szCs w:val="24"/>
        </w:rPr>
        <w:t xml:space="preserve"> </w:t>
      </w:r>
      <w:r w:rsidR="008778FE" w:rsidRPr="001E3C9B">
        <w:rPr>
          <w:rFonts w:ascii="Times New Roman" w:hAnsi="Times New Roman" w:cs="Times New Roman"/>
          <w:noProof/>
          <w:color w:val="000000" w:themeColor="text1"/>
          <w:sz w:val="24"/>
          <w:szCs w:val="24"/>
          <w:lang w:val="mt-MT"/>
        </w:rPr>
        <w:t>through</w:t>
      </w:r>
      <w:r w:rsidRPr="001E3C9B">
        <w:rPr>
          <w:rFonts w:ascii="Times New Roman" w:hAnsi="Times New Roman" w:cs="Times New Roman"/>
          <w:noProof/>
          <w:color w:val="000000" w:themeColor="text1"/>
          <w:sz w:val="24"/>
          <w:szCs w:val="24"/>
        </w:rPr>
        <w:t xml:space="preserve"> the open</w:t>
      </w:r>
      <w:r w:rsidR="00B300EA">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access programme to its research facilities</w:t>
      </w:r>
      <w:r w:rsidR="0075490C">
        <w:rPr>
          <w:rFonts w:ascii="Times New Roman" w:hAnsi="Times New Roman" w:cs="Times New Roman"/>
          <w:noProof/>
          <w:color w:val="000000" w:themeColor="text1"/>
          <w:sz w:val="24"/>
          <w:szCs w:val="24"/>
        </w:rPr>
        <w:t>, which benefited 84 institutions from 23 Member States and associated countries over the evaluated period</w:t>
      </w:r>
      <w:r w:rsidR="00D41E86">
        <w:rPr>
          <w:rFonts w:ascii="Times New Roman" w:hAnsi="Times New Roman" w:cs="Times New Roman"/>
          <w:noProof/>
          <w:color w:val="000000" w:themeColor="text1"/>
          <w:sz w:val="24"/>
          <w:szCs w:val="24"/>
        </w:rPr>
        <w:t>, producing 140 scientific papers and enabling the achievement of 64 PhD theses as direct outputs</w:t>
      </w:r>
      <w:r w:rsidRPr="001E3C9B">
        <w:rPr>
          <w:rFonts w:ascii="Times New Roman" w:hAnsi="Times New Roman" w:cs="Times New Roman"/>
          <w:noProof/>
          <w:color w:val="000000" w:themeColor="text1"/>
          <w:sz w:val="24"/>
          <w:szCs w:val="24"/>
        </w:rPr>
        <w:t>.</w:t>
      </w:r>
    </w:p>
    <w:p w14:paraId="310B9F1D" w14:textId="7B5361EA" w:rsidR="001B42ED" w:rsidRDefault="001B42ED" w:rsidP="001B42ED">
      <w:pPr>
        <w:spacing w:after="120"/>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 xml:space="preserve">The independent technical and scientific expertise acquired by the JRC through the </w:t>
      </w:r>
      <w:r w:rsidR="008778FE" w:rsidRPr="001E3C9B">
        <w:rPr>
          <w:rFonts w:ascii="Times New Roman" w:hAnsi="Times New Roman" w:cs="Times New Roman"/>
          <w:noProof/>
          <w:color w:val="000000" w:themeColor="text1"/>
          <w:sz w:val="24"/>
          <w:szCs w:val="24"/>
          <w:lang w:val="mt-MT"/>
        </w:rPr>
        <w:t>P</w:t>
      </w:r>
      <w:r w:rsidRPr="001E3C9B">
        <w:rPr>
          <w:rFonts w:ascii="Times New Roman" w:hAnsi="Times New Roman" w:cs="Times New Roman"/>
          <w:noProof/>
          <w:color w:val="000000" w:themeColor="text1"/>
          <w:sz w:val="24"/>
          <w:szCs w:val="24"/>
        </w:rPr>
        <w:t xml:space="preserve">rogramme supported other European Commission </w:t>
      </w:r>
      <w:r w:rsidR="00682412">
        <w:rPr>
          <w:rFonts w:ascii="Times New Roman" w:hAnsi="Times New Roman" w:cs="Times New Roman"/>
          <w:noProof/>
          <w:color w:val="000000" w:themeColor="text1"/>
          <w:sz w:val="24"/>
          <w:szCs w:val="24"/>
        </w:rPr>
        <w:t>DGs</w:t>
      </w:r>
      <w:r w:rsidR="00682412"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 xml:space="preserve">in </w:t>
      </w:r>
      <w:r w:rsidR="00682412">
        <w:rPr>
          <w:rFonts w:ascii="Times New Roman" w:hAnsi="Times New Roman" w:cs="Times New Roman"/>
          <w:noProof/>
          <w:color w:val="000000" w:themeColor="text1"/>
          <w:sz w:val="24"/>
          <w:szCs w:val="24"/>
        </w:rPr>
        <w:t>three areas of implemention</w:t>
      </w:r>
      <w:r w:rsidR="00DC05A1">
        <w:rPr>
          <w:rFonts w:ascii="Times New Roman" w:hAnsi="Times New Roman" w:cs="Times New Roman"/>
          <w:noProof/>
          <w:color w:val="000000" w:themeColor="text1"/>
          <w:sz w:val="24"/>
          <w:szCs w:val="24"/>
        </w:rPr>
        <w:t>.</w:t>
      </w:r>
      <w:r w:rsidR="00682412">
        <w:rPr>
          <w:rFonts w:ascii="Times New Roman" w:hAnsi="Times New Roman" w:cs="Times New Roman"/>
          <w:noProof/>
          <w:color w:val="000000" w:themeColor="text1"/>
          <w:sz w:val="24"/>
          <w:szCs w:val="24"/>
        </w:rPr>
        <w:t xml:space="preserve"> </w:t>
      </w:r>
      <w:r w:rsidR="00DC05A1">
        <w:rPr>
          <w:rFonts w:ascii="Times New Roman" w:hAnsi="Times New Roman" w:cs="Times New Roman"/>
          <w:noProof/>
          <w:color w:val="000000" w:themeColor="text1"/>
          <w:sz w:val="24"/>
          <w:szCs w:val="24"/>
        </w:rPr>
        <w:t xml:space="preserve">This supported </w:t>
      </w:r>
      <w:r w:rsidRPr="001E3C9B">
        <w:rPr>
          <w:rFonts w:ascii="Times New Roman" w:hAnsi="Times New Roman" w:cs="Times New Roman"/>
          <w:noProof/>
          <w:color w:val="000000" w:themeColor="text1"/>
          <w:sz w:val="24"/>
          <w:szCs w:val="24"/>
        </w:rPr>
        <w:t>the implementation of Council Directives on nuclear safety</w:t>
      </w:r>
      <w:r w:rsidR="00D94958" w:rsidRPr="001E3C9B">
        <w:rPr>
          <w:rFonts w:ascii="Times New Roman" w:hAnsi="Times New Roman" w:cs="Times New Roman"/>
          <w:noProof/>
          <w:color w:val="000000" w:themeColor="text1"/>
          <w:sz w:val="24"/>
          <w:szCs w:val="24"/>
          <w:vertAlign w:val="superscript"/>
        </w:rPr>
        <w:t>6</w:t>
      </w:r>
      <w:r w:rsidRPr="001E3C9B">
        <w:rPr>
          <w:rFonts w:ascii="Times New Roman" w:hAnsi="Times New Roman" w:cs="Times New Roman"/>
          <w:noProof/>
          <w:color w:val="000000" w:themeColor="text1"/>
          <w:sz w:val="24"/>
          <w:szCs w:val="24"/>
        </w:rPr>
        <w:t xml:space="preserve">, </w:t>
      </w:r>
      <w:r w:rsidR="00E5270C" w:rsidRPr="001E3C9B">
        <w:rPr>
          <w:rFonts w:ascii="Times New Roman" w:hAnsi="Times New Roman" w:cs="Times New Roman"/>
          <w:noProof/>
          <w:color w:val="000000" w:themeColor="text1"/>
          <w:sz w:val="24"/>
          <w:szCs w:val="24"/>
        </w:rPr>
        <w:t xml:space="preserve">spent fuel and </w:t>
      </w:r>
      <w:r w:rsidRPr="001E3C9B">
        <w:rPr>
          <w:rFonts w:ascii="Times New Roman" w:hAnsi="Times New Roman" w:cs="Times New Roman"/>
          <w:noProof/>
          <w:color w:val="000000" w:themeColor="text1"/>
          <w:sz w:val="24"/>
          <w:szCs w:val="24"/>
        </w:rPr>
        <w:t>radioactive</w:t>
      </w:r>
      <w:r w:rsidR="00E86DB0">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waste management</w:t>
      </w:r>
      <w:r w:rsidR="00D94958">
        <w:rPr>
          <w:rFonts w:ascii="Times New Roman" w:hAnsi="Times New Roman" w:cs="Times New Roman"/>
          <w:noProof/>
          <w:color w:val="000000" w:themeColor="text1"/>
          <w:sz w:val="24"/>
          <w:szCs w:val="24"/>
          <w:vertAlign w:val="superscript"/>
        </w:rPr>
        <w:t>7</w:t>
      </w:r>
      <w:r w:rsidR="00E5270C" w:rsidRPr="001E3C9B">
        <w:rPr>
          <w:rFonts w:ascii="Times New Roman" w:hAnsi="Times New Roman" w:cs="Times New Roman"/>
          <w:noProof/>
          <w:color w:val="000000" w:themeColor="text1"/>
          <w:sz w:val="24"/>
          <w:szCs w:val="24"/>
        </w:rPr>
        <w:t>, shipment</w:t>
      </w:r>
      <w:r w:rsidR="002C660B">
        <w:rPr>
          <w:rFonts w:ascii="Times New Roman" w:hAnsi="Times New Roman" w:cs="Times New Roman"/>
          <w:noProof/>
          <w:color w:val="000000" w:themeColor="text1"/>
          <w:sz w:val="24"/>
          <w:szCs w:val="24"/>
        </w:rPr>
        <w:t>s</w:t>
      </w:r>
      <w:r w:rsidR="00E5270C" w:rsidRPr="001E3C9B">
        <w:rPr>
          <w:rFonts w:ascii="Times New Roman" w:hAnsi="Times New Roman" w:cs="Times New Roman"/>
          <w:noProof/>
          <w:color w:val="000000" w:themeColor="text1"/>
          <w:sz w:val="24"/>
          <w:szCs w:val="24"/>
        </w:rPr>
        <w:t xml:space="preserve"> of radioactive waste and spent fuel</w:t>
      </w:r>
      <w:r w:rsidR="00E5270C" w:rsidRPr="001E3C9B">
        <w:rPr>
          <w:rStyle w:val="FootnoteReference"/>
          <w:rFonts w:ascii="Times New Roman" w:hAnsi="Times New Roman" w:cs="Times New Roman"/>
          <w:noProof/>
          <w:color w:val="000000" w:themeColor="text1"/>
          <w:sz w:val="24"/>
          <w:szCs w:val="24"/>
        </w:rPr>
        <w:footnoteReference w:id="7"/>
      </w:r>
      <w:r w:rsidR="00E5270C" w:rsidRPr="001E3C9B">
        <w:rPr>
          <w:rFonts w:ascii="Times New Roman" w:hAnsi="Times New Roman" w:cs="Times New Roman"/>
          <w:noProof/>
          <w:color w:val="000000" w:themeColor="text1"/>
          <w:sz w:val="24"/>
          <w:szCs w:val="24"/>
        </w:rPr>
        <w:t>, and basic safety standards</w:t>
      </w:r>
      <w:r w:rsidR="00D94958">
        <w:rPr>
          <w:rFonts w:ascii="Times New Roman" w:hAnsi="Times New Roman" w:cs="Times New Roman"/>
          <w:noProof/>
          <w:color w:val="000000" w:themeColor="text1"/>
          <w:sz w:val="24"/>
          <w:szCs w:val="24"/>
          <w:vertAlign w:val="superscript"/>
        </w:rPr>
        <w:t>8</w:t>
      </w:r>
      <w:r w:rsidR="00DC05A1">
        <w:rPr>
          <w:rFonts w:ascii="Times New Roman" w:hAnsi="Times New Roman" w:cs="Times New Roman"/>
          <w:noProof/>
          <w:color w:val="000000" w:themeColor="text1"/>
          <w:sz w:val="24"/>
          <w:szCs w:val="24"/>
        </w:rPr>
        <w:t>. JRC’s technical and scientific expertise also contributed to</w:t>
      </w:r>
      <w:r w:rsidR="00682412">
        <w:rPr>
          <w:rFonts w:ascii="Times New Roman" w:hAnsi="Times New Roman" w:cs="Times New Roman"/>
          <w:noProof/>
          <w:color w:val="000000" w:themeColor="text1"/>
          <w:sz w:val="24"/>
          <w:szCs w:val="24"/>
        </w:rPr>
        <w:t xml:space="preserve"> </w:t>
      </w:r>
      <w:r w:rsidR="00E5270C" w:rsidRPr="001E3C9B">
        <w:rPr>
          <w:rFonts w:ascii="Times New Roman" w:hAnsi="Times New Roman" w:cs="Times New Roman"/>
          <w:noProof/>
          <w:color w:val="000000" w:themeColor="text1"/>
          <w:sz w:val="24"/>
          <w:szCs w:val="24"/>
        </w:rPr>
        <w:t>the implementation of the Instrument for Nuclear Safety Cooperation</w:t>
      </w:r>
      <w:r w:rsidR="00E5270C" w:rsidRPr="001E3C9B">
        <w:rPr>
          <w:rStyle w:val="FootnoteReference"/>
          <w:rFonts w:ascii="Times New Roman" w:hAnsi="Times New Roman" w:cs="Times New Roman"/>
          <w:noProof/>
          <w:color w:val="000000" w:themeColor="text1"/>
          <w:sz w:val="24"/>
          <w:szCs w:val="24"/>
        </w:rPr>
        <w:footnoteReference w:id="8"/>
      </w:r>
      <w:r w:rsidRPr="001E3C9B">
        <w:rPr>
          <w:rFonts w:ascii="Times New Roman" w:hAnsi="Times New Roman" w:cs="Times New Roman"/>
          <w:noProof/>
          <w:color w:val="000000" w:themeColor="text1"/>
          <w:sz w:val="24"/>
          <w:szCs w:val="24"/>
        </w:rPr>
        <w:t xml:space="preserve"> and </w:t>
      </w:r>
      <w:r w:rsidR="00DC05A1">
        <w:rPr>
          <w:rFonts w:ascii="Times New Roman" w:hAnsi="Times New Roman" w:cs="Times New Roman"/>
          <w:noProof/>
          <w:color w:val="000000" w:themeColor="text1"/>
          <w:sz w:val="24"/>
          <w:szCs w:val="24"/>
        </w:rPr>
        <w:t>addressed</w:t>
      </w:r>
      <w:r w:rsidR="00E5270C" w:rsidRPr="001E3C9B">
        <w:rPr>
          <w:rFonts w:ascii="Times New Roman" w:hAnsi="Times New Roman" w:cs="Times New Roman"/>
          <w:noProof/>
          <w:color w:val="000000" w:themeColor="text1"/>
          <w:sz w:val="24"/>
          <w:szCs w:val="24"/>
        </w:rPr>
        <w:t xml:space="preserve"> nuclear and radiological aspects of the Instrument contributing to Stability and Peace</w:t>
      </w:r>
      <w:r w:rsidR="00E5270C" w:rsidRPr="001E3C9B">
        <w:rPr>
          <w:rStyle w:val="FootnoteReference"/>
          <w:rFonts w:ascii="Times New Roman" w:hAnsi="Times New Roman" w:cs="Times New Roman"/>
          <w:noProof/>
          <w:color w:val="000000" w:themeColor="text1"/>
          <w:sz w:val="24"/>
          <w:szCs w:val="24"/>
        </w:rPr>
        <w:footnoteReference w:id="9"/>
      </w:r>
      <w:r w:rsidRPr="001E3C9B">
        <w:rPr>
          <w:rFonts w:ascii="Times New Roman" w:hAnsi="Times New Roman" w:cs="Times New Roman"/>
          <w:noProof/>
          <w:color w:val="000000" w:themeColor="text1"/>
          <w:sz w:val="24"/>
          <w:szCs w:val="24"/>
        </w:rPr>
        <w:t xml:space="preserve">.  </w:t>
      </w:r>
    </w:p>
    <w:p w14:paraId="4879FAC5" w14:textId="0FD17AFF" w:rsidR="00D86CC5" w:rsidRPr="001E3C9B" w:rsidRDefault="00682412" w:rsidP="001B42ED">
      <w:pP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w:t>
      </w:r>
      <w:r w:rsidR="00D86CC5" w:rsidRPr="00961123">
        <w:rPr>
          <w:rFonts w:ascii="Times New Roman" w:hAnsi="Times New Roman" w:cs="Times New Roman"/>
          <w:noProof/>
          <w:color w:val="000000" w:themeColor="text1"/>
          <w:sz w:val="24"/>
          <w:szCs w:val="24"/>
        </w:rPr>
        <w:t xml:space="preserve">o </w:t>
      </w:r>
      <w:r w:rsidR="00E86DB0">
        <w:rPr>
          <w:rFonts w:ascii="Times New Roman" w:hAnsi="Times New Roman" w:cs="Times New Roman"/>
          <w:noProof/>
          <w:color w:val="000000" w:themeColor="text1"/>
          <w:sz w:val="24"/>
          <w:szCs w:val="24"/>
        </w:rPr>
        <w:t>fulfil</w:t>
      </w:r>
      <w:r w:rsidR="00D86CC5" w:rsidRPr="00961123">
        <w:rPr>
          <w:rFonts w:ascii="Times New Roman" w:hAnsi="Times New Roman" w:cs="Times New Roman"/>
          <w:noProof/>
          <w:color w:val="000000" w:themeColor="text1"/>
          <w:sz w:val="24"/>
          <w:szCs w:val="24"/>
        </w:rPr>
        <w:t xml:space="preserve"> the objectives laid out in the </w:t>
      </w:r>
      <w:r w:rsidR="00D86CC5" w:rsidRPr="00961123">
        <w:rPr>
          <w:rFonts w:ascii="Times New Roman" w:hAnsi="Times New Roman" w:cs="Times New Roman"/>
          <w:noProof/>
          <w:color w:val="000000" w:themeColor="text1"/>
          <w:sz w:val="24"/>
          <w:szCs w:val="24"/>
          <w:lang w:val="mt-MT"/>
        </w:rPr>
        <w:t>P</w:t>
      </w:r>
      <w:r w:rsidR="00D86CC5" w:rsidRPr="00961123">
        <w:rPr>
          <w:rFonts w:ascii="Times New Roman" w:hAnsi="Times New Roman" w:cs="Times New Roman"/>
          <w:noProof/>
          <w:color w:val="000000" w:themeColor="text1"/>
          <w:sz w:val="24"/>
          <w:szCs w:val="24"/>
        </w:rPr>
        <w:t xml:space="preserve">rogramme, the JRC participates in the appropriate </w:t>
      </w:r>
      <w:r w:rsidR="00D86CC5" w:rsidRPr="001E3C9B">
        <w:rPr>
          <w:rFonts w:ascii="Times New Roman" w:hAnsi="Times New Roman" w:cs="Times New Roman"/>
          <w:noProof/>
          <w:color w:val="000000" w:themeColor="text1"/>
          <w:sz w:val="24"/>
          <w:szCs w:val="24"/>
        </w:rPr>
        <w:t>fora, networks and technological platforms such as</w:t>
      </w:r>
      <w:r>
        <w:rPr>
          <w:rFonts w:ascii="Times New Roman" w:hAnsi="Times New Roman" w:cs="Times New Roman"/>
          <w:noProof/>
          <w:color w:val="000000" w:themeColor="text1"/>
          <w:sz w:val="24"/>
          <w:szCs w:val="24"/>
        </w:rPr>
        <w:t>: (i)</w:t>
      </w:r>
      <w:r w:rsidR="00D86CC5" w:rsidRPr="001E3C9B">
        <w:rPr>
          <w:rFonts w:ascii="Times New Roman" w:hAnsi="Times New Roman" w:cs="Times New Roman"/>
          <w:noProof/>
          <w:color w:val="000000" w:themeColor="text1"/>
          <w:sz w:val="24"/>
          <w:szCs w:val="24"/>
        </w:rPr>
        <w:t xml:space="preserve"> SNE-TP (Sustainable </w:t>
      </w:r>
      <w:r w:rsidR="00D94958">
        <w:rPr>
          <w:rFonts w:ascii="Times New Roman" w:hAnsi="Times New Roman" w:cs="Times New Roman"/>
          <w:noProof/>
          <w:color w:val="000000" w:themeColor="text1"/>
          <w:sz w:val="24"/>
          <w:szCs w:val="24"/>
        </w:rPr>
        <w:t>N</w:t>
      </w:r>
      <w:r w:rsidR="00D86CC5" w:rsidRPr="001E3C9B">
        <w:rPr>
          <w:rFonts w:ascii="Times New Roman" w:hAnsi="Times New Roman" w:cs="Times New Roman"/>
          <w:noProof/>
          <w:color w:val="000000" w:themeColor="text1"/>
          <w:sz w:val="24"/>
          <w:szCs w:val="24"/>
        </w:rPr>
        <w:t xml:space="preserve">uclear </w:t>
      </w:r>
      <w:r w:rsidR="00D94958">
        <w:rPr>
          <w:rFonts w:ascii="Times New Roman" w:hAnsi="Times New Roman" w:cs="Times New Roman"/>
          <w:noProof/>
          <w:color w:val="000000" w:themeColor="text1"/>
          <w:sz w:val="24"/>
          <w:szCs w:val="24"/>
        </w:rPr>
        <w:t>E</w:t>
      </w:r>
      <w:r w:rsidR="00D86CC5" w:rsidRPr="001E3C9B">
        <w:rPr>
          <w:rFonts w:ascii="Times New Roman" w:hAnsi="Times New Roman" w:cs="Times New Roman"/>
          <w:noProof/>
          <w:color w:val="000000" w:themeColor="text1"/>
          <w:sz w:val="24"/>
          <w:szCs w:val="24"/>
        </w:rPr>
        <w:t>nergy Technolo</w:t>
      </w:r>
      <w:r w:rsidR="001408D3">
        <w:rPr>
          <w:rFonts w:ascii="Times New Roman" w:hAnsi="Times New Roman" w:cs="Times New Roman"/>
          <w:noProof/>
          <w:color w:val="000000" w:themeColor="text1"/>
          <w:sz w:val="24"/>
          <w:szCs w:val="24"/>
        </w:rPr>
        <w:t>gy</w:t>
      </w:r>
      <w:r w:rsidR="00D86CC5" w:rsidRPr="001E3C9B">
        <w:rPr>
          <w:rFonts w:ascii="Times New Roman" w:hAnsi="Times New Roman" w:cs="Times New Roman"/>
          <w:noProof/>
          <w:color w:val="000000" w:themeColor="text1"/>
          <w:sz w:val="24"/>
          <w:szCs w:val="24"/>
        </w:rPr>
        <w:t xml:space="preserve"> Platform)</w:t>
      </w:r>
      <w:r>
        <w:rPr>
          <w:rFonts w:ascii="Times New Roman" w:hAnsi="Times New Roman" w:cs="Times New Roman"/>
          <w:noProof/>
          <w:color w:val="000000" w:themeColor="text1"/>
          <w:sz w:val="24"/>
          <w:szCs w:val="24"/>
        </w:rPr>
        <w:t>; (ii)</w:t>
      </w:r>
      <w:r w:rsidR="00D86CC5" w:rsidRPr="001E3C9B">
        <w:rPr>
          <w:rFonts w:ascii="Times New Roman" w:hAnsi="Times New Roman" w:cs="Times New Roman"/>
          <w:noProof/>
          <w:color w:val="000000" w:themeColor="text1"/>
          <w:sz w:val="24"/>
          <w:szCs w:val="24"/>
        </w:rPr>
        <w:t xml:space="preserve"> IGD-TP (Implementing Geological Disposal </w:t>
      </w:r>
      <w:r w:rsidR="00D94958">
        <w:rPr>
          <w:rFonts w:ascii="Times New Roman" w:hAnsi="Times New Roman" w:cs="Times New Roman"/>
          <w:noProof/>
          <w:color w:val="000000" w:themeColor="text1"/>
          <w:sz w:val="24"/>
          <w:szCs w:val="24"/>
        </w:rPr>
        <w:t xml:space="preserve">for </w:t>
      </w:r>
      <w:r w:rsidR="00D86CC5" w:rsidRPr="001E3C9B">
        <w:rPr>
          <w:rFonts w:ascii="Times New Roman" w:hAnsi="Times New Roman" w:cs="Times New Roman"/>
          <w:noProof/>
          <w:color w:val="000000" w:themeColor="text1"/>
          <w:sz w:val="24"/>
          <w:szCs w:val="24"/>
        </w:rPr>
        <w:t>radioactive waste Technolo</w:t>
      </w:r>
      <w:r w:rsidR="00D94958">
        <w:rPr>
          <w:rFonts w:ascii="Times New Roman" w:hAnsi="Times New Roman" w:cs="Times New Roman"/>
          <w:noProof/>
          <w:color w:val="000000" w:themeColor="text1"/>
          <w:sz w:val="24"/>
          <w:szCs w:val="24"/>
        </w:rPr>
        <w:t>gy</w:t>
      </w:r>
      <w:r w:rsidR="00D86CC5" w:rsidRPr="001E3C9B">
        <w:rPr>
          <w:rFonts w:ascii="Times New Roman" w:hAnsi="Times New Roman" w:cs="Times New Roman"/>
          <w:noProof/>
          <w:color w:val="000000" w:themeColor="text1"/>
          <w:sz w:val="24"/>
          <w:szCs w:val="24"/>
        </w:rPr>
        <w:t xml:space="preserve"> Platform)</w:t>
      </w:r>
      <w:r>
        <w:rPr>
          <w:rFonts w:ascii="Times New Roman" w:hAnsi="Times New Roman" w:cs="Times New Roman"/>
          <w:noProof/>
          <w:color w:val="000000" w:themeColor="text1"/>
          <w:sz w:val="24"/>
          <w:szCs w:val="24"/>
        </w:rPr>
        <w:t>; (iii)</w:t>
      </w:r>
      <w:r w:rsidR="00D86CC5" w:rsidRPr="001E3C9B">
        <w:rPr>
          <w:rFonts w:ascii="Times New Roman" w:hAnsi="Times New Roman" w:cs="Times New Roman"/>
          <w:noProof/>
          <w:color w:val="000000" w:themeColor="text1"/>
          <w:sz w:val="24"/>
          <w:szCs w:val="24"/>
        </w:rPr>
        <w:t xml:space="preserve"> the EERA </w:t>
      </w:r>
      <w:r w:rsidR="00D94958">
        <w:rPr>
          <w:rFonts w:ascii="Times New Roman" w:hAnsi="Times New Roman" w:cs="Times New Roman"/>
          <w:noProof/>
          <w:color w:val="000000" w:themeColor="text1"/>
          <w:sz w:val="24"/>
          <w:szCs w:val="24"/>
        </w:rPr>
        <w:t>(</w:t>
      </w:r>
      <w:r w:rsidR="00D94958" w:rsidRPr="00D94958">
        <w:rPr>
          <w:rFonts w:ascii="Times New Roman" w:hAnsi="Times New Roman" w:cs="Times New Roman"/>
          <w:noProof/>
          <w:color w:val="000000" w:themeColor="text1"/>
          <w:sz w:val="24"/>
          <w:szCs w:val="24"/>
        </w:rPr>
        <w:t>European Energy Research Alliance</w:t>
      </w:r>
      <w:r w:rsidR="00D94958">
        <w:rPr>
          <w:rFonts w:ascii="Times New Roman" w:hAnsi="Times New Roman" w:cs="Times New Roman"/>
          <w:noProof/>
          <w:color w:val="000000" w:themeColor="text1"/>
          <w:sz w:val="24"/>
          <w:szCs w:val="24"/>
        </w:rPr>
        <w:t xml:space="preserve">) </w:t>
      </w:r>
      <w:r w:rsidR="00647D08">
        <w:rPr>
          <w:rFonts w:ascii="Times New Roman" w:hAnsi="Times New Roman" w:cs="Times New Roman"/>
          <w:noProof/>
          <w:color w:val="000000" w:themeColor="text1"/>
          <w:sz w:val="24"/>
          <w:szCs w:val="24"/>
        </w:rPr>
        <w:t>j</w:t>
      </w:r>
      <w:r w:rsidR="00D86CC5" w:rsidRPr="001E3C9B">
        <w:rPr>
          <w:rFonts w:ascii="Times New Roman" w:hAnsi="Times New Roman" w:cs="Times New Roman"/>
          <w:noProof/>
          <w:color w:val="000000" w:themeColor="text1"/>
          <w:sz w:val="24"/>
          <w:szCs w:val="24"/>
        </w:rPr>
        <w:t xml:space="preserve">oint </w:t>
      </w:r>
      <w:r w:rsidR="00647D08">
        <w:rPr>
          <w:rFonts w:ascii="Times New Roman" w:hAnsi="Times New Roman" w:cs="Times New Roman"/>
          <w:noProof/>
          <w:color w:val="000000" w:themeColor="text1"/>
          <w:sz w:val="24"/>
          <w:szCs w:val="24"/>
        </w:rPr>
        <w:t>p</w:t>
      </w:r>
      <w:r w:rsidR="00D86CC5" w:rsidRPr="001E3C9B">
        <w:rPr>
          <w:rFonts w:ascii="Times New Roman" w:hAnsi="Times New Roman" w:cs="Times New Roman"/>
          <w:noProof/>
          <w:color w:val="000000" w:themeColor="text1"/>
          <w:sz w:val="24"/>
          <w:szCs w:val="24"/>
        </w:rPr>
        <w:t xml:space="preserve">rogramme on </w:t>
      </w:r>
      <w:r w:rsidR="002C660B">
        <w:rPr>
          <w:rFonts w:ascii="Times New Roman" w:hAnsi="Times New Roman" w:cs="Times New Roman"/>
          <w:noProof/>
          <w:color w:val="000000" w:themeColor="text1"/>
          <w:sz w:val="24"/>
          <w:szCs w:val="24"/>
        </w:rPr>
        <w:t>n</w:t>
      </w:r>
      <w:r w:rsidR="00D86CC5" w:rsidRPr="001E3C9B">
        <w:rPr>
          <w:rFonts w:ascii="Times New Roman" w:hAnsi="Times New Roman" w:cs="Times New Roman"/>
          <w:noProof/>
          <w:color w:val="000000" w:themeColor="text1"/>
          <w:sz w:val="24"/>
          <w:szCs w:val="24"/>
        </w:rPr>
        <w:t xml:space="preserve">uclear </w:t>
      </w:r>
      <w:r w:rsidR="002C660B">
        <w:rPr>
          <w:rFonts w:ascii="Times New Roman" w:hAnsi="Times New Roman" w:cs="Times New Roman"/>
          <w:noProof/>
          <w:color w:val="000000" w:themeColor="text1"/>
          <w:sz w:val="24"/>
          <w:szCs w:val="24"/>
        </w:rPr>
        <w:t>m</w:t>
      </w:r>
      <w:r w:rsidR="00D86CC5" w:rsidRPr="001E3C9B">
        <w:rPr>
          <w:rFonts w:ascii="Times New Roman" w:hAnsi="Times New Roman" w:cs="Times New Roman"/>
          <w:noProof/>
          <w:color w:val="000000" w:themeColor="text1"/>
          <w:sz w:val="24"/>
          <w:szCs w:val="24"/>
        </w:rPr>
        <w:t>aterials</w:t>
      </w:r>
      <w:r>
        <w:rPr>
          <w:rFonts w:ascii="Times New Roman" w:hAnsi="Times New Roman" w:cs="Times New Roman"/>
          <w:noProof/>
          <w:color w:val="000000" w:themeColor="text1"/>
          <w:sz w:val="24"/>
          <w:szCs w:val="24"/>
        </w:rPr>
        <w:t>; and (iv)</w:t>
      </w:r>
      <w:r w:rsidR="00D86CC5" w:rsidRPr="001E3C9B">
        <w:rPr>
          <w:rFonts w:ascii="Times New Roman" w:hAnsi="Times New Roman" w:cs="Times New Roman"/>
          <w:noProof/>
          <w:color w:val="000000" w:themeColor="text1"/>
          <w:sz w:val="24"/>
          <w:szCs w:val="24"/>
        </w:rPr>
        <w:t xml:space="preserve"> the European Nuclear Education Network</w:t>
      </w:r>
      <w:r w:rsidR="00D86CC5" w:rsidRPr="00E925B1">
        <w:rPr>
          <w:rFonts w:ascii="Times New Roman" w:hAnsi="Times New Roman" w:cs="Times New Roman"/>
          <w:noProof/>
          <w:color w:val="000000" w:themeColor="text1"/>
          <w:sz w:val="24"/>
          <w:szCs w:val="24"/>
        </w:rPr>
        <w:t xml:space="preserve"> </w:t>
      </w:r>
      <w:r w:rsidR="00D94958" w:rsidRPr="00641A47">
        <w:rPr>
          <w:rFonts w:ascii="Times New Roman" w:hAnsi="Times New Roman" w:cs="Times New Roman"/>
          <w:noProof/>
          <w:color w:val="000000" w:themeColor="text1"/>
          <w:sz w:val="24"/>
          <w:szCs w:val="24"/>
        </w:rPr>
        <w:t>Association</w:t>
      </w:r>
      <w:r w:rsidR="00D94958">
        <w:rPr>
          <w:rFonts w:ascii="Times New Roman" w:hAnsi="Times New Roman" w:cs="Times New Roman"/>
          <w:noProof/>
          <w:color w:val="000000" w:themeColor="text1"/>
          <w:sz w:val="24"/>
          <w:szCs w:val="24"/>
        </w:rPr>
        <w:t>.</w:t>
      </w:r>
      <w:r w:rsidR="00D94958" w:rsidRPr="00641A47">
        <w:rPr>
          <w:rFonts w:ascii="Times New Roman" w:hAnsi="Times New Roman" w:cs="Times New Roman"/>
          <w:noProof/>
          <w:color w:val="000000" w:themeColor="text1"/>
          <w:sz w:val="24"/>
          <w:szCs w:val="24"/>
        </w:rPr>
        <w:t xml:space="preserve"> </w:t>
      </w:r>
      <w:r w:rsidR="00D94958">
        <w:rPr>
          <w:rFonts w:ascii="Times New Roman" w:hAnsi="Times New Roman" w:cs="Times New Roman"/>
          <w:noProof/>
          <w:color w:val="000000" w:themeColor="text1"/>
          <w:sz w:val="24"/>
          <w:szCs w:val="24"/>
        </w:rPr>
        <w:t>The JRC</w:t>
      </w:r>
      <w:r w:rsidR="00D86CC5" w:rsidRPr="001E3C9B">
        <w:rPr>
          <w:rFonts w:ascii="Times New Roman" w:hAnsi="Times New Roman" w:cs="Times New Roman"/>
          <w:noProof/>
          <w:color w:val="000000" w:themeColor="text1"/>
          <w:sz w:val="24"/>
          <w:szCs w:val="24"/>
        </w:rPr>
        <w:t xml:space="preserve"> has also </w:t>
      </w:r>
      <w:r w:rsidR="00D94958">
        <w:rPr>
          <w:rFonts w:ascii="Times New Roman" w:hAnsi="Times New Roman" w:cs="Times New Roman"/>
          <w:noProof/>
          <w:color w:val="000000" w:themeColor="text1"/>
          <w:sz w:val="24"/>
          <w:szCs w:val="24"/>
        </w:rPr>
        <w:t>concluded collaboration instruments</w:t>
      </w:r>
      <w:r w:rsidR="00D86CC5" w:rsidRPr="001E3C9B">
        <w:rPr>
          <w:rFonts w:ascii="Times New Roman" w:hAnsi="Times New Roman" w:cs="Times New Roman"/>
          <w:noProof/>
          <w:color w:val="000000" w:themeColor="text1"/>
          <w:sz w:val="24"/>
          <w:szCs w:val="24"/>
        </w:rPr>
        <w:t xml:space="preserve"> with </w:t>
      </w:r>
      <w:r w:rsidR="000072C9">
        <w:rPr>
          <w:rFonts w:ascii="Times New Roman" w:hAnsi="Times New Roman" w:cs="Times New Roman"/>
          <w:noProof/>
          <w:color w:val="000000" w:themeColor="text1"/>
          <w:sz w:val="24"/>
          <w:szCs w:val="24"/>
        </w:rPr>
        <w:t xml:space="preserve">a variety of partners, including: (i) </w:t>
      </w:r>
      <w:r w:rsidR="00D86CC5" w:rsidRPr="001E3C9B">
        <w:rPr>
          <w:rFonts w:ascii="Times New Roman" w:hAnsi="Times New Roman" w:cs="Times New Roman"/>
          <w:noProof/>
          <w:color w:val="000000" w:themeColor="text1"/>
          <w:sz w:val="24"/>
          <w:szCs w:val="24"/>
        </w:rPr>
        <w:t xml:space="preserve">key stakeholders from EU </w:t>
      </w:r>
      <w:r>
        <w:rPr>
          <w:rFonts w:ascii="Times New Roman" w:hAnsi="Times New Roman" w:cs="Times New Roman"/>
          <w:noProof/>
          <w:color w:val="000000" w:themeColor="text1"/>
          <w:sz w:val="24"/>
          <w:szCs w:val="24"/>
        </w:rPr>
        <w:t>r</w:t>
      </w:r>
      <w:r w:rsidR="00D86CC5" w:rsidRPr="001E3C9B">
        <w:rPr>
          <w:rFonts w:ascii="Times New Roman" w:hAnsi="Times New Roman" w:cs="Times New Roman"/>
          <w:noProof/>
          <w:color w:val="000000" w:themeColor="text1"/>
          <w:sz w:val="24"/>
          <w:szCs w:val="24"/>
        </w:rPr>
        <w:t xml:space="preserve">esearch </w:t>
      </w:r>
      <w:r w:rsidR="00836E28">
        <w:rPr>
          <w:rFonts w:ascii="Times New Roman" w:hAnsi="Times New Roman" w:cs="Times New Roman"/>
          <w:noProof/>
          <w:color w:val="000000" w:themeColor="text1"/>
          <w:sz w:val="24"/>
          <w:szCs w:val="24"/>
        </w:rPr>
        <w:t>i</w:t>
      </w:r>
      <w:r w:rsidR="00D86CC5" w:rsidRPr="001E3C9B">
        <w:rPr>
          <w:rFonts w:ascii="Times New Roman" w:hAnsi="Times New Roman" w:cs="Times New Roman"/>
          <w:noProof/>
          <w:color w:val="000000" w:themeColor="text1"/>
          <w:sz w:val="24"/>
          <w:szCs w:val="24"/>
        </w:rPr>
        <w:t>nstitutions</w:t>
      </w:r>
      <w:r w:rsidR="000072C9">
        <w:rPr>
          <w:rFonts w:ascii="Times New Roman" w:hAnsi="Times New Roman" w:cs="Times New Roman"/>
          <w:noProof/>
          <w:color w:val="000000" w:themeColor="text1"/>
          <w:sz w:val="24"/>
          <w:szCs w:val="24"/>
        </w:rPr>
        <w:t>; (ii)</w:t>
      </w:r>
      <w:r w:rsidR="00D86CC5" w:rsidRPr="001E3C9B">
        <w:rPr>
          <w:rFonts w:ascii="Times New Roman" w:hAnsi="Times New Roman" w:cs="Times New Roman"/>
          <w:noProof/>
          <w:color w:val="000000" w:themeColor="text1"/>
          <w:sz w:val="24"/>
          <w:szCs w:val="24"/>
        </w:rPr>
        <w:t xml:space="preserve"> international partners</w:t>
      </w:r>
      <w:r w:rsidR="000072C9">
        <w:rPr>
          <w:rFonts w:ascii="Times New Roman" w:hAnsi="Times New Roman" w:cs="Times New Roman"/>
          <w:noProof/>
          <w:color w:val="000000" w:themeColor="text1"/>
          <w:sz w:val="24"/>
          <w:szCs w:val="24"/>
        </w:rPr>
        <w:t xml:space="preserve"> (such as</w:t>
      </w:r>
      <w:r w:rsidR="00D86CC5" w:rsidRPr="001E3C9B">
        <w:rPr>
          <w:rFonts w:ascii="Times New Roman" w:hAnsi="Times New Roman" w:cs="Times New Roman"/>
          <w:noProof/>
          <w:color w:val="000000" w:themeColor="text1"/>
          <w:sz w:val="24"/>
          <w:szCs w:val="24"/>
        </w:rPr>
        <w:t>the I</w:t>
      </w:r>
      <w:r w:rsidR="00D94958">
        <w:rPr>
          <w:rFonts w:ascii="Times New Roman" w:hAnsi="Times New Roman" w:cs="Times New Roman"/>
          <w:noProof/>
          <w:color w:val="000000" w:themeColor="text1"/>
          <w:sz w:val="24"/>
          <w:szCs w:val="24"/>
        </w:rPr>
        <w:t xml:space="preserve">nternational </w:t>
      </w:r>
      <w:r w:rsidR="00D86CC5" w:rsidRPr="001E3C9B">
        <w:rPr>
          <w:rFonts w:ascii="Times New Roman" w:hAnsi="Times New Roman" w:cs="Times New Roman"/>
          <w:noProof/>
          <w:color w:val="000000" w:themeColor="text1"/>
          <w:sz w:val="24"/>
          <w:szCs w:val="24"/>
        </w:rPr>
        <w:t>A</w:t>
      </w:r>
      <w:r w:rsidR="00D94958">
        <w:rPr>
          <w:rFonts w:ascii="Times New Roman" w:hAnsi="Times New Roman" w:cs="Times New Roman"/>
          <w:noProof/>
          <w:color w:val="000000" w:themeColor="text1"/>
          <w:sz w:val="24"/>
          <w:szCs w:val="24"/>
        </w:rPr>
        <w:t xml:space="preserve">tomic </w:t>
      </w:r>
      <w:r w:rsidR="00D86CC5" w:rsidRPr="001E3C9B">
        <w:rPr>
          <w:rFonts w:ascii="Times New Roman" w:hAnsi="Times New Roman" w:cs="Times New Roman"/>
          <w:noProof/>
          <w:color w:val="000000" w:themeColor="text1"/>
          <w:sz w:val="24"/>
          <w:szCs w:val="24"/>
        </w:rPr>
        <w:t>E</w:t>
      </w:r>
      <w:r w:rsidR="00D94958">
        <w:rPr>
          <w:rFonts w:ascii="Times New Roman" w:hAnsi="Times New Roman" w:cs="Times New Roman"/>
          <w:noProof/>
          <w:color w:val="000000" w:themeColor="text1"/>
          <w:sz w:val="24"/>
          <w:szCs w:val="24"/>
        </w:rPr>
        <w:t xml:space="preserve">nergy </w:t>
      </w:r>
      <w:r w:rsidR="00D86CC5" w:rsidRPr="001E3C9B">
        <w:rPr>
          <w:rFonts w:ascii="Times New Roman" w:hAnsi="Times New Roman" w:cs="Times New Roman"/>
          <w:noProof/>
          <w:color w:val="000000" w:themeColor="text1"/>
          <w:sz w:val="24"/>
          <w:szCs w:val="24"/>
        </w:rPr>
        <w:t>A</w:t>
      </w:r>
      <w:r w:rsidR="00D94958">
        <w:rPr>
          <w:rFonts w:ascii="Times New Roman" w:hAnsi="Times New Roman" w:cs="Times New Roman"/>
          <w:noProof/>
          <w:color w:val="000000" w:themeColor="text1"/>
          <w:sz w:val="24"/>
          <w:szCs w:val="24"/>
        </w:rPr>
        <w:t>gency and</w:t>
      </w:r>
      <w:r w:rsidR="00D86CC5" w:rsidRPr="001E3C9B">
        <w:rPr>
          <w:rFonts w:ascii="Times New Roman" w:hAnsi="Times New Roman" w:cs="Times New Roman"/>
          <w:noProof/>
          <w:color w:val="000000" w:themeColor="text1"/>
          <w:sz w:val="24"/>
          <w:szCs w:val="24"/>
        </w:rPr>
        <w:t xml:space="preserve"> the OECD-N</w:t>
      </w:r>
      <w:r w:rsidR="00D94958">
        <w:rPr>
          <w:rFonts w:ascii="Times New Roman" w:hAnsi="Times New Roman" w:cs="Times New Roman"/>
          <w:noProof/>
          <w:color w:val="000000" w:themeColor="text1"/>
          <w:sz w:val="24"/>
          <w:szCs w:val="24"/>
        </w:rPr>
        <w:t xml:space="preserve">uclear </w:t>
      </w:r>
      <w:r w:rsidR="00D86CC5" w:rsidRPr="001E3C9B">
        <w:rPr>
          <w:rFonts w:ascii="Times New Roman" w:hAnsi="Times New Roman" w:cs="Times New Roman"/>
          <w:noProof/>
          <w:color w:val="000000" w:themeColor="text1"/>
          <w:sz w:val="24"/>
          <w:szCs w:val="24"/>
        </w:rPr>
        <w:t>E</w:t>
      </w:r>
      <w:r w:rsidR="00D94958">
        <w:rPr>
          <w:rFonts w:ascii="Times New Roman" w:hAnsi="Times New Roman" w:cs="Times New Roman"/>
          <w:noProof/>
          <w:color w:val="000000" w:themeColor="text1"/>
          <w:sz w:val="24"/>
          <w:szCs w:val="24"/>
        </w:rPr>
        <w:t xml:space="preserve">nergy </w:t>
      </w:r>
      <w:r w:rsidR="00D86CC5" w:rsidRPr="001E3C9B">
        <w:rPr>
          <w:rFonts w:ascii="Times New Roman" w:hAnsi="Times New Roman" w:cs="Times New Roman"/>
          <w:noProof/>
          <w:color w:val="000000" w:themeColor="text1"/>
          <w:sz w:val="24"/>
          <w:szCs w:val="24"/>
        </w:rPr>
        <w:t>A</w:t>
      </w:r>
      <w:r w:rsidR="00D94958">
        <w:rPr>
          <w:rFonts w:ascii="Times New Roman" w:hAnsi="Times New Roman" w:cs="Times New Roman"/>
          <w:noProof/>
          <w:color w:val="000000" w:themeColor="text1"/>
          <w:sz w:val="24"/>
          <w:szCs w:val="24"/>
        </w:rPr>
        <w:t>gency</w:t>
      </w:r>
      <w:r w:rsidR="000072C9">
        <w:rPr>
          <w:rFonts w:ascii="Times New Roman" w:hAnsi="Times New Roman" w:cs="Times New Roman"/>
          <w:noProof/>
          <w:color w:val="000000" w:themeColor="text1"/>
          <w:sz w:val="24"/>
          <w:szCs w:val="24"/>
        </w:rPr>
        <w:t>); and (iii)</w:t>
      </w:r>
      <w:r w:rsidR="00D86CC5" w:rsidRPr="001E3C9B">
        <w:rPr>
          <w:rFonts w:ascii="Times New Roman" w:hAnsi="Times New Roman" w:cs="Times New Roman"/>
          <w:noProof/>
          <w:color w:val="000000" w:themeColor="text1"/>
          <w:sz w:val="24"/>
          <w:szCs w:val="24"/>
        </w:rPr>
        <w:t xml:space="preserve"> </w:t>
      </w:r>
      <w:r w:rsidR="00D94958">
        <w:rPr>
          <w:rFonts w:ascii="Times New Roman" w:hAnsi="Times New Roman" w:cs="Times New Roman"/>
          <w:noProof/>
          <w:color w:val="000000" w:themeColor="text1"/>
          <w:sz w:val="24"/>
          <w:szCs w:val="24"/>
        </w:rPr>
        <w:t>institutions from</w:t>
      </w:r>
      <w:r w:rsidR="00D86CC5" w:rsidRPr="001E3C9B">
        <w:rPr>
          <w:rFonts w:ascii="Times New Roman" w:hAnsi="Times New Roman" w:cs="Times New Roman"/>
          <w:noProof/>
          <w:color w:val="000000" w:themeColor="text1"/>
          <w:sz w:val="24"/>
          <w:szCs w:val="24"/>
        </w:rPr>
        <w:t xml:space="preserve"> </w:t>
      </w:r>
      <w:r w:rsidR="004D4664">
        <w:rPr>
          <w:rFonts w:ascii="Times New Roman" w:hAnsi="Times New Roman" w:cs="Times New Roman"/>
          <w:noProof/>
          <w:color w:val="000000" w:themeColor="text1"/>
          <w:sz w:val="24"/>
          <w:szCs w:val="24"/>
        </w:rPr>
        <w:t>non-EU</w:t>
      </w:r>
      <w:r w:rsidR="004D4664" w:rsidRPr="001E3C9B">
        <w:rPr>
          <w:rFonts w:ascii="Times New Roman" w:hAnsi="Times New Roman" w:cs="Times New Roman"/>
          <w:noProof/>
          <w:color w:val="000000" w:themeColor="text1"/>
          <w:sz w:val="24"/>
          <w:szCs w:val="24"/>
        </w:rPr>
        <w:t xml:space="preserve"> </w:t>
      </w:r>
      <w:r w:rsidR="00D86CC5" w:rsidRPr="001E3C9B">
        <w:rPr>
          <w:rFonts w:ascii="Times New Roman" w:hAnsi="Times New Roman" w:cs="Times New Roman"/>
          <w:noProof/>
          <w:color w:val="000000" w:themeColor="text1"/>
          <w:sz w:val="24"/>
          <w:szCs w:val="24"/>
        </w:rPr>
        <w:t xml:space="preserve">countries </w:t>
      </w:r>
      <w:r w:rsidR="004F0371">
        <w:rPr>
          <w:rFonts w:ascii="Times New Roman" w:hAnsi="Times New Roman" w:cs="Times New Roman"/>
          <w:noProof/>
          <w:color w:val="000000" w:themeColor="text1"/>
          <w:sz w:val="24"/>
          <w:szCs w:val="24"/>
        </w:rPr>
        <w:t>like</w:t>
      </w:r>
      <w:r w:rsidR="00D86CC5" w:rsidRPr="001E3C9B">
        <w:rPr>
          <w:rFonts w:ascii="Times New Roman" w:hAnsi="Times New Roman" w:cs="Times New Roman"/>
          <w:noProof/>
          <w:color w:val="000000" w:themeColor="text1"/>
          <w:sz w:val="24"/>
          <w:szCs w:val="24"/>
        </w:rPr>
        <w:t xml:space="preserve"> the US D</w:t>
      </w:r>
      <w:r w:rsidR="00D94958">
        <w:rPr>
          <w:rFonts w:ascii="Times New Roman" w:hAnsi="Times New Roman" w:cs="Times New Roman"/>
          <w:noProof/>
          <w:color w:val="000000" w:themeColor="text1"/>
          <w:sz w:val="24"/>
          <w:szCs w:val="24"/>
        </w:rPr>
        <w:t xml:space="preserve">epartment of Energy </w:t>
      </w:r>
      <w:r w:rsidR="00D86CC5" w:rsidRPr="001E3C9B">
        <w:rPr>
          <w:rFonts w:ascii="Times New Roman" w:hAnsi="Times New Roman" w:cs="Times New Roman"/>
          <w:noProof/>
          <w:color w:val="000000" w:themeColor="text1"/>
          <w:sz w:val="24"/>
          <w:szCs w:val="24"/>
        </w:rPr>
        <w:t>or Japan</w:t>
      </w:r>
      <w:r w:rsidR="00D94958">
        <w:rPr>
          <w:rFonts w:ascii="Times New Roman" w:hAnsi="Times New Roman" w:cs="Times New Roman"/>
          <w:noProof/>
          <w:color w:val="000000" w:themeColor="text1"/>
          <w:sz w:val="24"/>
          <w:szCs w:val="24"/>
        </w:rPr>
        <w:t>’s Atomic Energy Agency</w:t>
      </w:r>
      <w:r w:rsidR="000072C9">
        <w:rPr>
          <w:rFonts w:ascii="Times New Roman" w:hAnsi="Times New Roman" w:cs="Times New Roman"/>
          <w:noProof/>
          <w:color w:val="000000" w:themeColor="text1"/>
          <w:sz w:val="24"/>
          <w:szCs w:val="24"/>
        </w:rPr>
        <w:t>. The goal of the collaboration instruments with these partners is</w:t>
      </w:r>
      <w:r w:rsidR="00D86CC5">
        <w:rPr>
          <w:rFonts w:ascii="Times New Roman" w:hAnsi="Times New Roman" w:cs="Times New Roman"/>
          <w:noProof/>
          <w:color w:val="000000" w:themeColor="text1"/>
          <w:sz w:val="24"/>
          <w:szCs w:val="24"/>
        </w:rPr>
        <w:t xml:space="preserve"> </w:t>
      </w:r>
      <w:r w:rsidR="00D86CC5" w:rsidRPr="00961123">
        <w:rPr>
          <w:rFonts w:ascii="Times New Roman" w:hAnsi="Times New Roman" w:cs="Times New Roman"/>
          <w:noProof/>
          <w:color w:val="000000" w:themeColor="text1"/>
          <w:sz w:val="24"/>
          <w:szCs w:val="24"/>
        </w:rPr>
        <w:t xml:space="preserve">to identify the critical areas of nuclear research where </w:t>
      </w:r>
      <w:r w:rsidR="000072C9">
        <w:rPr>
          <w:rFonts w:ascii="Times New Roman" w:hAnsi="Times New Roman" w:cs="Times New Roman"/>
          <w:noProof/>
          <w:color w:val="000000" w:themeColor="text1"/>
          <w:sz w:val="24"/>
          <w:szCs w:val="24"/>
        </w:rPr>
        <w:t xml:space="preserve">the </w:t>
      </w:r>
      <w:r w:rsidR="00D811D7">
        <w:rPr>
          <w:rFonts w:ascii="Times New Roman" w:hAnsi="Times New Roman" w:cs="Times New Roman"/>
          <w:noProof/>
          <w:color w:val="000000" w:themeColor="text1"/>
          <w:sz w:val="24"/>
          <w:szCs w:val="24"/>
        </w:rPr>
        <w:t>JRC’s nuclear</w:t>
      </w:r>
      <w:r w:rsidR="00D86CC5" w:rsidRPr="00961123">
        <w:rPr>
          <w:rFonts w:ascii="Times New Roman" w:hAnsi="Times New Roman" w:cs="Times New Roman"/>
          <w:noProof/>
          <w:color w:val="000000" w:themeColor="text1"/>
          <w:sz w:val="24"/>
          <w:szCs w:val="24"/>
        </w:rPr>
        <w:t xml:space="preserve"> activities are most relevant</w:t>
      </w:r>
      <w:r w:rsidR="00D86CC5">
        <w:rPr>
          <w:rFonts w:ascii="Times New Roman" w:hAnsi="Times New Roman" w:cs="Times New Roman"/>
          <w:noProof/>
          <w:color w:val="000000" w:themeColor="text1"/>
          <w:sz w:val="24"/>
          <w:szCs w:val="24"/>
        </w:rPr>
        <w:t xml:space="preserve"> </w:t>
      </w:r>
      <w:r w:rsidR="00D86CC5" w:rsidRPr="001E3C9B">
        <w:rPr>
          <w:rFonts w:ascii="Times New Roman" w:hAnsi="Times New Roman" w:cs="Times New Roman"/>
          <w:noProof/>
          <w:color w:val="000000" w:themeColor="text1"/>
          <w:sz w:val="24"/>
          <w:szCs w:val="24"/>
        </w:rPr>
        <w:t xml:space="preserve">and present a critical interest for the Euratom Community. </w:t>
      </w:r>
    </w:p>
    <w:p w14:paraId="573810D7" w14:textId="77777777" w:rsidR="00454AFA" w:rsidRDefault="00454AFA" w:rsidP="000E0447">
      <w:pPr>
        <w:spacing w:after="120"/>
        <w:jc w:val="both"/>
        <w:rPr>
          <w:rFonts w:ascii="Times New Roman" w:hAnsi="Times New Roman" w:cs="Times New Roman"/>
          <w:noProof/>
          <w:color w:val="000000" w:themeColor="text1"/>
        </w:rPr>
      </w:pPr>
    </w:p>
    <w:p w14:paraId="6865270A" w14:textId="0BD72C76" w:rsidR="00A433F8" w:rsidRPr="001E3C9B" w:rsidRDefault="00802D92">
      <w:pPr>
        <w:pStyle w:val="Heading2"/>
        <w:spacing w:before="0" w:after="120"/>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Programme effectiveness</w:t>
      </w:r>
    </w:p>
    <w:p w14:paraId="36561E88" w14:textId="22C302A0" w:rsidR="00FE1F21" w:rsidRDefault="00F829C2">
      <w:pPr>
        <w:spacing w:after="120"/>
        <w:jc w:val="both"/>
        <w:rPr>
          <w:rFonts w:ascii="Times New Roman" w:hAnsi="Times New Roman" w:cs="Times New Roman"/>
          <w:noProof/>
          <w:color w:val="000000" w:themeColor="text1"/>
          <w:sz w:val="24"/>
          <w:szCs w:val="24"/>
          <w:highlight w:val="yellow"/>
        </w:rPr>
      </w:pPr>
      <w:r w:rsidRPr="001E3C9B">
        <w:rPr>
          <w:rFonts w:ascii="Times New Roman" w:hAnsi="Times New Roman" w:cs="Times New Roman"/>
          <w:noProof/>
          <w:color w:val="000000" w:themeColor="text1"/>
          <w:sz w:val="24"/>
          <w:szCs w:val="24"/>
        </w:rPr>
        <w:t xml:space="preserve">Evidence from completed and ongoing actions indicates </w:t>
      </w:r>
      <w:r w:rsidR="000072C9">
        <w:rPr>
          <w:rFonts w:ascii="Times New Roman" w:hAnsi="Times New Roman" w:cs="Times New Roman"/>
          <w:noProof/>
          <w:color w:val="000000" w:themeColor="text1"/>
          <w:sz w:val="24"/>
          <w:szCs w:val="24"/>
        </w:rPr>
        <w:t xml:space="preserve">that </w:t>
      </w:r>
      <w:r w:rsidR="000072C9" w:rsidRPr="00E27105">
        <w:rPr>
          <w:rFonts w:ascii="Times New Roman" w:hAnsi="Times New Roman" w:cs="Times New Roman"/>
          <w:noProof/>
          <w:color w:val="000000" w:themeColor="text1"/>
          <w:sz w:val="24"/>
          <w:szCs w:val="24"/>
        </w:rPr>
        <w:t>direct and indirect actions</w:t>
      </w:r>
      <w:r w:rsidR="000072C9" w:rsidRPr="001E3C9B">
        <w:rPr>
          <w:rFonts w:ascii="Times New Roman" w:hAnsi="Times New Roman" w:cs="Times New Roman"/>
          <w:noProof/>
          <w:color w:val="000000" w:themeColor="text1"/>
          <w:sz w:val="24"/>
          <w:szCs w:val="24"/>
          <w:lang w:val="mt-MT"/>
        </w:rPr>
        <w:t xml:space="preserve"> </w:t>
      </w:r>
      <w:r w:rsidR="000072C9">
        <w:rPr>
          <w:rFonts w:ascii="Times New Roman" w:hAnsi="Times New Roman" w:cs="Times New Roman"/>
          <w:noProof/>
          <w:color w:val="000000" w:themeColor="text1"/>
          <w:sz w:val="24"/>
          <w:szCs w:val="24"/>
          <w:lang w:val="mt-MT"/>
        </w:rPr>
        <w:t xml:space="preserve">have made </w:t>
      </w:r>
      <w:r w:rsidRPr="001E3C9B">
        <w:rPr>
          <w:rFonts w:ascii="Times New Roman" w:hAnsi="Times New Roman" w:cs="Times New Roman"/>
          <w:noProof/>
          <w:color w:val="000000" w:themeColor="text1"/>
          <w:sz w:val="24"/>
          <w:szCs w:val="24"/>
          <w:lang w:val="mt-MT"/>
        </w:rPr>
        <w:t xml:space="preserve">a </w:t>
      </w:r>
      <w:r w:rsidRPr="001E3C9B">
        <w:rPr>
          <w:rFonts w:ascii="Times New Roman" w:hAnsi="Times New Roman" w:cs="Times New Roman"/>
          <w:noProof/>
          <w:color w:val="000000" w:themeColor="text1"/>
          <w:sz w:val="24"/>
          <w:szCs w:val="24"/>
        </w:rPr>
        <w:t xml:space="preserve">tangible contribution to achieving </w:t>
      </w:r>
      <w:r w:rsidRPr="00E27105">
        <w:rPr>
          <w:rFonts w:ascii="Times New Roman" w:hAnsi="Times New Roman" w:cs="Times New Roman"/>
          <w:noProof/>
          <w:color w:val="000000" w:themeColor="text1"/>
          <w:sz w:val="24"/>
          <w:szCs w:val="24"/>
        </w:rPr>
        <w:t xml:space="preserve">all </w:t>
      </w:r>
      <w:r w:rsidR="008778FE" w:rsidRPr="00E27105">
        <w:rPr>
          <w:rFonts w:ascii="Times New Roman" w:hAnsi="Times New Roman" w:cs="Times New Roman"/>
          <w:noProof/>
          <w:color w:val="000000" w:themeColor="text1"/>
          <w:sz w:val="24"/>
          <w:szCs w:val="24"/>
          <w:lang w:val="mt-MT"/>
        </w:rPr>
        <w:t>of the</w:t>
      </w:r>
      <w:r w:rsidRPr="00E27105">
        <w:rPr>
          <w:rFonts w:ascii="Times New Roman" w:hAnsi="Times New Roman" w:cs="Times New Roman"/>
          <w:noProof/>
          <w:color w:val="000000" w:themeColor="text1"/>
          <w:sz w:val="24"/>
          <w:szCs w:val="24"/>
          <w:lang w:val="mt-MT"/>
        </w:rPr>
        <w:t xml:space="preserve"> P</w:t>
      </w:r>
      <w:r w:rsidRPr="00E27105">
        <w:rPr>
          <w:rFonts w:ascii="Times New Roman" w:hAnsi="Times New Roman" w:cs="Times New Roman"/>
          <w:noProof/>
          <w:color w:val="000000" w:themeColor="text1"/>
          <w:sz w:val="24"/>
          <w:szCs w:val="24"/>
        </w:rPr>
        <w:t>rogramme</w:t>
      </w:r>
      <w:r w:rsidR="00D5539E">
        <w:rPr>
          <w:rFonts w:ascii="Times New Roman" w:hAnsi="Times New Roman" w:cs="Times New Roman"/>
          <w:noProof/>
          <w:color w:val="000000" w:themeColor="text1"/>
          <w:sz w:val="24"/>
          <w:szCs w:val="24"/>
        </w:rPr>
        <w:t>’</w:t>
      </w:r>
      <w:r w:rsidRPr="00E27105">
        <w:rPr>
          <w:rFonts w:ascii="Times New Roman" w:hAnsi="Times New Roman" w:cs="Times New Roman"/>
          <w:noProof/>
          <w:color w:val="000000" w:themeColor="text1"/>
          <w:sz w:val="24"/>
          <w:szCs w:val="24"/>
          <w:lang w:val="mt-MT"/>
        </w:rPr>
        <w:t xml:space="preserve">s </w:t>
      </w:r>
      <w:r w:rsidRPr="00E27105">
        <w:rPr>
          <w:rFonts w:ascii="Times New Roman" w:hAnsi="Times New Roman" w:cs="Times New Roman"/>
          <w:noProof/>
          <w:color w:val="000000" w:themeColor="text1"/>
          <w:sz w:val="24"/>
          <w:szCs w:val="24"/>
        </w:rPr>
        <w:t xml:space="preserve">objectives </w:t>
      </w:r>
      <w:r w:rsidR="00C30DBC" w:rsidRPr="00E27105">
        <w:rPr>
          <w:rFonts w:ascii="Times New Roman" w:hAnsi="Times New Roman" w:cs="Times New Roman"/>
          <w:noProof/>
          <w:color w:val="000000" w:themeColor="text1"/>
          <w:sz w:val="24"/>
          <w:szCs w:val="24"/>
        </w:rPr>
        <w:t>across the board</w:t>
      </w:r>
      <w:r w:rsidR="00F7612C" w:rsidRPr="00E27105">
        <w:rPr>
          <w:rStyle w:val="FootnoteReference"/>
          <w:rFonts w:ascii="Times New Roman" w:hAnsi="Times New Roman" w:cs="Times New Roman"/>
          <w:noProof/>
          <w:color w:val="000000" w:themeColor="text1"/>
          <w:sz w:val="24"/>
          <w:szCs w:val="24"/>
        </w:rPr>
        <w:footnoteReference w:id="10"/>
      </w:r>
      <w:r w:rsidR="00802D92" w:rsidRPr="00E27105">
        <w:rPr>
          <w:rFonts w:ascii="Times New Roman" w:hAnsi="Times New Roman" w:cs="Times New Roman"/>
          <w:noProof/>
          <w:color w:val="000000" w:themeColor="text1"/>
          <w:sz w:val="24"/>
          <w:szCs w:val="24"/>
        </w:rPr>
        <w:t>.</w:t>
      </w:r>
      <w:r w:rsidR="00C30DBC" w:rsidRPr="00E27105">
        <w:rPr>
          <w:rFonts w:ascii="Times New Roman" w:hAnsi="Times New Roman" w:cs="Times New Roman"/>
          <w:noProof/>
          <w:color w:val="000000" w:themeColor="text1"/>
          <w:sz w:val="24"/>
          <w:szCs w:val="24"/>
        </w:rPr>
        <w:t xml:space="preserve"> </w:t>
      </w:r>
    </w:p>
    <w:p w14:paraId="14FEE0B8" w14:textId="5E3B4E31" w:rsidR="000F3111" w:rsidRPr="001E3C9B" w:rsidRDefault="000F3111" w:rsidP="00F7612C">
      <w:pPr>
        <w:spacing w:after="120"/>
        <w:jc w:val="both"/>
        <w:rPr>
          <w:rFonts w:ascii="Times New Roman" w:hAnsi="Times New Roman" w:cs="Times New Roman"/>
          <w:i/>
          <w:noProof/>
          <w:color w:val="000000" w:themeColor="text1"/>
          <w:sz w:val="24"/>
          <w:szCs w:val="24"/>
          <w:lang w:val="mt-MT"/>
        </w:rPr>
      </w:pPr>
      <w:r w:rsidRPr="001E3C9B">
        <w:rPr>
          <w:rFonts w:ascii="Times New Roman" w:hAnsi="Times New Roman" w:cs="Times New Roman"/>
          <w:i/>
          <w:noProof/>
          <w:color w:val="000000" w:themeColor="text1"/>
          <w:sz w:val="24"/>
          <w:szCs w:val="24"/>
        </w:rPr>
        <w:t>Indirect actions</w:t>
      </w:r>
      <w:r w:rsidRPr="001E3C9B">
        <w:rPr>
          <w:rFonts w:ascii="Times New Roman" w:hAnsi="Times New Roman" w:cs="Times New Roman"/>
          <w:i/>
          <w:noProof/>
          <w:color w:val="000000" w:themeColor="text1"/>
          <w:sz w:val="24"/>
          <w:szCs w:val="24"/>
          <w:lang w:val="mt-MT"/>
        </w:rPr>
        <w:t xml:space="preserve"> – Fission</w:t>
      </w:r>
    </w:p>
    <w:p w14:paraId="50837EEF" w14:textId="21F91DBC" w:rsidR="00F7612C" w:rsidRPr="001E3C9B" w:rsidRDefault="000F3111" w:rsidP="00F7612C">
      <w:pPr>
        <w:spacing w:after="120"/>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lang w:val="mt-MT"/>
        </w:rPr>
        <w:t>By the end of 2020, the Commission had published</w:t>
      </w:r>
      <w:r w:rsidR="00F7612C" w:rsidRPr="001E3C9B">
        <w:rPr>
          <w:rFonts w:ascii="Times New Roman" w:hAnsi="Times New Roman" w:cs="Times New Roman"/>
          <w:noProof/>
          <w:color w:val="000000" w:themeColor="text1"/>
          <w:sz w:val="24"/>
          <w:szCs w:val="24"/>
        </w:rPr>
        <w:t xml:space="preserve"> five calls for proposals</w:t>
      </w:r>
      <w:r w:rsidRPr="001E3C9B">
        <w:rPr>
          <w:rFonts w:ascii="Times New Roman" w:hAnsi="Times New Roman" w:cs="Times New Roman"/>
          <w:noProof/>
          <w:color w:val="000000" w:themeColor="text1"/>
          <w:sz w:val="24"/>
          <w:szCs w:val="24"/>
          <w:lang w:val="mt-MT"/>
        </w:rPr>
        <w:t xml:space="preserve"> in fission research. </w:t>
      </w:r>
      <w:r w:rsidR="00F7612C" w:rsidRPr="001E3C9B">
        <w:rPr>
          <w:rFonts w:ascii="Times New Roman" w:hAnsi="Times New Roman" w:cs="Times New Roman"/>
          <w:noProof/>
          <w:color w:val="000000" w:themeColor="text1"/>
          <w:sz w:val="24"/>
          <w:szCs w:val="24"/>
        </w:rPr>
        <w:t>The</w:t>
      </w:r>
      <w:r w:rsidR="00D33D74" w:rsidRPr="001E3C9B">
        <w:rPr>
          <w:rFonts w:ascii="Times New Roman" w:hAnsi="Times New Roman" w:cs="Times New Roman"/>
          <w:noProof/>
          <w:color w:val="000000" w:themeColor="text1"/>
          <w:sz w:val="24"/>
          <w:szCs w:val="24"/>
          <w:lang w:val="mt-MT"/>
        </w:rPr>
        <w:t>re</w:t>
      </w:r>
      <w:r w:rsidR="00F7612C"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lang w:val="mt-MT"/>
        </w:rPr>
        <w:t xml:space="preserve">were 98 </w:t>
      </w:r>
      <w:r w:rsidR="00F7612C" w:rsidRPr="001E3C9B">
        <w:rPr>
          <w:rFonts w:ascii="Times New Roman" w:hAnsi="Times New Roman" w:cs="Times New Roman"/>
          <w:noProof/>
          <w:color w:val="000000" w:themeColor="text1"/>
          <w:sz w:val="24"/>
          <w:szCs w:val="24"/>
        </w:rPr>
        <w:t xml:space="preserve">projects </w:t>
      </w:r>
      <w:r w:rsidRPr="001E3C9B">
        <w:rPr>
          <w:rFonts w:ascii="Times New Roman" w:hAnsi="Times New Roman" w:cs="Times New Roman"/>
          <w:noProof/>
          <w:color w:val="000000" w:themeColor="text1"/>
          <w:sz w:val="24"/>
          <w:szCs w:val="24"/>
          <w:lang w:val="mt-MT"/>
        </w:rPr>
        <w:t>selected, engaging</w:t>
      </w:r>
      <w:r w:rsidR="00F7612C" w:rsidRPr="001E3C9B">
        <w:rPr>
          <w:rFonts w:ascii="Times New Roman" w:hAnsi="Times New Roman" w:cs="Times New Roman"/>
          <w:noProof/>
          <w:color w:val="000000" w:themeColor="text1"/>
          <w:sz w:val="24"/>
          <w:szCs w:val="24"/>
        </w:rPr>
        <w:t xml:space="preserve"> an estimated workforce of around 8 000 </w:t>
      </w:r>
      <w:r w:rsidR="000072C9">
        <w:rPr>
          <w:rFonts w:ascii="Times New Roman" w:hAnsi="Times New Roman" w:cs="Times New Roman"/>
          <w:noProof/>
          <w:color w:val="000000" w:themeColor="text1"/>
          <w:sz w:val="24"/>
          <w:szCs w:val="24"/>
        </w:rPr>
        <w:t>people</w:t>
      </w:r>
      <w:r w:rsidR="000072C9" w:rsidRPr="001E3C9B">
        <w:rPr>
          <w:rFonts w:ascii="Times New Roman" w:hAnsi="Times New Roman" w:cs="Times New Roman"/>
          <w:noProof/>
          <w:color w:val="000000" w:themeColor="text1"/>
          <w:sz w:val="24"/>
          <w:szCs w:val="24"/>
        </w:rPr>
        <w:t xml:space="preserve"> </w:t>
      </w:r>
      <w:r w:rsidR="00F7612C" w:rsidRPr="001E3C9B">
        <w:rPr>
          <w:rFonts w:ascii="Times New Roman" w:hAnsi="Times New Roman" w:cs="Times New Roman"/>
          <w:noProof/>
          <w:color w:val="000000" w:themeColor="text1"/>
          <w:sz w:val="24"/>
          <w:szCs w:val="24"/>
        </w:rPr>
        <w:t>including 200 scientific managers (2</w:t>
      </w:r>
      <w:r w:rsidR="00D33D74" w:rsidRPr="001E3C9B">
        <w:rPr>
          <w:rFonts w:ascii="Times New Roman" w:hAnsi="Times New Roman" w:cs="Times New Roman"/>
          <w:noProof/>
          <w:color w:val="000000" w:themeColor="text1"/>
          <w:sz w:val="24"/>
          <w:szCs w:val="24"/>
          <w:lang w:val="mt-MT"/>
        </w:rPr>
        <w:t>.5</w:t>
      </w:r>
      <w:r w:rsidR="00F7612C" w:rsidRPr="001E3C9B">
        <w:rPr>
          <w:rFonts w:ascii="Times New Roman" w:hAnsi="Times New Roman" w:cs="Times New Roman"/>
          <w:noProof/>
          <w:color w:val="000000" w:themeColor="text1"/>
          <w:sz w:val="24"/>
          <w:szCs w:val="24"/>
        </w:rPr>
        <w:t>%</w:t>
      </w:r>
      <w:r w:rsidR="002833F1">
        <w:rPr>
          <w:rFonts w:ascii="Times New Roman" w:hAnsi="Times New Roman" w:cs="Times New Roman"/>
          <w:noProof/>
          <w:color w:val="000000" w:themeColor="text1"/>
          <w:sz w:val="24"/>
          <w:szCs w:val="24"/>
        </w:rPr>
        <w:t xml:space="preserve"> of the 8 000 engaged</w:t>
      </w:r>
      <w:r w:rsidR="00F7612C" w:rsidRPr="001E3C9B">
        <w:rPr>
          <w:rFonts w:ascii="Times New Roman" w:hAnsi="Times New Roman" w:cs="Times New Roman"/>
          <w:noProof/>
          <w:color w:val="000000" w:themeColor="text1"/>
          <w:sz w:val="24"/>
          <w:szCs w:val="24"/>
        </w:rPr>
        <w:t>), 5 000 experienced researchers (6</w:t>
      </w:r>
      <w:r w:rsidR="00D33D74" w:rsidRPr="001E3C9B">
        <w:rPr>
          <w:rFonts w:ascii="Times New Roman" w:hAnsi="Times New Roman" w:cs="Times New Roman"/>
          <w:noProof/>
          <w:color w:val="000000" w:themeColor="text1"/>
          <w:sz w:val="24"/>
          <w:szCs w:val="24"/>
          <w:lang w:val="mt-MT"/>
        </w:rPr>
        <w:t>2.5</w:t>
      </w:r>
      <w:r w:rsidR="00F7612C" w:rsidRPr="001E3C9B">
        <w:rPr>
          <w:rFonts w:ascii="Times New Roman" w:hAnsi="Times New Roman" w:cs="Times New Roman"/>
          <w:noProof/>
          <w:color w:val="000000" w:themeColor="text1"/>
          <w:sz w:val="24"/>
          <w:szCs w:val="24"/>
        </w:rPr>
        <w:t>%), 500 researchers (6</w:t>
      </w:r>
      <w:r w:rsidR="00D33D74" w:rsidRPr="001E3C9B">
        <w:rPr>
          <w:rFonts w:ascii="Times New Roman" w:hAnsi="Times New Roman" w:cs="Times New Roman"/>
          <w:noProof/>
          <w:color w:val="000000" w:themeColor="text1"/>
          <w:sz w:val="24"/>
          <w:szCs w:val="24"/>
          <w:lang w:val="mt-MT"/>
        </w:rPr>
        <w:t>.25</w:t>
      </w:r>
      <w:r w:rsidR="00F7612C" w:rsidRPr="001E3C9B">
        <w:rPr>
          <w:rFonts w:ascii="Times New Roman" w:hAnsi="Times New Roman" w:cs="Times New Roman"/>
          <w:noProof/>
          <w:color w:val="000000" w:themeColor="text1"/>
          <w:sz w:val="24"/>
          <w:szCs w:val="24"/>
        </w:rPr>
        <w:t>%), 800 PhD</w:t>
      </w:r>
      <w:r w:rsidR="00C71FF6">
        <w:rPr>
          <w:rFonts w:ascii="Times New Roman" w:hAnsi="Times New Roman" w:cs="Times New Roman"/>
          <w:noProof/>
          <w:color w:val="000000" w:themeColor="text1"/>
          <w:sz w:val="24"/>
          <w:szCs w:val="24"/>
        </w:rPr>
        <w:t xml:space="preserve"> students</w:t>
      </w:r>
      <w:r w:rsidR="00F7612C" w:rsidRPr="001E3C9B">
        <w:rPr>
          <w:rFonts w:ascii="Times New Roman" w:hAnsi="Times New Roman" w:cs="Times New Roman"/>
          <w:noProof/>
          <w:color w:val="000000" w:themeColor="text1"/>
          <w:sz w:val="24"/>
          <w:szCs w:val="24"/>
        </w:rPr>
        <w:t xml:space="preserve"> partially or full-time </w:t>
      </w:r>
      <w:r w:rsidR="00C71FF6">
        <w:rPr>
          <w:rFonts w:ascii="Times New Roman" w:hAnsi="Times New Roman" w:cs="Times New Roman"/>
          <w:noProof/>
          <w:color w:val="000000" w:themeColor="text1"/>
          <w:sz w:val="24"/>
          <w:szCs w:val="24"/>
        </w:rPr>
        <w:t>o</w:t>
      </w:r>
      <w:r w:rsidR="00F7612C" w:rsidRPr="001E3C9B">
        <w:rPr>
          <w:rFonts w:ascii="Times New Roman" w:hAnsi="Times New Roman" w:cs="Times New Roman"/>
          <w:noProof/>
          <w:color w:val="000000" w:themeColor="text1"/>
          <w:sz w:val="24"/>
          <w:szCs w:val="24"/>
        </w:rPr>
        <w:t xml:space="preserve">n a project (10%) and 1 500 </w:t>
      </w:r>
      <w:r w:rsidR="00D33D74" w:rsidRPr="001E3C9B">
        <w:rPr>
          <w:rFonts w:ascii="Times New Roman" w:hAnsi="Times New Roman" w:cs="Times New Roman"/>
          <w:noProof/>
          <w:color w:val="000000" w:themeColor="text1"/>
          <w:sz w:val="24"/>
          <w:szCs w:val="24"/>
          <w:lang w:val="mt-MT"/>
        </w:rPr>
        <w:t xml:space="preserve">in </w:t>
      </w:r>
      <w:r w:rsidR="00F7612C" w:rsidRPr="001E3C9B">
        <w:rPr>
          <w:rFonts w:ascii="Times New Roman" w:hAnsi="Times New Roman" w:cs="Times New Roman"/>
          <w:noProof/>
          <w:color w:val="000000" w:themeColor="text1"/>
          <w:sz w:val="24"/>
          <w:szCs w:val="24"/>
        </w:rPr>
        <w:t>other</w:t>
      </w:r>
      <w:r w:rsidR="00D33D74" w:rsidRPr="001E3C9B">
        <w:rPr>
          <w:rFonts w:ascii="Times New Roman" w:hAnsi="Times New Roman" w:cs="Times New Roman"/>
          <w:noProof/>
          <w:color w:val="000000" w:themeColor="text1"/>
          <w:sz w:val="24"/>
          <w:szCs w:val="24"/>
          <w:lang w:val="mt-MT"/>
        </w:rPr>
        <w:t xml:space="preserve"> </w:t>
      </w:r>
      <w:r w:rsidR="00F7612C" w:rsidRPr="001E3C9B">
        <w:rPr>
          <w:rFonts w:ascii="Times New Roman" w:hAnsi="Times New Roman" w:cs="Times New Roman"/>
          <w:noProof/>
          <w:color w:val="000000" w:themeColor="text1"/>
          <w:sz w:val="24"/>
          <w:szCs w:val="24"/>
        </w:rPr>
        <w:t>s</w:t>
      </w:r>
      <w:r w:rsidR="00D33D74" w:rsidRPr="001E3C9B">
        <w:rPr>
          <w:rFonts w:ascii="Times New Roman" w:hAnsi="Times New Roman" w:cs="Times New Roman"/>
          <w:noProof/>
          <w:color w:val="000000" w:themeColor="text1"/>
          <w:sz w:val="24"/>
          <w:szCs w:val="24"/>
          <w:lang w:val="mt-MT"/>
        </w:rPr>
        <w:t>ectors</w:t>
      </w:r>
      <w:r w:rsidR="00F7612C" w:rsidRPr="001E3C9B">
        <w:rPr>
          <w:rFonts w:ascii="Times New Roman" w:hAnsi="Times New Roman" w:cs="Times New Roman"/>
          <w:noProof/>
          <w:color w:val="000000" w:themeColor="text1"/>
          <w:sz w:val="24"/>
          <w:szCs w:val="24"/>
        </w:rPr>
        <w:t xml:space="preserve"> (engineers, technicians, administrative support) (1</w:t>
      </w:r>
      <w:r w:rsidR="00D33D74" w:rsidRPr="001E3C9B">
        <w:rPr>
          <w:rFonts w:ascii="Times New Roman" w:hAnsi="Times New Roman" w:cs="Times New Roman"/>
          <w:noProof/>
          <w:color w:val="000000" w:themeColor="text1"/>
          <w:sz w:val="24"/>
          <w:szCs w:val="24"/>
          <w:lang w:val="mt-MT"/>
        </w:rPr>
        <w:t>8.75</w:t>
      </w:r>
      <w:r w:rsidR="00F7612C" w:rsidRPr="001E3C9B">
        <w:rPr>
          <w:rFonts w:ascii="Times New Roman" w:hAnsi="Times New Roman" w:cs="Times New Roman"/>
          <w:noProof/>
          <w:color w:val="000000" w:themeColor="text1"/>
          <w:sz w:val="24"/>
          <w:szCs w:val="24"/>
        </w:rPr>
        <w:t xml:space="preserve">%). </w:t>
      </w:r>
    </w:p>
    <w:p w14:paraId="5FA986D7" w14:textId="0575BC0F" w:rsidR="00F7612C" w:rsidRPr="001E3C9B" w:rsidRDefault="00F7612C" w:rsidP="00F7612C">
      <w:pPr>
        <w:spacing w:after="120"/>
        <w:jc w:val="both"/>
        <w:rPr>
          <w:rFonts w:ascii="Times New Roman" w:hAnsi="Times New Roman" w:cs="Times New Roman"/>
          <w:bCs/>
          <w:noProof/>
          <w:color w:val="000000" w:themeColor="text1"/>
          <w:sz w:val="24"/>
          <w:szCs w:val="24"/>
        </w:rPr>
      </w:pPr>
      <w:r w:rsidRPr="001E3C9B">
        <w:rPr>
          <w:rFonts w:ascii="Times New Roman" w:hAnsi="Times New Roman" w:cs="Times New Roman"/>
          <w:bCs/>
          <w:noProof/>
          <w:color w:val="000000" w:themeColor="text1"/>
          <w:sz w:val="24"/>
          <w:szCs w:val="24"/>
        </w:rPr>
        <w:t xml:space="preserve">The projects </w:t>
      </w:r>
      <w:r w:rsidR="000F3111" w:rsidRPr="001E3C9B">
        <w:rPr>
          <w:rFonts w:ascii="Times New Roman" w:hAnsi="Times New Roman" w:cs="Times New Roman"/>
          <w:bCs/>
          <w:noProof/>
          <w:color w:val="000000" w:themeColor="text1"/>
          <w:sz w:val="24"/>
          <w:szCs w:val="24"/>
          <w:lang w:val="mt-MT"/>
        </w:rPr>
        <w:t>on</w:t>
      </w:r>
      <w:r w:rsidRPr="001E3C9B">
        <w:rPr>
          <w:rFonts w:ascii="Times New Roman" w:hAnsi="Times New Roman" w:cs="Times New Roman"/>
          <w:bCs/>
          <w:noProof/>
          <w:color w:val="000000" w:themeColor="text1"/>
          <w:sz w:val="24"/>
          <w:szCs w:val="24"/>
        </w:rPr>
        <w:t xml:space="preserve"> nuclear safety pro</w:t>
      </w:r>
      <w:r w:rsidR="002833F1">
        <w:rPr>
          <w:rFonts w:ascii="Times New Roman" w:hAnsi="Times New Roman" w:cs="Times New Roman"/>
          <w:bCs/>
          <w:noProof/>
          <w:color w:val="000000" w:themeColor="text1"/>
          <w:sz w:val="24"/>
          <w:szCs w:val="24"/>
        </w:rPr>
        <w:t>duced</w:t>
      </w:r>
      <w:r w:rsidRPr="001E3C9B">
        <w:rPr>
          <w:rFonts w:ascii="Times New Roman" w:hAnsi="Times New Roman" w:cs="Times New Roman"/>
          <w:bCs/>
          <w:noProof/>
          <w:color w:val="000000" w:themeColor="text1"/>
          <w:sz w:val="24"/>
          <w:szCs w:val="24"/>
        </w:rPr>
        <w:t xml:space="preserve"> </w:t>
      </w:r>
      <w:r w:rsidR="00C71FF6">
        <w:rPr>
          <w:rFonts w:ascii="Times New Roman" w:hAnsi="Times New Roman" w:cs="Times New Roman"/>
          <w:bCs/>
          <w:noProof/>
          <w:color w:val="000000" w:themeColor="text1"/>
          <w:sz w:val="24"/>
          <w:szCs w:val="24"/>
        </w:rPr>
        <w:t xml:space="preserve">many </w:t>
      </w:r>
      <w:r w:rsidRPr="001E3C9B">
        <w:rPr>
          <w:rFonts w:ascii="Times New Roman" w:hAnsi="Times New Roman" w:cs="Times New Roman"/>
          <w:bCs/>
          <w:noProof/>
          <w:color w:val="000000" w:themeColor="text1"/>
          <w:sz w:val="24"/>
          <w:szCs w:val="24"/>
        </w:rPr>
        <w:t>relevant results</w:t>
      </w:r>
      <w:r w:rsidR="00D33D74" w:rsidRPr="001E3C9B">
        <w:rPr>
          <w:rFonts w:ascii="Times New Roman" w:hAnsi="Times New Roman" w:cs="Times New Roman"/>
          <w:bCs/>
          <w:noProof/>
          <w:color w:val="000000" w:themeColor="text1"/>
          <w:sz w:val="24"/>
          <w:szCs w:val="24"/>
          <w:lang w:val="mt-MT"/>
        </w:rPr>
        <w:t>.</w:t>
      </w:r>
      <w:r w:rsidRPr="001E3C9B">
        <w:rPr>
          <w:rFonts w:ascii="Times New Roman" w:hAnsi="Times New Roman" w:cs="Times New Roman"/>
          <w:bCs/>
          <w:noProof/>
          <w:color w:val="000000" w:themeColor="text1"/>
          <w:sz w:val="24"/>
          <w:szCs w:val="24"/>
        </w:rPr>
        <w:t xml:space="preserve"> </w:t>
      </w:r>
      <w:r w:rsidR="00D33D74" w:rsidRPr="001E3C9B">
        <w:rPr>
          <w:rFonts w:ascii="Times New Roman" w:hAnsi="Times New Roman" w:cs="Times New Roman"/>
          <w:bCs/>
          <w:noProof/>
          <w:color w:val="000000" w:themeColor="text1"/>
          <w:sz w:val="24"/>
          <w:szCs w:val="24"/>
          <w:lang w:val="mt-MT"/>
        </w:rPr>
        <w:t>I</w:t>
      </w:r>
      <w:r w:rsidRPr="001E3C9B">
        <w:rPr>
          <w:rFonts w:ascii="Times New Roman" w:hAnsi="Times New Roman" w:cs="Times New Roman"/>
          <w:bCs/>
          <w:noProof/>
          <w:color w:val="000000" w:themeColor="text1"/>
          <w:sz w:val="24"/>
          <w:szCs w:val="24"/>
        </w:rPr>
        <w:t xml:space="preserve">n some cases, </w:t>
      </w:r>
      <w:r w:rsidR="00D33D74" w:rsidRPr="001E3C9B">
        <w:rPr>
          <w:rFonts w:ascii="Times New Roman" w:hAnsi="Times New Roman" w:cs="Times New Roman"/>
          <w:bCs/>
          <w:noProof/>
          <w:color w:val="000000" w:themeColor="text1"/>
          <w:sz w:val="24"/>
          <w:szCs w:val="24"/>
          <w:lang w:val="mt-MT"/>
        </w:rPr>
        <w:t xml:space="preserve">these results </w:t>
      </w:r>
      <w:r w:rsidRPr="001E3C9B">
        <w:rPr>
          <w:rFonts w:ascii="Times New Roman" w:hAnsi="Times New Roman" w:cs="Times New Roman"/>
          <w:bCs/>
          <w:noProof/>
          <w:color w:val="000000" w:themeColor="text1"/>
          <w:sz w:val="24"/>
          <w:szCs w:val="24"/>
        </w:rPr>
        <w:t xml:space="preserve">made significant progress </w:t>
      </w:r>
      <w:r w:rsidR="00D33D74" w:rsidRPr="001E3C9B">
        <w:rPr>
          <w:rFonts w:ascii="Times New Roman" w:hAnsi="Times New Roman" w:cs="Times New Roman"/>
          <w:bCs/>
          <w:noProof/>
          <w:color w:val="000000" w:themeColor="text1"/>
          <w:sz w:val="24"/>
          <w:szCs w:val="24"/>
          <w:lang w:val="mt-MT"/>
        </w:rPr>
        <w:t>on</w:t>
      </w:r>
      <w:r w:rsidRPr="001E3C9B">
        <w:rPr>
          <w:rFonts w:ascii="Times New Roman" w:hAnsi="Times New Roman" w:cs="Times New Roman"/>
          <w:bCs/>
          <w:noProof/>
          <w:color w:val="000000" w:themeColor="text1"/>
          <w:sz w:val="24"/>
          <w:szCs w:val="24"/>
        </w:rPr>
        <w:t xml:space="preserve"> the original state</w:t>
      </w:r>
      <w:r w:rsidR="000F3111" w:rsidRPr="001E3C9B">
        <w:rPr>
          <w:rFonts w:ascii="Times New Roman" w:hAnsi="Times New Roman" w:cs="Times New Roman"/>
          <w:bCs/>
          <w:noProof/>
          <w:color w:val="000000" w:themeColor="text1"/>
          <w:sz w:val="24"/>
          <w:szCs w:val="24"/>
          <w:lang w:val="mt-MT"/>
        </w:rPr>
        <w:t>-</w:t>
      </w:r>
      <w:r w:rsidRPr="001E3C9B">
        <w:rPr>
          <w:rFonts w:ascii="Times New Roman" w:hAnsi="Times New Roman" w:cs="Times New Roman"/>
          <w:bCs/>
          <w:noProof/>
          <w:color w:val="000000" w:themeColor="text1"/>
          <w:sz w:val="24"/>
          <w:szCs w:val="24"/>
        </w:rPr>
        <w:t>of</w:t>
      </w:r>
      <w:r w:rsidR="000F3111" w:rsidRPr="001E3C9B">
        <w:rPr>
          <w:rFonts w:ascii="Times New Roman" w:hAnsi="Times New Roman" w:cs="Times New Roman"/>
          <w:bCs/>
          <w:noProof/>
          <w:color w:val="000000" w:themeColor="text1"/>
          <w:sz w:val="24"/>
          <w:szCs w:val="24"/>
          <w:lang w:val="mt-MT"/>
        </w:rPr>
        <w:t>-</w:t>
      </w:r>
      <w:r w:rsidRPr="001E3C9B">
        <w:rPr>
          <w:rFonts w:ascii="Times New Roman" w:hAnsi="Times New Roman" w:cs="Times New Roman"/>
          <w:bCs/>
          <w:noProof/>
          <w:color w:val="000000" w:themeColor="text1"/>
          <w:sz w:val="24"/>
          <w:szCs w:val="24"/>
        </w:rPr>
        <w:t>the</w:t>
      </w:r>
      <w:r w:rsidR="000F3111" w:rsidRPr="001E3C9B">
        <w:rPr>
          <w:rFonts w:ascii="Times New Roman" w:hAnsi="Times New Roman" w:cs="Times New Roman"/>
          <w:bCs/>
          <w:noProof/>
          <w:color w:val="000000" w:themeColor="text1"/>
          <w:sz w:val="24"/>
          <w:szCs w:val="24"/>
          <w:lang w:val="mt-MT"/>
        </w:rPr>
        <w:t>-</w:t>
      </w:r>
      <w:r w:rsidRPr="001E3C9B">
        <w:rPr>
          <w:rFonts w:ascii="Times New Roman" w:hAnsi="Times New Roman" w:cs="Times New Roman"/>
          <w:bCs/>
          <w:noProof/>
          <w:color w:val="000000" w:themeColor="text1"/>
          <w:sz w:val="24"/>
          <w:szCs w:val="24"/>
        </w:rPr>
        <w:t xml:space="preserve">art in the main areas </w:t>
      </w:r>
      <w:r w:rsidR="00D157D3" w:rsidRPr="001E3C9B">
        <w:rPr>
          <w:rFonts w:ascii="Times New Roman" w:hAnsi="Times New Roman" w:cs="Times New Roman"/>
          <w:bCs/>
          <w:noProof/>
          <w:color w:val="000000" w:themeColor="text1"/>
          <w:sz w:val="24"/>
          <w:szCs w:val="24"/>
          <w:lang w:val="mt-MT"/>
        </w:rPr>
        <w:t xml:space="preserve">of </w:t>
      </w:r>
      <w:r w:rsidR="008D155D" w:rsidRPr="001E3C9B">
        <w:rPr>
          <w:rFonts w:ascii="Times New Roman" w:hAnsi="Times New Roman" w:cs="Times New Roman"/>
          <w:bCs/>
          <w:noProof/>
          <w:color w:val="000000" w:themeColor="text1"/>
          <w:sz w:val="24"/>
          <w:szCs w:val="24"/>
        </w:rPr>
        <w:t>s</w:t>
      </w:r>
      <w:r w:rsidRPr="001E3C9B">
        <w:rPr>
          <w:rFonts w:ascii="Times New Roman" w:hAnsi="Times New Roman" w:cs="Times New Roman"/>
          <w:bCs/>
          <w:noProof/>
          <w:color w:val="000000" w:themeColor="text1"/>
          <w:sz w:val="24"/>
          <w:szCs w:val="24"/>
        </w:rPr>
        <w:t xml:space="preserve">afety and </w:t>
      </w:r>
      <w:r w:rsidR="00D33D74" w:rsidRPr="001E3C9B">
        <w:rPr>
          <w:rFonts w:ascii="Times New Roman" w:hAnsi="Times New Roman" w:cs="Times New Roman"/>
          <w:bCs/>
          <w:noProof/>
          <w:color w:val="000000" w:themeColor="text1"/>
          <w:sz w:val="24"/>
          <w:szCs w:val="24"/>
          <w:lang w:val="mt-MT"/>
        </w:rPr>
        <w:t>l</w:t>
      </w:r>
      <w:r w:rsidRPr="001E3C9B">
        <w:rPr>
          <w:rFonts w:ascii="Times New Roman" w:hAnsi="Times New Roman" w:cs="Times New Roman"/>
          <w:bCs/>
          <w:noProof/>
          <w:color w:val="000000" w:themeColor="text1"/>
          <w:sz w:val="24"/>
          <w:szCs w:val="24"/>
        </w:rPr>
        <w:t>ong</w:t>
      </w:r>
      <w:r w:rsidR="000F3111" w:rsidRPr="001E3C9B">
        <w:rPr>
          <w:rFonts w:ascii="Times New Roman" w:hAnsi="Times New Roman" w:cs="Times New Roman"/>
          <w:bCs/>
          <w:noProof/>
          <w:color w:val="000000" w:themeColor="text1"/>
          <w:sz w:val="24"/>
          <w:szCs w:val="24"/>
          <w:lang w:val="mt-MT"/>
        </w:rPr>
        <w:t>-</w:t>
      </w:r>
      <w:r w:rsidR="00D33D74" w:rsidRPr="001E3C9B">
        <w:rPr>
          <w:rFonts w:ascii="Times New Roman" w:hAnsi="Times New Roman" w:cs="Times New Roman"/>
          <w:bCs/>
          <w:noProof/>
          <w:color w:val="000000" w:themeColor="text1"/>
          <w:sz w:val="24"/>
          <w:szCs w:val="24"/>
          <w:lang w:val="mt-MT"/>
        </w:rPr>
        <w:t>t</w:t>
      </w:r>
      <w:r w:rsidRPr="001E3C9B">
        <w:rPr>
          <w:rFonts w:ascii="Times New Roman" w:hAnsi="Times New Roman" w:cs="Times New Roman"/>
          <w:bCs/>
          <w:noProof/>
          <w:color w:val="000000" w:themeColor="text1"/>
          <w:sz w:val="24"/>
          <w:szCs w:val="24"/>
        </w:rPr>
        <w:t xml:space="preserve">erm </w:t>
      </w:r>
      <w:r w:rsidR="00D33D74" w:rsidRPr="001E3C9B">
        <w:rPr>
          <w:rFonts w:ascii="Times New Roman" w:hAnsi="Times New Roman" w:cs="Times New Roman"/>
          <w:bCs/>
          <w:noProof/>
          <w:color w:val="000000" w:themeColor="text1"/>
          <w:sz w:val="24"/>
          <w:szCs w:val="24"/>
          <w:lang w:val="mt-MT"/>
        </w:rPr>
        <w:t>o</w:t>
      </w:r>
      <w:r w:rsidRPr="001E3C9B">
        <w:rPr>
          <w:rFonts w:ascii="Times New Roman" w:hAnsi="Times New Roman" w:cs="Times New Roman"/>
          <w:bCs/>
          <w:noProof/>
          <w:color w:val="000000" w:themeColor="text1"/>
          <w:sz w:val="24"/>
          <w:szCs w:val="24"/>
        </w:rPr>
        <w:t xml:space="preserve">peration of existing </w:t>
      </w:r>
      <w:r w:rsidR="00D157D3" w:rsidRPr="001E3C9B">
        <w:rPr>
          <w:rFonts w:ascii="Times New Roman" w:hAnsi="Times New Roman" w:cs="Times New Roman"/>
          <w:bCs/>
          <w:noProof/>
          <w:color w:val="000000" w:themeColor="text1"/>
          <w:sz w:val="24"/>
          <w:szCs w:val="24"/>
          <w:lang w:val="mt-MT"/>
        </w:rPr>
        <w:t>NPPs</w:t>
      </w:r>
      <w:r w:rsidRPr="001E3C9B">
        <w:rPr>
          <w:rFonts w:ascii="Times New Roman" w:hAnsi="Times New Roman" w:cs="Times New Roman"/>
          <w:bCs/>
          <w:noProof/>
          <w:color w:val="000000" w:themeColor="text1"/>
          <w:sz w:val="24"/>
          <w:szCs w:val="24"/>
        </w:rPr>
        <w:t>, future concepts</w:t>
      </w:r>
      <w:r w:rsidR="00D157D3" w:rsidRPr="001E3C9B">
        <w:rPr>
          <w:rFonts w:ascii="Times New Roman" w:hAnsi="Times New Roman" w:cs="Times New Roman"/>
          <w:bCs/>
          <w:noProof/>
          <w:color w:val="000000" w:themeColor="text1"/>
          <w:sz w:val="24"/>
          <w:szCs w:val="24"/>
          <w:lang w:val="mt-MT"/>
        </w:rPr>
        <w:t xml:space="preserve"> and</w:t>
      </w:r>
      <w:r w:rsidRPr="001E3C9B">
        <w:rPr>
          <w:rFonts w:ascii="Times New Roman" w:hAnsi="Times New Roman" w:cs="Times New Roman"/>
          <w:bCs/>
          <w:noProof/>
          <w:color w:val="000000" w:themeColor="text1"/>
          <w:sz w:val="24"/>
          <w:szCs w:val="24"/>
        </w:rPr>
        <w:t xml:space="preserve"> decommissioning. </w:t>
      </w:r>
      <w:r w:rsidR="00C71FF6">
        <w:rPr>
          <w:rFonts w:ascii="Times New Roman" w:hAnsi="Times New Roman" w:cs="Times New Roman"/>
          <w:bCs/>
          <w:noProof/>
          <w:color w:val="000000" w:themeColor="text1"/>
          <w:sz w:val="24"/>
          <w:szCs w:val="24"/>
        </w:rPr>
        <w:t>The m</w:t>
      </w:r>
      <w:r w:rsidRPr="001E3C9B">
        <w:rPr>
          <w:rFonts w:ascii="Times New Roman" w:hAnsi="Times New Roman" w:cs="Times New Roman"/>
          <w:bCs/>
          <w:noProof/>
          <w:color w:val="000000" w:themeColor="text1"/>
          <w:sz w:val="24"/>
          <w:szCs w:val="24"/>
        </w:rPr>
        <w:t>ain achievements include:</w:t>
      </w:r>
    </w:p>
    <w:p w14:paraId="05A6D527" w14:textId="16ABCC68" w:rsidR="00F7612C" w:rsidRPr="001E3C9B" w:rsidRDefault="00C71FF6" w:rsidP="00F7612C">
      <w:pPr>
        <w:numPr>
          <w:ilvl w:val="0"/>
          <w:numId w:val="26"/>
        </w:numPr>
        <w:spacing w:after="120"/>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lang w:val="mt-MT"/>
        </w:rPr>
        <w:t>the setting up</w:t>
      </w:r>
      <w:r w:rsidR="00F7612C" w:rsidRPr="001E3C9B">
        <w:rPr>
          <w:rFonts w:ascii="Times New Roman" w:hAnsi="Times New Roman" w:cs="Times New Roman"/>
          <w:bCs/>
          <w:noProof/>
          <w:color w:val="000000" w:themeColor="text1"/>
          <w:sz w:val="24"/>
          <w:szCs w:val="24"/>
        </w:rPr>
        <w:t xml:space="preserve"> of advanced computer models and simulations for safety analysis</w:t>
      </w:r>
      <w:r>
        <w:rPr>
          <w:rFonts w:ascii="Times New Roman" w:hAnsi="Times New Roman" w:cs="Times New Roman"/>
          <w:bCs/>
          <w:noProof/>
          <w:color w:val="000000" w:themeColor="text1"/>
          <w:sz w:val="24"/>
          <w:szCs w:val="24"/>
        </w:rPr>
        <w:t xml:space="preserve"> –</w:t>
      </w:r>
      <w:r w:rsidR="00F7612C" w:rsidRPr="001E3C9B">
        <w:rPr>
          <w:rFonts w:ascii="Times New Roman" w:hAnsi="Times New Roman" w:cs="Times New Roman"/>
          <w:bCs/>
          <w:noProof/>
          <w:color w:val="000000" w:themeColor="text1"/>
          <w:sz w:val="24"/>
          <w:szCs w:val="24"/>
        </w:rPr>
        <w:t xml:space="preserve"> including </w:t>
      </w:r>
      <w:r>
        <w:rPr>
          <w:rFonts w:ascii="Times New Roman" w:hAnsi="Times New Roman" w:cs="Times New Roman"/>
          <w:bCs/>
          <w:noProof/>
          <w:color w:val="000000" w:themeColor="text1"/>
          <w:sz w:val="24"/>
          <w:szCs w:val="24"/>
        </w:rPr>
        <w:t xml:space="preserve">in the event of </w:t>
      </w:r>
      <w:r w:rsidR="00F7612C" w:rsidRPr="001E3C9B">
        <w:rPr>
          <w:rFonts w:ascii="Times New Roman" w:hAnsi="Times New Roman" w:cs="Times New Roman"/>
          <w:bCs/>
          <w:noProof/>
          <w:color w:val="000000" w:themeColor="text1"/>
          <w:sz w:val="24"/>
          <w:szCs w:val="24"/>
        </w:rPr>
        <w:t>severe accident</w:t>
      </w:r>
      <w:r>
        <w:rPr>
          <w:rFonts w:ascii="Times New Roman" w:hAnsi="Times New Roman" w:cs="Times New Roman"/>
          <w:bCs/>
          <w:noProof/>
          <w:color w:val="000000" w:themeColor="text1"/>
          <w:sz w:val="24"/>
          <w:szCs w:val="24"/>
        </w:rPr>
        <w:t>s –</w:t>
      </w:r>
      <w:r w:rsidR="00F7612C" w:rsidRPr="001E3C9B">
        <w:rPr>
          <w:rFonts w:ascii="Times New Roman" w:hAnsi="Times New Roman" w:cs="Times New Roman"/>
          <w:bCs/>
          <w:noProof/>
          <w:color w:val="000000" w:themeColor="text1"/>
          <w:sz w:val="24"/>
          <w:szCs w:val="24"/>
        </w:rPr>
        <w:t xml:space="preserve"> of different reactor systems (Genera</w:t>
      </w:r>
      <w:r w:rsidR="00D157D3" w:rsidRPr="001E3C9B">
        <w:rPr>
          <w:rFonts w:ascii="Times New Roman" w:hAnsi="Times New Roman" w:cs="Times New Roman"/>
          <w:bCs/>
          <w:noProof/>
          <w:color w:val="000000" w:themeColor="text1"/>
          <w:sz w:val="24"/>
          <w:szCs w:val="24"/>
          <w:lang w:val="mt-MT"/>
        </w:rPr>
        <w:t>t</w:t>
      </w:r>
      <w:r w:rsidR="00F7612C" w:rsidRPr="001E3C9B">
        <w:rPr>
          <w:rFonts w:ascii="Times New Roman" w:hAnsi="Times New Roman" w:cs="Times New Roman"/>
          <w:bCs/>
          <w:noProof/>
          <w:color w:val="000000" w:themeColor="text1"/>
          <w:sz w:val="24"/>
          <w:szCs w:val="24"/>
        </w:rPr>
        <w:t xml:space="preserve">ion II and III of </w:t>
      </w:r>
      <w:r w:rsidR="00D33D74" w:rsidRPr="001E3C9B">
        <w:rPr>
          <w:rFonts w:ascii="Times New Roman" w:hAnsi="Times New Roman" w:cs="Times New Roman"/>
          <w:bCs/>
          <w:noProof/>
          <w:color w:val="000000" w:themeColor="text1"/>
          <w:sz w:val="24"/>
          <w:szCs w:val="24"/>
          <w:lang w:val="mt-MT"/>
        </w:rPr>
        <w:t>NPPs</w:t>
      </w:r>
      <w:r w:rsidR="00F7612C" w:rsidRPr="001E3C9B">
        <w:rPr>
          <w:rFonts w:ascii="Times New Roman" w:hAnsi="Times New Roman" w:cs="Times New Roman"/>
          <w:bCs/>
          <w:noProof/>
          <w:color w:val="000000" w:themeColor="text1"/>
          <w:sz w:val="24"/>
          <w:szCs w:val="24"/>
        </w:rPr>
        <w:t>)</w:t>
      </w:r>
      <w:r>
        <w:rPr>
          <w:rFonts w:ascii="Times New Roman" w:hAnsi="Times New Roman" w:cs="Times New Roman"/>
          <w:bCs/>
          <w:noProof/>
          <w:color w:val="000000" w:themeColor="text1"/>
          <w:sz w:val="24"/>
          <w:szCs w:val="24"/>
        </w:rPr>
        <w:t>;</w:t>
      </w:r>
    </w:p>
    <w:p w14:paraId="6C4BF3FC" w14:textId="0055E843" w:rsidR="00F7612C" w:rsidRPr="001E3C9B" w:rsidRDefault="00C71FF6" w:rsidP="00F7612C">
      <w:pPr>
        <w:numPr>
          <w:ilvl w:val="0"/>
          <w:numId w:val="26"/>
        </w:numPr>
        <w:spacing w:after="120"/>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lang w:val="mt-MT"/>
        </w:rPr>
        <w:t xml:space="preserve">the </w:t>
      </w:r>
      <w:r w:rsidR="00D157D3" w:rsidRPr="001E3C9B">
        <w:rPr>
          <w:rFonts w:ascii="Times New Roman" w:hAnsi="Times New Roman" w:cs="Times New Roman"/>
          <w:bCs/>
          <w:noProof/>
          <w:color w:val="000000" w:themeColor="text1"/>
          <w:sz w:val="24"/>
          <w:szCs w:val="24"/>
          <w:lang w:val="mt-MT"/>
        </w:rPr>
        <w:t>p</w:t>
      </w:r>
      <w:r w:rsidR="00F7612C" w:rsidRPr="001E3C9B">
        <w:rPr>
          <w:rFonts w:ascii="Times New Roman" w:hAnsi="Times New Roman" w:cs="Times New Roman"/>
          <w:bCs/>
          <w:noProof/>
          <w:color w:val="000000" w:themeColor="text1"/>
          <w:sz w:val="24"/>
          <w:szCs w:val="24"/>
        </w:rPr>
        <w:t xml:space="preserve">reparation of strategies </w:t>
      </w:r>
      <w:r>
        <w:rPr>
          <w:rFonts w:ascii="Times New Roman" w:hAnsi="Times New Roman" w:cs="Times New Roman"/>
          <w:bCs/>
          <w:noProof/>
          <w:color w:val="000000" w:themeColor="text1"/>
          <w:sz w:val="24"/>
          <w:szCs w:val="24"/>
        </w:rPr>
        <w:t xml:space="preserve">to manage </w:t>
      </w:r>
      <w:r w:rsidR="00F7612C" w:rsidRPr="001E3C9B">
        <w:rPr>
          <w:rFonts w:ascii="Times New Roman" w:hAnsi="Times New Roman" w:cs="Times New Roman"/>
          <w:bCs/>
          <w:noProof/>
          <w:color w:val="000000" w:themeColor="text1"/>
          <w:sz w:val="24"/>
          <w:szCs w:val="24"/>
        </w:rPr>
        <w:t>severe accident</w:t>
      </w:r>
      <w:r>
        <w:rPr>
          <w:rFonts w:ascii="Times New Roman" w:hAnsi="Times New Roman" w:cs="Times New Roman"/>
          <w:bCs/>
          <w:noProof/>
          <w:color w:val="000000" w:themeColor="text1"/>
          <w:sz w:val="24"/>
          <w:szCs w:val="24"/>
        </w:rPr>
        <w:t>s</w:t>
      </w:r>
      <w:r w:rsidR="00F7612C" w:rsidRPr="001E3C9B">
        <w:rPr>
          <w:rFonts w:ascii="Times New Roman" w:hAnsi="Times New Roman" w:cs="Times New Roman"/>
          <w:bCs/>
          <w:noProof/>
          <w:color w:val="000000" w:themeColor="text1"/>
          <w:sz w:val="24"/>
          <w:szCs w:val="24"/>
        </w:rPr>
        <w:t xml:space="preserve"> to ensure in-vessel retention of </w:t>
      </w:r>
      <w:r w:rsidR="00C27B4B" w:rsidRPr="001E3C9B">
        <w:rPr>
          <w:rFonts w:ascii="Times New Roman" w:hAnsi="Times New Roman" w:cs="Times New Roman"/>
          <w:bCs/>
          <w:noProof/>
          <w:color w:val="000000" w:themeColor="text1"/>
          <w:sz w:val="24"/>
          <w:szCs w:val="24"/>
          <w:lang w:val="mt-MT"/>
        </w:rPr>
        <w:t xml:space="preserve">the </w:t>
      </w:r>
      <w:r w:rsidR="00F7612C" w:rsidRPr="001E3C9B">
        <w:rPr>
          <w:rFonts w:ascii="Times New Roman" w:hAnsi="Times New Roman" w:cs="Times New Roman"/>
          <w:bCs/>
          <w:noProof/>
          <w:color w:val="000000" w:themeColor="text1"/>
          <w:sz w:val="24"/>
          <w:szCs w:val="24"/>
        </w:rPr>
        <w:t>melted reactor’s core</w:t>
      </w:r>
      <w:r>
        <w:rPr>
          <w:rFonts w:ascii="Times New Roman" w:hAnsi="Times New Roman" w:cs="Times New Roman"/>
          <w:bCs/>
          <w:noProof/>
          <w:color w:val="000000" w:themeColor="text1"/>
          <w:sz w:val="24"/>
          <w:szCs w:val="24"/>
        </w:rPr>
        <w:t>;</w:t>
      </w:r>
    </w:p>
    <w:p w14:paraId="38DBFAF1" w14:textId="7ABBFBFF" w:rsidR="00F7612C" w:rsidRPr="001E3C9B" w:rsidRDefault="00D157D3" w:rsidP="00F7612C">
      <w:pPr>
        <w:numPr>
          <w:ilvl w:val="0"/>
          <w:numId w:val="26"/>
        </w:numPr>
        <w:spacing w:after="120"/>
        <w:jc w:val="both"/>
        <w:rPr>
          <w:rFonts w:ascii="Times New Roman" w:hAnsi="Times New Roman" w:cs="Times New Roman"/>
          <w:noProof/>
          <w:color w:val="000000" w:themeColor="text1"/>
          <w:sz w:val="24"/>
          <w:szCs w:val="24"/>
        </w:rPr>
      </w:pPr>
      <w:r w:rsidRPr="001E3C9B">
        <w:rPr>
          <w:rFonts w:ascii="Times New Roman" w:hAnsi="Times New Roman" w:cs="Times New Roman"/>
          <w:bCs/>
          <w:noProof/>
          <w:color w:val="000000" w:themeColor="text1"/>
          <w:sz w:val="24"/>
          <w:szCs w:val="24"/>
          <w:lang w:val="mt-MT"/>
        </w:rPr>
        <w:t>c</w:t>
      </w:r>
      <w:r w:rsidR="00F7612C" w:rsidRPr="001E3C9B">
        <w:rPr>
          <w:rFonts w:ascii="Times New Roman" w:hAnsi="Times New Roman" w:cs="Times New Roman"/>
          <w:bCs/>
          <w:noProof/>
          <w:color w:val="000000" w:themeColor="text1"/>
          <w:sz w:val="24"/>
          <w:szCs w:val="24"/>
        </w:rPr>
        <w:t xml:space="preserve">ontribution to </w:t>
      </w:r>
      <w:r w:rsidR="00C27B4B" w:rsidRPr="001E3C9B">
        <w:rPr>
          <w:rFonts w:ascii="Times New Roman" w:hAnsi="Times New Roman" w:cs="Times New Roman"/>
          <w:bCs/>
          <w:noProof/>
          <w:color w:val="000000" w:themeColor="text1"/>
          <w:sz w:val="24"/>
          <w:szCs w:val="24"/>
          <w:lang w:val="mt-MT"/>
        </w:rPr>
        <w:t xml:space="preserve">the </w:t>
      </w:r>
      <w:r w:rsidR="00F7612C" w:rsidRPr="001E3C9B">
        <w:rPr>
          <w:rFonts w:ascii="Times New Roman" w:hAnsi="Times New Roman" w:cs="Times New Roman"/>
          <w:bCs/>
          <w:noProof/>
          <w:color w:val="000000" w:themeColor="text1"/>
          <w:sz w:val="24"/>
          <w:szCs w:val="24"/>
        </w:rPr>
        <w:t>safety demonstration and assessment of generic design Gen</w:t>
      </w:r>
      <w:r w:rsidRPr="001E3C9B">
        <w:rPr>
          <w:rFonts w:ascii="Times New Roman" w:hAnsi="Times New Roman" w:cs="Times New Roman"/>
          <w:bCs/>
          <w:noProof/>
          <w:color w:val="000000" w:themeColor="text1"/>
          <w:sz w:val="24"/>
          <w:szCs w:val="24"/>
          <w:lang w:val="mt-MT"/>
        </w:rPr>
        <w:t>eration</w:t>
      </w:r>
      <w:r w:rsidR="00F7612C" w:rsidRPr="001E3C9B">
        <w:rPr>
          <w:rFonts w:ascii="Times New Roman" w:hAnsi="Times New Roman" w:cs="Times New Roman"/>
          <w:bCs/>
          <w:noProof/>
          <w:color w:val="000000" w:themeColor="text1"/>
          <w:sz w:val="24"/>
          <w:szCs w:val="24"/>
        </w:rPr>
        <w:t xml:space="preserve"> IV reactors as well as testing and qualification of safety</w:t>
      </w:r>
      <w:r w:rsidR="00C71FF6">
        <w:rPr>
          <w:rFonts w:ascii="Times New Roman" w:hAnsi="Times New Roman" w:cs="Times New Roman"/>
          <w:bCs/>
          <w:noProof/>
          <w:color w:val="000000" w:themeColor="text1"/>
          <w:sz w:val="24"/>
          <w:szCs w:val="24"/>
        </w:rPr>
        <w:t>-</w:t>
      </w:r>
      <w:r w:rsidR="00F7612C" w:rsidRPr="001E3C9B">
        <w:rPr>
          <w:rFonts w:ascii="Times New Roman" w:hAnsi="Times New Roman" w:cs="Times New Roman"/>
          <w:bCs/>
          <w:noProof/>
          <w:color w:val="000000" w:themeColor="text1"/>
          <w:sz w:val="24"/>
          <w:szCs w:val="24"/>
        </w:rPr>
        <w:t>relevant components</w:t>
      </w:r>
      <w:r w:rsidR="00C71FF6">
        <w:rPr>
          <w:rFonts w:ascii="Times New Roman" w:hAnsi="Times New Roman" w:cs="Times New Roman"/>
          <w:bCs/>
          <w:noProof/>
          <w:color w:val="000000" w:themeColor="text1"/>
          <w:sz w:val="24"/>
          <w:szCs w:val="24"/>
        </w:rPr>
        <w:t>;</w:t>
      </w:r>
    </w:p>
    <w:p w14:paraId="6A36B4B5" w14:textId="1EC28A50" w:rsidR="00F7612C" w:rsidRPr="001E3C9B" w:rsidRDefault="00C71FF6" w:rsidP="00F7612C">
      <w:pPr>
        <w:numPr>
          <w:ilvl w:val="0"/>
          <w:numId w:val="26"/>
        </w:numPr>
        <w:spacing w:after="120"/>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lang w:val="mt-MT"/>
        </w:rPr>
        <w:t xml:space="preserve">the </w:t>
      </w:r>
      <w:r w:rsidR="00D157D3" w:rsidRPr="001E3C9B">
        <w:rPr>
          <w:rFonts w:ascii="Times New Roman" w:hAnsi="Times New Roman" w:cs="Times New Roman"/>
          <w:bCs/>
          <w:noProof/>
          <w:color w:val="000000" w:themeColor="text1"/>
          <w:sz w:val="24"/>
          <w:szCs w:val="24"/>
          <w:lang w:val="mt-MT"/>
        </w:rPr>
        <w:t>p</w:t>
      </w:r>
      <w:r w:rsidR="00F7612C" w:rsidRPr="001E3C9B">
        <w:rPr>
          <w:rFonts w:ascii="Times New Roman" w:hAnsi="Times New Roman" w:cs="Times New Roman"/>
          <w:bCs/>
          <w:noProof/>
          <w:color w:val="000000" w:themeColor="text1"/>
          <w:sz w:val="24"/>
          <w:szCs w:val="24"/>
        </w:rPr>
        <w:t xml:space="preserve">roduction of </w:t>
      </w:r>
      <w:r w:rsidR="00D157D3" w:rsidRPr="001E3C9B">
        <w:rPr>
          <w:rFonts w:ascii="Times New Roman" w:hAnsi="Times New Roman" w:cs="Times New Roman"/>
          <w:bCs/>
          <w:noProof/>
          <w:color w:val="000000" w:themeColor="text1"/>
          <w:sz w:val="24"/>
          <w:szCs w:val="24"/>
          <w:lang w:val="mt-MT"/>
        </w:rPr>
        <w:t>d</w:t>
      </w:r>
      <w:r w:rsidR="00F7612C" w:rsidRPr="001E3C9B">
        <w:rPr>
          <w:rFonts w:ascii="Times New Roman" w:hAnsi="Times New Roman" w:cs="Times New Roman"/>
          <w:bCs/>
          <w:noProof/>
          <w:color w:val="000000" w:themeColor="text1"/>
          <w:sz w:val="24"/>
          <w:szCs w:val="24"/>
        </w:rPr>
        <w:t>atabases on accident scenarios for all existing and new types of NPPs in Europe</w:t>
      </w:r>
      <w:r>
        <w:rPr>
          <w:rFonts w:ascii="Times New Roman" w:hAnsi="Times New Roman" w:cs="Times New Roman"/>
          <w:bCs/>
          <w:noProof/>
          <w:color w:val="000000" w:themeColor="text1"/>
          <w:sz w:val="24"/>
          <w:szCs w:val="24"/>
        </w:rPr>
        <w:t>;</w:t>
      </w:r>
    </w:p>
    <w:p w14:paraId="4FBF76B1" w14:textId="18BF658B" w:rsidR="00F7612C" w:rsidRPr="001E3C9B" w:rsidRDefault="00C71FF6" w:rsidP="00F7612C">
      <w:pPr>
        <w:numPr>
          <w:ilvl w:val="0"/>
          <w:numId w:val="26"/>
        </w:numPr>
        <w:spacing w:after="120"/>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lang w:val="mt-MT"/>
        </w:rPr>
        <w:t xml:space="preserve">the </w:t>
      </w:r>
      <w:r w:rsidR="00D157D3" w:rsidRPr="001E3C9B">
        <w:rPr>
          <w:rFonts w:ascii="Times New Roman" w:hAnsi="Times New Roman" w:cs="Times New Roman"/>
          <w:bCs/>
          <w:noProof/>
          <w:color w:val="000000" w:themeColor="text1"/>
          <w:sz w:val="24"/>
          <w:szCs w:val="24"/>
          <w:lang w:val="mt-MT"/>
        </w:rPr>
        <w:t>p</w:t>
      </w:r>
      <w:r w:rsidR="00F7612C" w:rsidRPr="001E3C9B">
        <w:rPr>
          <w:rFonts w:ascii="Times New Roman" w:hAnsi="Times New Roman" w:cs="Times New Roman"/>
          <w:bCs/>
          <w:noProof/>
          <w:color w:val="000000" w:themeColor="text1"/>
          <w:sz w:val="24"/>
          <w:szCs w:val="24"/>
        </w:rPr>
        <w:t>roduction of databases on irradiated materials and models for assess</w:t>
      </w:r>
      <w:r>
        <w:rPr>
          <w:rFonts w:ascii="Times New Roman" w:hAnsi="Times New Roman" w:cs="Times New Roman"/>
          <w:bCs/>
          <w:noProof/>
          <w:color w:val="000000" w:themeColor="text1"/>
          <w:sz w:val="24"/>
          <w:szCs w:val="24"/>
        </w:rPr>
        <w:t>ing the</w:t>
      </w:r>
      <w:r w:rsidR="002833F1">
        <w:rPr>
          <w:rFonts w:ascii="Times New Roman" w:hAnsi="Times New Roman" w:cs="Times New Roman"/>
          <w:bCs/>
          <w:noProof/>
          <w:color w:val="000000" w:themeColor="text1"/>
          <w:sz w:val="24"/>
          <w:szCs w:val="24"/>
        </w:rPr>
        <w:t xml:space="preserve"> </w:t>
      </w:r>
      <w:r w:rsidR="00F7612C" w:rsidRPr="001E3C9B">
        <w:rPr>
          <w:rFonts w:ascii="Times New Roman" w:hAnsi="Times New Roman" w:cs="Times New Roman"/>
          <w:bCs/>
          <w:noProof/>
          <w:color w:val="000000" w:themeColor="text1"/>
          <w:sz w:val="24"/>
          <w:szCs w:val="24"/>
        </w:rPr>
        <w:t>long-term integrity of primary systems and components</w:t>
      </w:r>
      <w:r>
        <w:rPr>
          <w:rFonts w:ascii="Times New Roman" w:hAnsi="Times New Roman" w:cs="Times New Roman"/>
          <w:bCs/>
          <w:noProof/>
          <w:color w:val="000000" w:themeColor="text1"/>
          <w:sz w:val="24"/>
          <w:szCs w:val="24"/>
        </w:rPr>
        <w:t>;</w:t>
      </w:r>
    </w:p>
    <w:p w14:paraId="7F395690" w14:textId="01A749C3" w:rsidR="00F7612C" w:rsidRPr="001E3C9B" w:rsidRDefault="00C71FF6" w:rsidP="00F7612C">
      <w:pPr>
        <w:numPr>
          <w:ilvl w:val="0"/>
          <w:numId w:val="26"/>
        </w:numPr>
        <w:spacing w:after="120"/>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lang w:val="mt-MT"/>
        </w:rPr>
        <w:t xml:space="preserve">the </w:t>
      </w:r>
      <w:r w:rsidR="00D157D3" w:rsidRPr="001E3C9B">
        <w:rPr>
          <w:rFonts w:ascii="Times New Roman" w:hAnsi="Times New Roman" w:cs="Times New Roman"/>
          <w:bCs/>
          <w:noProof/>
          <w:color w:val="000000" w:themeColor="text1"/>
          <w:sz w:val="24"/>
          <w:szCs w:val="24"/>
          <w:lang w:val="mt-MT"/>
        </w:rPr>
        <w:t>p</w:t>
      </w:r>
      <w:r w:rsidR="00F7612C" w:rsidRPr="001E3C9B">
        <w:rPr>
          <w:rFonts w:ascii="Times New Roman" w:hAnsi="Times New Roman" w:cs="Times New Roman"/>
          <w:bCs/>
          <w:noProof/>
          <w:color w:val="000000" w:themeColor="text1"/>
          <w:sz w:val="24"/>
          <w:szCs w:val="24"/>
        </w:rPr>
        <w:t>reparation of protocols for fatigue</w:t>
      </w:r>
      <w:r w:rsidR="00D157D3" w:rsidRPr="001E3C9B">
        <w:rPr>
          <w:rFonts w:ascii="Times New Roman" w:hAnsi="Times New Roman" w:cs="Times New Roman"/>
          <w:bCs/>
          <w:noProof/>
          <w:color w:val="000000" w:themeColor="text1"/>
          <w:sz w:val="24"/>
          <w:szCs w:val="24"/>
          <w:lang w:val="mt-MT"/>
        </w:rPr>
        <w:t>-</w:t>
      </w:r>
      <w:r w:rsidR="00F7612C" w:rsidRPr="001E3C9B">
        <w:rPr>
          <w:rFonts w:ascii="Times New Roman" w:hAnsi="Times New Roman" w:cs="Times New Roman"/>
          <w:bCs/>
          <w:noProof/>
          <w:color w:val="000000" w:themeColor="text1"/>
          <w:sz w:val="24"/>
          <w:szCs w:val="24"/>
        </w:rPr>
        <w:t>testing NPP components</w:t>
      </w:r>
      <w:r>
        <w:rPr>
          <w:rFonts w:ascii="Times New Roman" w:hAnsi="Times New Roman" w:cs="Times New Roman"/>
          <w:bCs/>
          <w:noProof/>
          <w:color w:val="000000" w:themeColor="text1"/>
          <w:sz w:val="24"/>
          <w:szCs w:val="24"/>
        </w:rPr>
        <w:t>;</w:t>
      </w:r>
    </w:p>
    <w:p w14:paraId="55BAD297" w14:textId="09C55D2A" w:rsidR="00F7612C" w:rsidRPr="001E3C9B" w:rsidRDefault="00C71FF6" w:rsidP="00F7612C">
      <w:pPr>
        <w:numPr>
          <w:ilvl w:val="0"/>
          <w:numId w:val="26"/>
        </w:numPr>
        <w:spacing w:after="120"/>
        <w:jc w:val="both"/>
        <w:rPr>
          <w:rFonts w:ascii="Times New Roman" w:hAnsi="Times New Roman" w:cs="Times New Roman"/>
          <w:noProof/>
          <w:color w:val="000000" w:themeColor="text1"/>
          <w:sz w:val="24"/>
          <w:szCs w:val="24"/>
        </w:rPr>
      </w:pPr>
      <w:r>
        <w:rPr>
          <w:rFonts w:ascii="Times New Roman" w:hAnsi="Times New Roman" w:cs="Times New Roman"/>
          <w:bCs/>
          <w:noProof/>
          <w:color w:val="000000" w:themeColor="text1"/>
          <w:sz w:val="24"/>
          <w:szCs w:val="24"/>
          <w:lang w:val="mt-MT"/>
        </w:rPr>
        <w:t>the design</w:t>
      </w:r>
      <w:r w:rsidR="009042FB">
        <w:rPr>
          <w:rFonts w:ascii="Times New Roman" w:hAnsi="Times New Roman" w:cs="Times New Roman"/>
          <w:bCs/>
          <w:noProof/>
          <w:color w:val="000000" w:themeColor="text1"/>
          <w:sz w:val="24"/>
          <w:szCs w:val="24"/>
          <w:lang w:val="mt-MT"/>
        </w:rPr>
        <w:t xml:space="preserve"> and testing</w:t>
      </w:r>
      <w:r>
        <w:rPr>
          <w:rFonts w:ascii="Times New Roman" w:hAnsi="Times New Roman" w:cs="Times New Roman"/>
          <w:bCs/>
          <w:noProof/>
          <w:color w:val="000000" w:themeColor="text1"/>
          <w:sz w:val="24"/>
          <w:szCs w:val="24"/>
          <w:lang w:val="mt-MT"/>
        </w:rPr>
        <w:t xml:space="preserve"> of </w:t>
      </w:r>
      <w:r w:rsidR="00D157D3" w:rsidRPr="001E3C9B">
        <w:rPr>
          <w:rFonts w:ascii="Times New Roman" w:hAnsi="Times New Roman" w:cs="Times New Roman"/>
          <w:bCs/>
          <w:noProof/>
          <w:color w:val="000000" w:themeColor="text1"/>
          <w:sz w:val="24"/>
          <w:szCs w:val="24"/>
          <w:lang w:val="mt-MT"/>
        </w:rPr>
        <w:t>i</w:t>
      </w:r>
      <w:r w:rsidR="00F7612C" w:rsidRPr="001E3C9B">
        <w:rPr>
          <w:rFonts w:ascii="Times New Roman" w:hAnsi="Times New Roman" w:cs="Times New Roman"/>
          <w:bCs/>
          <w:noProof/>
          <w:color w:val="000000" w:themeColor="text1"/>
          <w:sz w:val="24"/>
          <w:szCs w:val="24"/>
        </w:rPr>
        <w:t>nnovative</w:t>
      </w:r>
      <w:r w:rsidR="00F7612C" w:rsidRPr="001E3C9B">
        <w:rPr>
          <w:rFonts w:ascii="Times New Roman" w:hAnsi="Times New Roman" w:cs="Times New Roman"/>
          <w:noProof/>
          <w:color w:val="000000" w:themeColor="text1"/>
          <w:sz w:val="24"/>
          <w:szCs w:val="24"/>
        </w:rPr>
        <w:t> backup cooling system</w:t>
      </w:r>
      <w:r>
        <w:rPr>
          <w:rFonts w:ascii="Times New Roman" w:hAnsi="Times New Roman" w:cs="Times New Roman"/>
          <w:noProof/>
          <w:color w:val="000000" w:themeColor="text1"/>
          <w:sz w:val="24"/>
          <w:szCs w:val="24"/>
        </w:rPr>
        <w:t>s</w:t>
      </w:r>
      <w:r w:rsidR="00F7612C" w:rsidRPr="001E3C9B">
        <w:rPr>
          <w:rFonts w:ascii="Times New Roman" w:hAnsi="Times New Roman" w:cs="Times New Roman"/>
          <w:noProof/>
          <w:color w:val="000000" w:themeColor="text1"/>
          <w:sz w:val="24"/>
          <w:szCs w:val="24"/>
        </w:rPr>
        <w:t xml:space="preserve"> that </w:t>
      </w:r>
      <w:r w:rsidR="00F7612C" w:rsidRPr="001E3C9B">
        <w:rPr>
          <w:rFonts w:ascii="Times New Roman" w:hAnsi="Times New Roman" w:cs="Times New Roman"/>
          <w:bCs/>
          <w:noProof/>
          <w:color w:val="000000" w:themeColor="text1"/>
          <w:sz w:val="24"/>
          <w:szCs w:val="24"/>
        </w:rPr>
        <w:t>can be retrofitted into existing NPPs and included in future NPPs</w:t>
      </w:r>
      <w:r>
        <w:rPr>
          <w:rFonts w:ascii="Times New Roman" w:hAnsi="Times New Roman" w:cs="Times New Roman"/>
          <w:bCs/>
          <w:noProof/>
          <w:color w:val="000000" w:themeColor="text1"/>
          <w:sz w:val="24"/>
          <w:szCs w:val="24"/>
        </w:rPr>
        <w:t>;</w:t>
      </w:r>
    </w:p>
    <w:p w14:paraId="7B2DC37E" w14:textId="6079E064" w:rsidR="00F7612C" w:rsidRPr="001E3C9B" w:rsidRDefault="00C71FF6" w:rsidP="00F7612C">
      <w:pPr>
        <w:numPr>
          <w:ilvl w:val="0"/>
          <w:numId w:val="26"/>
        </w:numPr>
        <w:spacing w:after="120"/>
        <w:jc w:val="both"/>
        <w:rPr>
          <w:rFonts w:ascii="Times New Roman" w:hAnsi="Times New Roman" w:cs="Times New Roman"/>
          <w:noProof/>
          <w:color w:val="000000" w:themeColor="text1"/>
          <w:sz w:val="24"/>
          <w:szCs w:val="24"/>
        </w:rPr>
      </w:pPr>
      <w:r>
        <w:rPr>
          <w:rFonts w:ascii="Times New Roman" w:hAnsi="Times New Roman" w:cs="Times New Roman"/>
          <w:bCs/>
          <w:noProof/>
          <w:color w:val="000000" w:themeColor="text1"/>
          <w:sz w:val="24"/>
          <w:szCs w:val="24"/>
          <w:lang w:val="mt-MT"/>
        </w:rPr>
        <w:t xml:space="preserve">the </w:t>
      </w:r>
      <w:r w:rsidR="00D157D3" w:rsidRPr="001E3C9B">
        <w:rPr>
          <w:rFonts w:ascii="Times New Roman" w:hAnsi="Times New Roman" w:cs="Times New Roman"/>
          <w:bCs/>
          <w:noProof/>
          <w:color w:val="000000" w:themeColor="text1"/>
          <w:sz w:val="24"/>
          <w:szCs w:val="24"/>
          <w:lang w:val="mt-MT"/>
        </w:rPr>
        <w:t>d</w:t>
      </w:r>
      <w:r w:rsidR="00F7612C" w:rsidRPr="001E3C9B">
        <w:rPr>
          <w:rFonts w:ascii="Times New Roman" w:hAnsi="Times New Roman" w:cs="Times New Roman"/>
          <w:bCs/>
          <w:noProof/>
          <w:color w:val="000000" w:themeColor="text1"/>
          <w:sz w:val="24"/>
          <w:szCs w:val="24"/>
        </w:rPr>
        <w:t xml:space="preserve">evelopment of advanced materials for nuclear systems, including computer models to evaluate radiation effects, </w:t>
      </w:r>
      <w:r>
        <w:rPr>
          <w:rFonts w:ascii="Times New Roman" w:hAnsi="Times New Roman" w:cs="Times New Roman"/>
          <w:bCs/>
          <w:noProof/>
          <w:color w:val="000000" w:themeColor="text1"/>
          <w:sz w:val="24"/>
          <w:szCs w:val="24"/>
        </w:rPr>
        <w:t xml:space="preserve">and the </w:t>
      </w:r>
      <w:r w:rsidR="00F7612C" w:rsidRPr="001E3C9B">
        <w:rPr>
          <w:rFonts w:ascii="Times New Roman" w:hAnsi="Times New Roman" w:cs="Times New Roman"/>
          <w:bCs/>
          <w:noProof/>
          <w:color w:val="000000" w:themeColor="text1"/>
          <w:sz w:val="24"/>
          <w:szCs w:val="24"/>
        </w:rPr>
        <w:t>development of new structural materials and their stress testing</w:t>
      </w:r>
      <w:r>
        <w:rPr>
          <w:rFonts w:ascii="Times New Roman" w:hAnsi="Times New Roman" w:cs="Times New Roman"/>
          <w:bCs/>
          <w:noProof/>
          <w:color w:val="000000" w:themeColor="text1"/>
          <w:sz w:val="24"/>
          <w:szCs w:val="24"/>
        </w:rPr>
        <w:t>;</w:t>
      </w:r>
    </w:p>
    <w:p w14:paraId="25B1B468" w14:textId="2614C629" w:rsidR="00F7612C" w:rsidRPr="001E3C9B" w:rsidRDefault="00D157D3" w:rsidP="00F7612C">
      <w:pPr>
        <w:numPr>
          <w:ilvl w:val="0"/>
          <w:numId w:val="26"/>
        </w:numPr>
        <w:spacing w:after="120"/>
        <w:jc w:val="both"/>
        <w:rPr>
          <w:rFonts w:ascii="Times New Roman" w:hAnsi="Times New Roman" w:cs="Times New Roman"/>
          <w:noProof/>
          <w:color w:val="000000" w:themeColor="text1"/>
          <w:sz w:val="24"/>
          <w:szCs w:val="24"/>
        </w:rPr>
      </w:pPr>
      <w:r w:rsidRPr="001E3C9B">
        <w:rPr>
          <w:rFonts w:ascii="Times New Roman" w:hAnsi="Times New Roman" w:cs="Times New Roman"/>
          <w:bCs/>
          <w:noProof/>
          <w:color w:val="000000" w:themeColor="text1"/>
          <w:sz w:val="24"/>
          <w:szCs w:val="24"/>
          <w:lang w:val="mt-MT"/>
        </w:rPr>
        <w:t>t</w:t>
      </w:r>
      <w:r w:rsidR="00F7612C" w:rsidRPr="001E3C9B">
        <w:rPr>
          <w:rFonts w:ascii="Times New Roman" w:hAnsi="Times New Roman" w:cs="Times New Roman"/>
          <w:bCs/>
          <w:noProof/>
          <w:color w:val="000000" w:themeColor="text1"/>
          <w:sz w:val="24"/>
          <w:szCs w:val="24"/>
        </w:rPr>
        <w:t xml:space="preserve">ools and methods </w:t>
      </w:r>
      <w:r w:rsidR="00F7612C" w:rsidRPr="001E3C9B">
        <w:rPr>
          <w:rFonts w:ascii="Times New Roman" w:hAnsi="Times New Roman" w:cs="Times New Roman"/>
          <w:noProof/>
          <w:color w:val="000000" w:themeColor="text1"/>
          <w:sz w:val="24"/>
          <w:szCs w:val="24"/>
        </w:rPr>
        <w:t>for safe decommissioning and dismantling</w:t>
      </w:r>
      <w:r w:rsidR="00C71FF6">
        <w:rPr>
          <w:rFonts w:ascii="Times New Roman" w:hAnsi="Times New Roman" w:cs="Times New Roman"/>
          <w:noProof/>
          <w:color w:val="000000" w:themeColor="text1"/>
          <w:sz w:val="24"/>
          <w:szCs w:val="24"/>
        </w:rPr>
        <w:t>,</w:t>
      </w:r>
      <w:r w:rsidR="00F7612C" w:rsidRPr="001E3C9B">
        <w:rPr>
          <w:rFonts w:ascii="Times New Roman" w:hAnsi="Times New Roman" w:cs="Times New Roman"/>
          <w:noProof/>
          <w:color w:val="000000" w:themeColor="text1"/>
          <w:sz w:val="24"/>
          <w:szCs w:val="24"/>
        </w:rPr>
        <w:t xml:space="preserve"> which should reduce risks</w:t>
      </w:r>
      <w:r w:rsidR="00C71FF6">
        <w:rPr>
          <w:rFonts w:ascii="Times New Roman" w:hAnsi="Times New Roman" w:cs="Times New Roman"/>
          <w:noProof/>
          <w:color w:val="000000" w:themeColor="text1"/>
          <w:sz w:val="24"/>
          <w:szCs w:val="24"/>
        </w:rPr>
        <w:t>.</w:t>
      </w:r>
    </w:p>
    <w:p w14:paraId="2D62C888" w14:textId="06F51963" w:rsidR="00F7612C" w:rsidRPr="001E3C9B" w:rsidRDefault="00F7612C" w:rsidP="00F7612C">
      <w:pPr>
        <w:spacing w:after="120"/>
        <w:jc w:val="both"/>
        <w:rPr>
          <w:rFonts w:ascii="Times New Roman" w:hAnsi="Times New Roman" w:cs="Times New Roman"/>
          <w:noProof/>
          <w:color w:val="000000" w:themeColor="text1"/>
          <w:sz w:val="24"/>
          <w:szCs w:val="24"/>
        </w:rPr>
      </w:pPr>
      <w:r w:rsidRPr="001E3C9B">
        <w:rPr>
          <w:rFonts w:ascii="Times New Roman" w:hAnsi="Times New Roman" w:cs="Times New Roman"/>
          <w:iCs/>
          <w:noProof/>
          <w:color w:val="000000" w:themeColor="text1"/>
          <w:sz w:val="24"/>
          <w:szCs w:val="24"/>
        </w:rPr>
        <w:t xml:space="preserve">In some cases, outputs and deliverables are already being used by project stakeholders (industries, utilities, </w:t>
      </w:r>
      <w:r w:rsidR="00C27B4B" w:rsidRPr="001E3C9B">
        <w:rPr>
          <w:rFonts w:ascii="Times New Roman" w:hAnsi="Times New Roman" w:cs="Times New Roman"/>
          <w:iCs/>
          <w:noProof/>
          <w:color w:val="000000" w:themeColor="text1"/>
          <w:sz w:val="24"/>
          <w:szCs w:val="24"/>
        </w:rPr>
        <w:t>transmission</w:t>
      </w:r>
      <w:r w:rsidR="002713DF">
        <w:rPr>
          <w:rFonts w:ascii="Times New Roman" w:hAnsi="Times New Roman" w:cs="Times New Roman"/>
          <w:iCs/>
          <w:noProof/>
          <w:color w:val="000000" w:themeColor="text1"/>
          <w:sz w:val="24"/>
          <w:szCs w:val="24"/>
        </w:rPr>
        <w:t>-</w:t>
      </w:r>
      <w:r w:rsidR="00C27B4B" w:rsidRPr="001E3C9B">
        <w:rPr>
          <w:rFonts w:ascii="Times New Roman" w:hAnsi="Times New Roman" w:cs="Times New Roman"/>
          <w:iCs/>
          <w:noProof/>
          <w:color w:val="000000" w:themeColor="text1"/>
          <w:sz w:val="24"/>
          <w:szCs w:val="24"/>
        </w:rPr>
        <w:t>system operator</w:t>
      </w:r>
      <w:r w:rsidRPr="001E3C9B">
        <w:rPr>
          <w:rFonts w:ascii="Times New Roman" w:hAnsi="Times New Roman" w:cs="Times New Roman"/>
          <w:iCs/>
          <w:noProof/>
          <w:color w:val="000000" w:themeColor="text1"/>
          <w:sz w:val="24"/>
          <w:szCs w:val="24"/>
        </w:rPr>
        <w:t>s, safety authorities, etc.) and end-users.</w:t>
      </w:r>
      <w:r w:rsidRPr="001E3C9B">
        <w:rPr>
          <w:rFonts w:ascii="Times New Roman" w:hAnsi="Times New Roman" w:cs="Times New Roman"/>
          <w:noProof/>
          <w:color w:val="000000" w:themeColor="text1"/>
          <w:sz w:val="24"/>
          <w:szCs w:val="24"/>
        </w:rPr>
        <w:t xml:space="preserve"> </w:t>
      </w:r>
    </w:p>
    <w:p w14:paraId="048C9333" w14:textId="488DC1D6" w:rsidR="001729C8" w:rsidRPr="001E3C9B" w:rsidRDefault="001729C8" w:rsidP="001729C8">
      <w:pPr>
        <w:spacing w:beforeLines="40" w:before="96" w:afterLines="40" w:after="96" w:line="259" w:lineRule="auto"/>
        <w:jc w:val="both"/>
        <w:rPr>
          <w:rFonts w:ascii="Times New Roman" w:hAnsi="Times New Roman" w:cs="Times New Roman"/>
          <w:iCs/>
          <w:noProof/>
          <w:color w:val="000000" w:themeColor="text1"/>
          <w:sz w:val="24"/>
          <w:szCs w:val="24"/>
        </w:rPr>
      </w:pPr>
      <w:r w:rsidRPr="001E3C9B">
        <w:rPr>
          <w:rFonts w:ascii="Times New Roman" w:hAnsi="Times New Roman" w:cs="Times New Roman"/>
          <w:iCs/>
          <w:noProof/>
          <w:color w:val="000000" w:themeColor="text1"/>
          <w:sz w:val="24"/>
          <w:szCs w:val="24"/>
        </w:rPr>
        <w:t>The Programme ha</w:t>
      </w:r>
      <w:r w:rsidR="00D5539E">
        <w:rPr>
          <w:rFonts w:ascii="Times New Roman" w:hAnsi="Times New Roman" w:cs="Times New Roman"/>
          <w:iCs/>
          <w:noProof/>
          <w:color w:val="000000" w:themeColor="text1"/>
          <w:sz w:val="24"/>
          <w:szCs w:val="24"/>
        </w:rPr>
        <w:t>s</w:t>
      </w:r>
      <w:r w:rsidRPr="001E3C9B">
        <w:rPr>
          <w:rFonts w:ascii="Times New Roman" w:hAnsi="Times New Roman" w:cs="Times New Roman"/>
          <w:iCs/>
          <w:noProof/>
          <w:color w:val="000000" w:themeColor="text1"/>
          <w:sz w:val="24"/>
          <w:szCs w:val="24"/>
        </w:rPr>
        <w:t xml:space="preserve"> been successful in the area of radiation protection </w:t>
      </w:r>
      <w:r w:rsidR="00635448">
        <w:rPr>
          <w:rFonts w:ascii="Times New Roman" w:hAnsi="Times New Roman" w:cs="Times New Roman"/>
          <w:iCs/>
          <w:noProof/>
          <w:color w:val="000000" w:themeColor="text1"/>
          <w:sz w:val="24"/>
          <w:szCs w:val="24"/>
        </w:rPr>
        <w:t>by: (i)</w:t>
      </w:r>
      <w:r w:rsidR="00635448" w:rsidRPr="001E3C9B">
        <w:rPr>
          <w:rFonts w:ascii="Times New Roman" w:hAnsi="Times New Roman" w:cs="Times New Roman"/>
          <w:iCs/>
          <w:noProof/>
          <w:color w:val="000000" w:themeColor="text1"/>
          <w:sz w:val="24"/>
          <w:szCs w:val="24"/>
        </w:rPr>
        <w:t xml:space="preserve"> </w:t>
      </w:r>
      <w:r w:rsidRPr="001E3C9B">
        <w:rPr>
          <w:rFonts w:ascii="Times New Roman" w:hAnsi="Times New Roman" w:cs="Times New Roman"/>
          <w:iCs/>
          <w:noProof/>
          <w:color w:val="000000" w:themeColor="text1"/>
          <w:sz w:val="24"/>
          <w:szCs w:val="24"/>
        </w:rPr>
        <w:t>bringing together several research platforms, organi</w:t>
      </w:r>
      <w:r w:rsidR="00C27B4B" w:rsidRPr="001E3C9B">
        <w:rPr>
          <w:rFonts w:ascii="Times New Roman" w:hAnsi="Times New Roman" w:cs="Times New Roman"/>
          <w:iCs/>
          <w:noProof/>
          <w:color w:val="000000" w:themeColor="text1"/>
          <w:sz w:val="24"/>
          <w:szCs w:val="24"/>
          <w:lang w:val="mt-MT"/>
        </w:rPr>
        <w:t>s</w:t>
      </w:r>
      <w:r w:rsidRPr="001E3C9B">
        <w:rPr>
          <w:rFonts w:ascii="Times New Roman" w:hAnsi="Times New Roman" w:cs="Times New Roman"/>
          <w:iCs/>
          <w:noProof/>
          <w:color w:val="000000" w:themeColor="text1"/>
          <w:sz w:val="24"/>
          <w:szCs w:val="24"/>
        </w:rPr>
        <w:t>ations and institutions for the very first time in the EU</w:t>
      </w:r>
      <w:r w:rsidR="00635448">
        <w:rPr>
          <w:rFonts w:ascii="Times New Roman" w:hAnsi="Times New Roman" w:cs="Times New Roman"/>
          <w:iCs/>
          <w:noProof/>
          <w:color w:val="000000" w:themeColor="text1"/>
          <w:sz w:val="24"/>
          <w:szCs w:val="24"/>
        </w:rPr>
        <w:t>;</w:t>
      </w:r>
      <w:r w:rsidRPr="001E3C9B">
        <w:rPr>
          <w:rFonts w:ascii="Times New Roman" w:hAnsi="Times New Roman" w:cs="Times New Roman"/>
          <w:iCs/>
          <w:noProof/>
          <w:color w:val="000000" w:themeColor="text1"/>
          <w:sz w:val="24"/>
          <w:szCs w:val="24"/>
        </w:rPr>
        <w:t xml:space="preserve"> and</w:t>
      </w:r>
      <w:r w:rsidR="00635448">
        <w:rPr>
          <w:rFonts w:ascii="Times New Roman" w:hAnsi="Times New Roman" w:cs="Times New Roman"/>
          <w:iCs/>
          <w:noProof/>
          <w:color w:val="000000" w:themeColor="text1"/>
          <w:sz w:val="24"/>
          <w:szCs w:val="24"/>
        </w:rPr>
        <w:t xml:space="preserve"> (ii)</w:t>
      </w:r>
      <w:r w:rsidRPr="001E3C9B">
        <w:rPr>
          <w:rFonts w:ascii="Times New Roman" w:hAnsi="Times New Roman" w:cs="Times New Roman"/>
          <w:iCs/>
          <w:noProof/>
          <w:color w:val="000000" w:themeColor="text1"/>
          <w:sz w:val="24"/>
          <w:szCs w:val="24"/>
        </w:rPr>
        <w:t xml:space="preserve"> develop</w:t>
      </w:r>
      <w:r w:rsidR="002713DF">
        <w:rPr>
          <w:rFonts w:ascii="Times New Roman" w:hAnsi="Times New Roman" w:cs="Times New Roman"/>
          <w:iCs/>
          <w:noProof/>
          <w:color w:val="000000" w:themeColor="text1"/>
          <w:sz w:val="24"/>
          <w:szCs w:val="24"/>
        </w:rPr>
        <w:t>ing</w:t>
      </w:r>
      <w:r w:rsidRPr="001E3C9B">
        <w:rPr>
          <w:rFonts w:ascii="Times New Roman" w:hAnsi="Times New Roman" w:cs="Times New Roman"/>
          <w:iCs/>
          <w:noProof/>
          <w:color w:val="000000" w:themeColor="text1"/>
          <w:sz w:val="24"/>
          <w:szCs w:val="24"/>
        </w:rPr>
        <w:t xml:space="preserve"> the very first </w:t>
      </w:r>
      <w:r w:rsidR="001A2E71" w:rsidRPr="001E3C9B">
        <w:rPr>
          <w:rFonts w:ascii="Times New Roman" w:hAnsi="Times New Roman" w:cs="Times New Roman"/>
          <w:iCs/>
          <w:noProof/>
          <w:color w:val="000000" w:themeColor="text1"/>
          <w:sz w:val="24"/>
          <w:szCs w:val="24"/>
          <w:lang w:val="mt-MT"/>
        </w:rPr>
        <w:t>j</w:t>
      </w:r>
      <w:r w:rsidRPr="001E3C9B">
        <w:rPr>
          <w:rFonts w:ascii="Times New Roman" w:hAnsi="Times New Roman" w:cs="Times New Roman"/>
          <w:iCs/>
          <w:noProof/>
          <w:color w:val="000000" w:themeColor="text1"/>
          <w:sz w:val="24"/>
          <w:szCs w:val="24"/>
        </w:rPr>
        <w:t xml:space="preserve">oint roadmap for radiation protection. Lessons learned from </w:t>
      </w:r>
      <w:r w:rsidR="00C27B4B" w:rsidRPr="001E3C9B">
        <w:rPr>
          <w:rFonts w:ascii="Times New Roman" w:hAnsi="Times New Roman" w:cs="Times New Roman"/>
          <w:iCs/>
          <w:noProof/>
          <w:color w:val="000000" w:themeColor="text1"/>
          <w:sz w:val="24"/>
          <w:szCs w:val="24"/>
          <w:lang w:val="mt-MT"/>
        </w:rPr>
        <w:t xml:space="preserve">the </w:t>
      </w:r>
      <w:r w:rsidRPr="001E3C9B">
        <w:rPr>
          <w:rFonts w:ascii="Times New Roman" w:hAnsi="Times New Roman" w:cs="Times New Roman"/>
          <w:iCs/>
          <w:noProof/>
          <w:color w:val="000000" w:themeColor="text1"/>
          <w:sz w:val="24"/>
          <w:szCs w:val="24"/>
        </w:rPr>
        <w:t xml:space="preserve">drafting </w:t>
      </w:r>
      <w:r w:rsidR="002713DF">
        <w:rPr>
          <w:rFonts w:ascii="Times New Roman" w:hAnsi="Times New Roman" w:cs="Times New Roman"/>
          <w:iCs/>
          <w:noProof/>
          <w:color w:val="000000" w:themeColor="text1"/>
          <w:sz w:val="24"/>
          <w:szCs w:val="24"/>
        </w:rPr>
        <w:t xml:space="preserve">of this first roadmap </w:t>
      </w:r>
      <w:r w:rsidR="00C27B4B" w:rsidRPr="001E3C9B">
        <w:rPr>
          <w:rFonts w:ascii="Times New Roman" w:hAnsi="Times New Roman" w:cs="Times New Roman"/>
          <w:iCs/>
          <w:noProof/>
          <w:color w:val="000000" w:themeColor="text1"/>
          <w:sz w:val="24"/>
          <w:szCs w:val="24"/>
          <w:lang w:val="mt-MT"/>
        </w:rPr>
        <w:t>are</w:t>
      </w:r>
      <w:r w:rsidRPr="001E3C9B">
        <w:rPr>
          <w:rFonts w:ascii="Times New Roman" w:hAnsi="Times New Roman" w:cs="Times New Roman"/>
          <w:iCs/>
          <w:noProof/>
          <w:color w:val="000000" w:themeColor="text1"/>
          <w:sz w:val="24"/>
          <w:szCs w:val="24"/>
        </w:rPr>
        <w:t xml:space="preserve"> already reflected in </w:t>
      </w:r>
      <w:r w:rsidR="001A2E71" w:rsidRPr="001E3C9B">
        <w:rPr>
          <w:rFonts w:ascii="Times New Roman" w:hAnsi="Times New Roman" w:cs="Times New Roman"/>
          <w:iCs/>
          <w:noProof/>
          <w:color w:val="000000" w:themeColor="text1"/>
          <w:sz w:val="24"/>
          <w:szCs w:val="24"/>
          <w:lang w:val="mt-MT"/>
        </w:rPr>
        <w:t xml:space="preserve">the </w:t>
      </w:r>
      <w:r w:rsidRPr="001E3C9B">
        <w:rPr>
          <w:rFonts w:ascii="Times New Roman" w:hAnsi="Times New Roman" w:cs="Times New Roman"/>
          <w:iCs/>
          <w:noProof/>
          <w:color w:val="000000" w:themeColor="text1"/>
          <w:sz w:val="24"/>
          <w:szCs w:val="24"/>
        </w:rPr>
        <w:t xml:space="preserve">development of </w:t>
      </w:r>
      <w:r w:rsidR="001A2E71" w:rsidRPr="001E3C9B">
        <w:rPr>
          <w:rFonts w:ascii="Times New Roman" w:hAnsi="Times New Roman" w:cs="Times New Roman"/>
          <w:iCs/>
          <w:noProof/>
          <w:color w:val="000000" w:themeColor="text1"/>
          <w:sz w:val="24"/>
          <w:szCs w:val="24"/>
          <w:lang w:val="mt-MT"/>
        </w:rPr>
        <w:t>a</w:t>
      </w:r>
      <w:r w:rsidRPr="001E3C9B">
        <w:rPr>
          <w:rFonts w:ascii="Times New Roman" w:hAnsi="Times New Roman" w:cs="Times New Roman"/>
          <w:iCs/>
          <w:noProof/>
          <w:color w:val="000000" w:themeColor="text1"/>
          <w:sz w:val="24"/>
          <w:szCs w:val="24"/>
        </w:rPr>
        <w:t xml:space="preserve"> more specific </w:t>
      </w:r>
      <w:r w:rsidR="00C27B4B" w:rsidRPr="001E3C9B">
        <w:rPr>
          <w:rFonts w:ascii="Times New Roman" w:hAnsi="Times New Roman" w:cs="Times New Roman"/>
          <w:iCs/>
          <w:noProof/>
          <w:color w:val="000000" w:themeColor="text1"/>
          <w:sz w:val="24"/>
          <w:szCs w:val="24"/>
          <w:lang w:val="mt-MT"/>
        </w:rPr>
        <w:t>strategic research agenda (</w:t>
      </w:r>
      <w:r w:rsidRPr="001E3C9B">
        <w:rPr>
          <w:rFonts w:ascii="Times New Roman" w:hAnsi="Times New Roman" w:cs="Times New Roman"/>
          <w:iCs/>
          <w:noProof/>
          <w:color w:val="000000" w:themeColor="text1"/>
          <w:sz w:val="24"/>
          <w:szCs w:val="24"/>
        </w:rPr>
        <w:t>SRA</w:t>
      </w:r>
      <w:r w:rsidR="00C27B4B" w:rsidRPr="001E3C9B">
        <w:rPr>
          <w:rFonts w:ascii="Times New Roman" w:hAnsi="Times New Roman" w:cs="Times New Roman"/>
          <w:iCs/>
          <w:noProof/>
          <w:color w:val="000000" w:themeColor="text1"/>
          <w:sz w:val="24"/>
          <w:szCs w:val="24"/>
          <w:lang w:val="mt-MT"/>
        </w:rPr>
        <w:t>)</w:t>
      </w:r>
      <w:r w:rsidRPr="001E3C9B">
        <w:rPr>
          <w:rFonts w:ascii="Times New Roman" w:hAnsi="Times New Roman" w:cs="Times New Roman"/>
          <w:iCs/>
          <w:noProof/>
          <w:color w:val="000000" w:themeColor="text1"/>
          <w:sz w:val="24"/>
          <w:szCs w:val="24"/>
        </w:rPr>
        <w:t xml:space="preserve"> in </w:t>
      </w:r>
      <w:r w:rsidR="001B42ED" w:rsidRPr="001E3C9B">
        <w:rPr>
          <w:rFonts w:ascii="Times New Roman" w:hAnsi="Times New Roman" w:cs="Times New Roman"/>
          <w:iCs/>
          <w:noProof/>
          <w:color w:val="000000" w:themeColor="text1"/>
          <w:sz w:val="24"/>
          <w:szCs w:val="24"/>
        </w:rPr>
        <w:t xml:space="preserve">the </w:t>
      </w:r>
      <w:r w:rsidRPr="001E3C9B">
        <w:rPr>
          <w:rFonts w:ascii="Times New Roman" w:hAnsi="Times New Roman" w:cs="Times New Roman"/>
          <w:iCs/>
          <w:noProof/>
          <w:color w:val="000000" w:themeColor="text1"/>
          <w:sz w:val="24"/>
          <w:szCs w:val="24"/>
        </w:rPr>
        <w:t xml:space="preserve">medical field </w:t>
      </w:r>
      <w:r w:rsidR="002713DF">
        <w:rPr>
          <w:rFonts w:ascii="Times New Roman" w:hAnsi="Times New Roman" w:cs="Times New Roman"/>
          <w:iCs/>
          <w:noProof/>
          <w:color w:val="000000" w:themeColor="text1"/>
          <w:sz w:val="24"/>
          <w:szCs w:val="24"/>
        </w:rPr>
        <w:t>as part of</w:t>
      </w:r>
      <w:r w:rsidR="002713DF" w:rsidRPr="001E3C9B">
        <w:rPr>
          <w:rFonts w:ascii="Times New Roman" w:hAnsi="Times New Roman" w:cs="Times New Roman"/>
          <w:iCs/>
          <w:noProof/>
          <w:color w:val="000000" w:themeColor="text1"/>
          <w:sz w:val="24"/>
          <w:szCs w:val="24"/>
        </w:rPr>
        <w:t xml:space="preserve"> </w:t>
      </w:r>
      <w:r w:rsidR="001A2E71" w:rsidRPr="001E3C9B">
        <w:rPr>
          <w:rFonts w:ascii="Times New Roman" w:hAnsi="Times New Roman" w:cs="Times New Roman"/>
          <w:iCs/>
          <w:noProof/>
          <w:color w:val="000000" w:themeColor="text1"/>
          <w:sz w:val="24"/>
          <w:szCs w:val="24"/>
          <w:lang w:val="mt-MT"/>
        </w:rPr>
        <w:t xml:space="preserve">the </w:t>
      </w:r>
      <w:r w:rsidRPr="001E3C9B">
        <w:rPr>
          <w:rFonts w:ascii="Times New Roman" w:hAnsi="Times New Roman" w:cs="Times New Roman"/>
          <w:iCs/>
          <w:noProof/>
          <w:color w:val="000000" w:themeColor="text1"/>
          <w:sz w:val="24"/>
          <w:szCs w:val="24"/>
        </w:rPr>
        <w:t>EURAMED rocc-n-roll</w:t>
      </w:r>
      <w:r w:rsidR="001A2E71" w:rsidRPr="001E3C9B">
        <w:rPr>
          <w:rFonts w:ascii="Times New Roman" w:hAnsi="Times New Roman" w:cs="Times New Roman"/>
          <w:iCs/>
          <w:noProof/>
          <w:color w:val="000000" w:themeColor="text1"/>
          <w:sz w:val="24"/>
          <w:szCs w:val="24"/>
          <w:lang w:val="mt-MT"/>
        </w:rPr>
        <w:t xml:space="preserve"> project</w:t>
      </w:r>
      <w:r w:rsidRPr="001E3C9B">
        <w:rPr>
          <w:rFonts w:ascii="Times New Roman" w:hAnsi="Times New Roman" w:cs="Times New Roman"/>
          <w:iCs/>
          <w:noProof/>
          <w:color w:val="000000" w:themeColor="text1"/>
          <w:sz w:val="24"/>
          <w:szCs w:val="24"/>
        </w:rPr>
        <w:t xml:space="preserve">. In addition, the CONCERT platform conducted the very first calls </w:t>
      </w:r>
      <w:r w:rsidR="001A2E71" w:rsidRPr="001E3C9B">
        <w:rPr>
          <w:rFonts w:ascii="Times New Roman" w:hAnsi="Times New Roman" w:cs="Times New Roman"/>
          <w:iCs/>
          <w:noProof/>
          <w:color w:val="000000" w:themeColor="text1"/>
          <w:sz w:val="24"/>
          <w:szCs w:val="24"/>
          <w:lang w:val="mt-MT"/>
        </w:rPr>
        <w:t>making use of the</w:t>
      </w:r>
      <w:r w:rsidRPr="001E3C9B">
        <w:rPr>
          <w:rFonts w:ascii="Times New Roman" w:hAnsi="Times New Roman" w:cs="Times New Roman"/>
          <w:iCs/>
          <w:noProof/>
          <w:color w:val="000000" w:themeColor="text1"/>
          <w:sz w:val="24"/>
          <w:szCs w:val="24"/>
        </w:rPr>
        <w:t xml:space="preserve"> lessons learned </w:t>
      </w:r>
      <w:r w:rsidR="001A2E71" w:rsidRPr="001E3C9B">
        <w:rPr>
          <w:rFonts w:ascii="Times New Roman" w:hAnsi="Times New Roman" w:cs="Times New Roman"/>
          <w:iCs/>
          <w:noProof/>
          <w:color w:val="000000" w:themeColor="text1"/>
          <w:sz w:val="24"/>
          <w:szCs w:val="24"/>
          <w:lang w:val="mt-MT"/>
        </w:rPr>
        <w:t>from</w:t>
      </w:r>
      <w:r w:rsidRPr="001E3C9B">
        <w:rPr>
          <w:rFonts w:ascii="Times New Roman" w:hAnsi="Times New Roman" w:cs="Times New Roman"/>
          <w:iCs/>
          <w:noProof/>
          <w:color w:val="000000" w:themeColor="text1"/>
          <w:sz w:val="24"/>
          <w:szCs w:val="24"/>
        </w:rPr>
        <w:t xml:space="preserve"> other calls </w:t>
      </w:r>
      <w:r w:rsidR="001A2E71" w:rsidRPr="001E3C9B">
        <w:rPr>
          <w:rFonts w:ascii="Times New Roman" w:hAnsi="Times New Roman" w:cs="Times New Roman"/>
          <w:iCs/>
          <w:noProof/>
          <w:color w:val="000000" w:themeColor="text1"/>
          <w:sz w:val="24"/>
          <w:szCs w:val="24"/>
          <w:lang w:val="mt-MT"/>
        </w:rPr>
        <w:t xml:space="preserve">under </w:t>
      </w:r>
      <w:r w:rsidR="000C62C2" w:rsidRPr="001E3C9B">
        <w:rPr>
          <w:rFonts w:ascii="Times New Roman" w:hAnsi="Times New Roman" w:cs="Times New Roman"/>
          <w:iCs/>
          <w:noProof/>
          <w:color w:val="000000" w:themeColor="text1"/>
          <w:sz w:val="24"/>
          <w:szCs w:val="24"/>
          <w:lang w:val="mt-MT"/>
        </w:rPr>
        <w:t>EJP</w:t>
      </w:r>
      <w:r w:rsidR="00886523">
        <w:rPr>
          <w:rFonts w:ascii="Times New Roman" w:hAnsi="Times New Roman" w:cs="Times New Roman"/>
          <w:iCs/>
          <w:noProof/>
          <w:color w:val="000000" w:themeColor="text1"/>
          <w:sz w:val="24"/>
          <w:szCs w:val="24"/>
          <w:lang w:val="mt-MT"/>
        </w:rPr>
        <w:t>s</w:t>
      </w:r>
      <w:r w:rsidRPr="001E3C9B">
        <w:rPr>
          <w:rFonts w:ascii="Times New Roman" w:hAnsi="Times New Roman" w:cs="Times New Roman"/>
          <w:iCs/>
          <w:noProof/>
          <w:color w:val="000000" w:themeColor="text1"/>
          <w:sz w:val="24"/>
          <w:szCs w:val="24"/>
        </w:rPr>
        <w:t xml:space="preserve">. In parallel with </w:t>
      </w:r>
      <w:r w:rsidR="001A2E71" w:rsidRPr="001E3C9B">
        <w:rPr>
          <w:rFonts w:ascii="Times New Roman" w:hAnsi="Times New Roman" w:cs="Times New Roman"/>
          <w:iCs/>
          <w:noProof/>
          <w:color w:val="000000" w:themeColor="text1"/>
          <w:sz w:val="24"/>
          <w:szCs w:val="24"/>
          <w:lang w:val="mt-MT"/>
        </w:rPr>
        <w:t xml:space="preserve">the </w:t>
      </w:r>
      <w:r w:rsidRPr="001E3C9B">
        <w:rPr>
          <w:rFonts w:ascii="Times New Roman" w:hAnsi="Times New Roman" w:cs="Times New Roman"/>
          <w:iCs/>
          <w:noProof/>
          <w:color w:val="000000" w:themeColor="text1"/>
          <w:sz w:val="24"/>
          <w:szCs w:val="24"/>
        </w:rPr>
        <w:t xml:space="preserve">preparation of the SRA, 13 fundamental research projects </w:t>
      </w:r>
      <w:r w:rsidR="002713DF">
        <w:rPr>
          <w:rFonts w:ascii="Times New Roman" w:hAnsi="Times New Roman" w:cs="Times New Roman"/>
          <w:iCs/>
          <w:noProof/>
          <w:color w:val="000000" w:themeColor="text1"/>
          <w:sz w:val="24"/>
          <w:szCs w:val="24"/>
        </w:rPr>
        <w:t>were</w:t>
      </w:r>
      <w:r w:rsidRPr="001E3C9B">
        <w:rPr>
          <w:rFonts w:ascii="Times New Roman" w:hAnsi="Times New Roman" w:cs="Times New Roman"/>
          <w:iCs/>
          <w:noProof/>
          <w:color w:val="000000" w:themeColor="text1"/>
          <w:sz w:val="24"/>
          <w:szCs w:val="24"/>
        </w:rPr>
        <w:t xml:space="preserve"> successfully conducted with promising results. The Programme </w:t>
      </w:r>
      <w:r w:rsidR="001A2E71" w:rsidRPr="001E3C9B">
        <w:rPr>
          <w:rFonts w:ascii="Times New Roman" w:hAnsi="Times New Roman" w:cs="Times New Roman"/>
          <w:iCs/>
          <w:noProof/>
          <w:color w:val="000000" w:themeColor="text1"/>
          <w:sz w:val="24"/>
          <w:szCs w:val="24"/>
          <w:lang w:val="mt-MT"/>
        </w:rPr>
        <w:t xml:space="preserve">made a clear contribution </w:t>
      </w:r>
      <w:r w:rsidRPr="001E3C9B">
        <w:rPr>
          <w:rFonts w:ascii="Times New Roman" w:hAnsi="Times New Roman" w:cs="Times New Roman"/>
          <w:iCs/>
          <w:noProof/>
          <w:color w:val="000000" w:themeColor="text1"/>
          <w:sz w:val="24"/>
          <w:szCs w:val="24"/>
        </w:rPr>
        <w:t xml:space="preserve">to risk assessment, </w:t>
      </w:r>
      <w:r w:rsidR="00742998">
        <w:rPr>
          <w:rFonts w:ascii="Times New Roman" w:hAnsi="Times New Roman" w:cs="Times New Roman"/>
          <w:iCs/>
          <w:noProof/>
          <w:color w:val="000000" w:themeColor="text1"/>
          <w:sz w:val="24"/>
          <w:szCs w:val="24"/>
        </w:rPr>
        <w:t xml:space="preserve">the </w:t>
      </w:r>
      <w:r w:rsidRPr="001E3C9B">
        <w:rPr>
          <w:rFonts w:ascii="Times New Roman" w:hAnsi="Times New Roman" w:cs="Times New Roman"/>
          <w:iCs/>
          <w:noProof/>
          <w:color w:val="000000" w:themeColor="text1"/>
          <w:sz w:val="24"/>
          <w:szCs w:val="24"/>
        </w:rPr>
        <w:t xml:space="preserve">optimisation of radiation protection </w:t>
      </w:r>
      <w:r w:rsidR="00742998">
        <w:rPr>
          <w:rFonts w:ascii="Times New Roman" w:hAnsi="Times New Roman" w:cs="Times New Roman"/>
          <w:iCs/>
          <w:noProof/>
          <w:color w:val="000000" w:themeColor="text1"/>
          <w:sz w:val="24"/>
          <w:szCs w:val="24"/>
        </w:rPr>
        <w:t xml:space="preserve">and the </w:t>
      </w:r>
      <w:r w:rsidRPr="001E3C9B">
        <w:rPr>
          <w:rFonts w:ascii="Times New Roman" w:hAnsi="Times New Roman" w:cs="Times New Roman"/>
          <w:iCs/>
          <w:noProof/>
          <w:color w:val="000000" w:themeColor="text1"/>
          <w:sz w:val="24"/>
          <w:szCs w:val="24"/>
        </w:rPr>
        <w:t>manag</w:t>
      </w:r>
      <w:r w:rsidR="00742998">
        <w:rPr>
          <w:rFonts w:ascii="Times New Roman" w:hAnsi="Times New Roman" w:cs="Times New Roman"/>
          <w:iCs/>
          <w:noProof/>
          <w:color w:val="000000" w:themeColor="text1"/>
          <w:sz w:val="24"/>
          <w:szCs w:val="24"/>
        </w:rPr>
        <w:t>ement of both</w:t>
      </w:r>
      <w:r w:rsidRPr="001E3C9B">
        <w:rPr>
          <w:rFonts w:ascii="Times New Roman" w:hAnsi="Times New Roman" w:cs="Times New Roman"/>
          <w:iCs/>
          <w:noProof/>
          <w:color w:val="000000" w:themeColor="text1"/>
          <w:sz w:val="24"/>
          <w:szCs w:val="24"/>
        </w:rPr>
        <w:t xml:space="preserve"> radon and </w:t>
      </w:r>
      <w:r w:rsidR="00993044">
        <w:rPr>
          <w:rFonts w:ascii="Times New Roman" w:hAnsi="Times New Roman" w:cs="Times New Roman"/>
          <w:iCs/>
          <w:noProof/>
          <w:color w:val="000000" w:themeColor="text1"/>
          <w:sz w:val="24"/>
          <w:szCs w:val="24"/>
        </w:rPr>
        <w:t>naturally occuring radioactive materials (</w:t>
      </w:r>
      <w:r w:rsidRPr="001E3C9B">
        <w:rPr>
          <w:rFonts w:ascii="Times New Roman" w:hAnsi="Times New Roman" w:cs="Times New Roman"/>
          <w:iCs/>
          <w:noProof/>
          <w:color w:val="000000" w:themeColor="text1"/>
          <w:sz w:val="24"/>
          <w:szCs w:val="24"/>
        </w:rPr>
        <w:t>NORM</w:t>
      </w:r>
      <w:r w:rsidR="00993044">
        <w:rPr>
          <w:rFonts w:ascii="Times New Roman" w:hAnsi="Times New Roman" w:cs="Times New Roman"/>
          <w:iCs/>
          <w:noProof/>
          <w:color w:val="000000" w:themeColor="text1"/>
          <w:sz w:val="24"/>
          <w:szCs w:val="24"/>
        </w:rPr>
        <w:t>)</w:t>
      </w:r>
      <w:r w:rsidRPr="001E3C9B">
        <w:rPr>
          <w:rFonts w:ascii="Times New Roman" w:hAnsi="Times New Roman" w:cs="Times New Roman"/>
          <w:iCs/>
          <w:noProof/>
          <w:color w:val="000000" w:themeColor="text1"/>
          <w:sz w:val="24"/>
          <w:szCs w:val="24"/>
        </w:rPr>
        <w:t xml:space="preserve">. </w:t>
      </w:r>
    </w:p>
    <w:p w14:paraId="186421EF" w14:textId="616F3F4E" w:rsidR="001B42ED" w:rsidRPr="001E3C9B" w:rsidRDefault="001A2E71" w:rsidP="00F65391">
      <w:pPr>
        <w:jc w:val="both"/>
        <w:rPr>
          <w:rFonts w:ascii="Times New Roman" w:hAnsi="Times New Roman" w:cs="Times New Roman"/>
          <w:iCs/>
          <w:noProof/>
          <w:color w:val="000000" w:themeColor="text1"/>
          <w:sz w:val="24"/>
          <w:szCs w:val="24"/>
        </w:rPr>
      </w:pPr>
      <w:r w:rsidRPr="001E3C9B">
        <w:rPr>
          <w:rFonts w:ascii="Times New Roman" w:hAnsi="Times New Roman" w:cs="Times New Roman"/>
          <w:iCs/>
          <w:noProof/>
          <w:color w:val="000000" w:themeColor="text1"/>
          <w:sz w:val="24"/>
          <w:szCs w:val="24"/>
          <w:lang w:val="mt-MT"/>
        </w:rPr>
        <w:t>There were</w:t>
      </w:r>
      <w:r w:rsidR="00005150" w:rsidRPr="001E3C9B">
        <w:rPr>
          <w:rFonts w:ascii="Times New Roman" w:hAnsi="Times New Roman" w:cs="Times New Roman"/>
          <w:iCs/>
          <w:noProof/>
          <w:color w:val="000000" w:themeColor="text1"/>
          <w:sz w:val="24"/>
          <w:szCs w:val="24"/>
        </w:rPr>
        <w:t xml:space="preserve"> major achievements </w:t>
      </w:r>
      <w:r w:rsidR="00742998">
        <w:rPr>
          <w:rFonts w:ascii="Times New Roman" w:hAnsi="Times New Roman" w:cs="Times New Roman"/>
          <w:iCs/>
          <w:noProof/>
          <w:color w:val="000000" w:themeColor="text1"/>
          <w:sz w:val="24"/>
          <w:szCs w:val="24"/>
          <w:lang w:val="mt-MT"/>
        </w:rPr>
        <w:t>in</w:t>
      </w:r>
      <w:r w:rsidR="00742998" w:rsidRPr="001E3C9B">
        <w:rPr>
          <w:rFonts w:ascii="Times New Roman" w:hAnsi="Times New Roman" w:cs="Times New Roman"/>
          <w:iCs/>
          <w:noProof/>
          <w:color w:val="000000" w:themeColor="text1"/>
          <w:sz w:val="24"/>
          <w:szCs w:val="24"/>
          <w:lang w:val="mt-MT"/>
        </w:rPr>
        <w:t xml:space="preserve"> </w:t>
      </w:r>
      <w:r w:rsidRPr="001E3C9B">
        <w:rPr>
          <w:rFonts w:ascii="Times New Roman" w:hAnsi="Times New Roman" w:cs="Times New Roman"/>
          <w:iCs/>
          <w:noProof/>
          <w:color w:val="000000" w:themeColor="text1"/>
          <w:sz w:val="24"/>
          <w:szCs w:val="24"/>
          <w:lang w:val="mt-MT"/>
        </w:rPr>
        <w:t>2014-2020</w:t>
      </w:r>
      <w:r w:rsidR="00005150" w:rsidRPr="001E3C9B">
        <w:rPr>
          <w:rFonts w:ascii="Times New Roman" w:hAnsi="Times New Roman" w:cs="Times New Roman"/>
          <w:iCs/>
          <w:noProof/>
          <w:color w:val="000000" w:themeColor="text1"/>
          <w:sz w:val="24"/>
          <w:szCs w:val="24"/>
        </w:rPr>
        <w:t xml:space="preserve"> in the geological disposal of radioactive waste and spent fuel</w:t>
      </w:r>
      <w:r w:rsidR="00742998">
        <w:rPr>
          <w:rFonts w:ascii="Times New Roman" w:hAnsi="Times New Roman" w:cs="Times New Roman"/>
          <w:iCs/>
          <w:noProof/>
          <w:color w:val="000000" w:themeColor="text1"/>
          <w:sz w:val="24"/>
          <w:szCs w:val="24"/>
        </w:rPr>
        <w:t>,</w:t>
      </w:r>
      <w:r w:rsidR="00005150" w:rsidRPr="001E3C9B">
        <w:rPr>
          <w:rFonts w:ascii="Times New Roman" w:hAnsi="Times New Roman" w:cs="Times New Roman"/>
          <w:iCs/>
          <w:noProof/>
          <w:color w:val="000000" w:themeColor="text1"/>
          <w:sz w:val="24"/>
          <w:szCs w:val="24"/>
        </w:rPr>
        <w:t xml:space="preserve"> </w:t>
      </w:r>
      <w:r w:rsidRPr="001E3C9B">
        <w:rPr>
          <w:rFonts w:ascii="Times New Roman" w:hAnsi="Times New Roman" w:cs="Times New Roman"/>
          <w:iCs/>
          <w:noProof/>
          <w:color w:val="000000" w:themeColor="text1"/>
          <w:sz w:val="24"/>
          <w:szCs w:val="24"/>
          <w:lang w:val="mt-MT"/>
        </w:rPr>
        <w:t xml:space="preserve">such </w:t>
      </w:r>
      <w:r w:rsidR="00005150" w:rsidRPr="001E3C9B">
        <w:rPr>
          <w:rFonts w:ascii="Times New Roman" w:hAnsi="Times New Roman" w:cs="Times New Roman"/>
          <w:iCs/>
          <w:noProof/>
          <w:color w:val="000000" w:themeColor="text1"/>
          <w:sz w:val="24"/>
          <w:szCs w:val="24"/>
        </w:rPr>
        <w:t>as</w:t>
      </w:r>
      <w:r w:rsidR="00742998">
        <w:rPr>
          <w:rFonts w:ascii="Times New Roman" w:hAnsi="Times New Roman" w:cs="Times New Roman"/>
          <w:iCs/>
          <w:noProof/>
          <w:color w:val="000000" w:themeColor="text1"/>
          <w:sz w:val="24"/>
          <w:szCs w:val="24"/>
        </w:rPr>
        <w:t>: (i)</w:t>
      </w:r>
      <w:r w:rsidR="00005150" w:rsidRPr="001E3C9B">
        <w:rPr>
          <w:rFonts w:ascii="Times New Roman" w:hAnsi="Times New Roman" w:cs="Times New Roman"/>
          <w:iCs/>
          <w:noProof/>
          <w:color w:val="000000" w:themeColor="text1"/>
          <w:sz w:val="24"/>
          <w:szCs w:val="24"/>
        </w:rPr>
        <w:t xml:space="preserve"> the grant</w:t>
      </w:r>
      <w:r w:rsidRPr="001E3C9B">
        <w:rPr>
          <w:rFonts w:ascii="Times New Roman" w:hAnsi="Times New Roman" w:cs="Times New Roman"/>
          <w:iCs/>
          <w:noProof/>
          <w:color w:val="000000" w:themeColor="text1"/>
          <w:sz w:val="24"/>
          <w:szCs w:val="24"/>
          <w:lang w:val="mt-MT"/>
        </w:rPr>
        <w:t>ing</w:t>
      </w:r>
      <w:r w:rsidR="00005150" w:rsidRPr="001E3C9B">
        <w:rPr>
          <w:rFonts w:ascii="Times New Roman" w:hAnsi="Times New Roman" w:cs="Times New Roman"/>
          <w:iCs/>
          <w:noProof/>
          <w:color w:val="000000" w:themeColor="text1"/>
          <w:sz w:val="24"/>
          <w:szCs w:val="24"/>
        </w:rPr>
        <w:t xml:space="preserve"> </w:t>
      </w:r>
      <w:r w:rsidRPr="001E3C9B">
        <w:rPr>
          <w:rFonts w:ascii="Times New Roman" w:hAnsi="Times New Roman" w:cs="Times New Roman"/>
          <w:iCs/>
          <w:noProof/>
          <w:color w:val="000000" w:themeColor="text1"/>
          <w:sz w:val="24"/>
          <w:szCs w:val="24"/>
          <w:lang w:val="mt-MT"/>
        </w:rPr>
        <w:t xml:space="preserve">of </w:t>
      </w:r>
      <w:r w:rsidR="00005150" w:rsidRPr="001E3C9B">
        <w:rPr>
          <w:rFonts w:ascii="Times New Roman" w:hAnsi="Times New Roman" w:cs="Times New Roman"/>
          <w:iCs/>
          <w:noProof/>
          <w:color w:val="000000" w:themeColor="text1"/>
          <w:sz w:val="24"/>
          <w:szCs w:val="24"/>
        </w:rPr>
        <w:t>licen</w:t>
      </w:r>
      <w:r w:rsidR="00742998">
        <w:rPr>
          <w:rFonts w:ascii="Times New Roman" w:hAnsi="Times New Roman" w:cs="Times New Roman"/>
          <w:iCs/>
          <w:noProof/>
          <w:color w:val="000000" w:themeColor="text1"/>
          <w:sz w:val="24"/>
          <w:szCs w:val="24"/>
        </w:rPr>
        <w:t>c</w:t>
      </w:r>
      <w:r w:rsidR="00005150" w:rsidRPr="001E3C9B">
        <w:rPr>
          <w:rFonts w:ascii="Times New Roman" w:hAnsi="Times New Roman" w:cs="Times New Roman"/>
          <w:iCs/>
          <w:noProof/>
          <w:color w:val="000000" w:themeColor="text1"/>
          <w:sz w:val="24"/>
          <w:szCs w:val="24"/>
        </w:rPr>
        <w:t>es for repositories in crystalline rock in Finland and Sweden</w:t>
      </w:r>
      <w:r w:rsidR="00742998">
        <w:rPr>
          <w:rFonts w:ascii="Times New Roman" w:hAnsi="Times New Roman" w:cs="Times New Roman"/>
          <w:iCs/>
          <w:noProof/>
          <w:color w:val="000000" w:themeColor="text1"/>
          <w:sz w:val="24"/>
          <w:szCs w:val="24"/>
        </w:rPr>
        <w:t>; (ii)</w:t>
      </w:r>
      <w:r w:rsidR="00005150" w:rsidRPr="001E3C9B">
        <w:rPr>
          <w:rFonts w:ascii="Times New Roman" w:hAnsi="Times New Roman" w:cs="Times New Roman"/>
          <w:iCs/>
          <w:noProof/>
          <w:color w:val="000000" w:themeColor="text1"/>
          <w:sz w:val="24"/>
          <w:szCs w:val="24"/>
        </w:rPr>
        <w:t xml:space="preserve"> the construction and operating</w:t>
      </w:r>
      <w:r w:rsidR="00635448">
        <w:rPr>
          <w:rFonts w:ascii="Times New Roman" w:hAnsi="Times New Roman" w:cs="Times New Roman"/>
          <w:iCs/>
          <w:noProof/>
          <w:color w:val="000000" w:themeColor="text1"/>
          <w:sz w:val="24"/>
          <w:szCs w:val="24"/>
        </w:rPr>
        <w:t>-</w:t>
      </w:r>
      <w:r w:rsidR="00005150" w:rsidRPr="001E3C9B">
        <w:rPr>
          <w:rFonts w:ascii="Times New Roman" w:hAnsi="Times New Roman" w:cs="Times New Roman"/>
          <w:iCs/>
          <w:noProof/>
          <w:color w:val="000000" w:themeColor="text1"/>
          <w:sz w:val="24"/>
          <w:szCs w:val="24"/>
        </w:rPr>
        <w:t>licen</w:t>
      </w:r>
      <w:r w:rsidR="00742998">
        <w:rPr>
          <w:rFonts w:ascii="Times New Roman" w:hAnsi="Times New Roman" w:cs="Times New Roman"/>
          <w:iCs/>
          <w:noProof/>
          <w:color w:val="000000" w:themeColor="text1"/>
          <w:sz w:val="24"/>
          <w:szCs w:val="24"/>
        </w:rPr>
        <w:t>c</w:t>
      </w:r>
      <w:r w:rsidR="00005150" w:rsidRPr="001E3C9B">
        <w:rPr>
          <w:rFonts w:ascii="Times New Roman" w:hAnsi="Times New Roman" w:cs="Times New Roman"/>
          <w:iCs/>
          <w:noProof/>
          <w:color w:val="000000" w:themeColor="text1"/>
          <w:sz w:val="24"/>
          <w:szCs w:val="24"/>
        </w:rPr>
        <w:t>e application for a repository in clay in France</w:t>
      </w:r>
      <w:r w:rsidR="00742998">
        <w:rPr>
          <w:rFonts w:ascii="Times New Roman" w:hAnsi="Times New Roman" w:cs="Times New Roman"/>
          <w:iCs/>
          <w:noProof/>
          <w:color w:val="000000" w:themeColor="text1"/>
          <w:sz w:val="24"/>
          <w:szCs w:val="24"/>
        </w:rPr>
        <w:t>;</w:t>
      </w:r>
      <w:r w:rsidR="00005150" w:rsidRPr="001E3C9B">
        <w:rPr>
          <w:rFonts w:ascii="Times New Roman" w:hAnsi="Times New Roman" w:cs="Times New Roman"/>
          <w:iCs/>
          <w:noProof/>
          <w:color w:val="000000" w:themeColor="text1"/>
          <w:sz w:val="24"/>
          <w:szCs w:val="24"/>
        </w:rPr>
        <w:t xml:space="preserve"> and</w:t>
      </w:r>
      <w:r w:rsidR="00742998">
        <w:rPr>
          <w:rFonts w:ascii="Times New Roman" w:hAnsi="Times New Roman" w:cs="Times New Roman"/>
          <w:iCs/>
          <w:noProof/>
          <w:color w:val="000000" w:themeColor="text1"/>
          <w:sz w:val="24"/>
          <w:szCs w:val="24"/>
        </w:rPr>
        <w:t xml:space="preserve"> (iii)</w:t>
      </w:r>
      <w:r w:rsidR="00005150" w:rsidRPr="001E3C9B">
        <w:rPr>
          <w:rFonts w:ascii="Times New Roman" w:hAnsi="Times New Roman" w:cs="Times New Roman"/>
          <w:iCs/>
          <w:noProof/>
          <w:color w:val="000000" w:themeColor="text1"/>
          <w:sz w:val="24"/>
          <w:szCs w:val="24"/>
        </w:rPr>
        <w:t xml:space="preserve"> siting progress </w:t>
      </w:r>
      <w:r w:rsidR="00920D0E">
        <w:rPr>
          <w:rFonts w:ascii="Times New Roman" w:hAnsi="Times New Roman" w:cs="Times New Roman"/>
          <w:iCs/>
          <w:noProof/>
          <w:color w:val="000000" w:themeColor="text1"/>
          <w:sz w:val="24"/>
          <w:szCs w:val="24"/>
        </w:rPr>
        <w:t>(</w:t>
      </w:r>
      <w:r w:rsidR="00005150" w:rsidRPr="001E3C9B">
        <w:rPr>
          <w:rFonts w:ascii="Times New Roman" w:hAnsi="Times New Roman" w:cs="Times New Roman"/>
          <w:iCs/>
          <w:noProof/>
          <w:color w:val="000000" w:themeColor="text1"/>
          <w:sz w:val="24"/>
          <w:szCs w:val="24"/>
        </w:rPr>
        <w:t>e.g. in Switzerland</w:t>
      </w:r>
      <w:r w:rsidR="00920D0E">
        <w:rPr>
          <w:rFonts w:ascii="Times New Roman" w:hAnsi="Times New Roman" w:cs="Times New Roman"/>
          <w:iCs/>
          <w:noProof/>
          <w:color w:val="000000" w:themeColor="text1"/>
          <w:sz w:val="24"/>
          <w:szCs w:val="24"/>
        </w:rPr>
        <w:t>)</w:t>
      </w:r>
      <w:r w:rsidR="00005150" w:rsidRPr="001E3C9B">
        <w:rPr>
          <w:rFonts w:ascii="Times New Roman" w:hAnsi="Times New Roman" w:cs="Times New Roman"/>
          <w:iCs/>
          <w:noProof/>
          <w:color w:val="000000" w:themeColor="text1"/>
          <w:sz w:val="24"/>
          <w:szCs w:val="24"/>
        </w:rPr>
        <w:t xml:space="preserve">. This indicates that different concepts of geological repositories in various host rocks have reached the necessary scientific and technological maturity to support safety assessment and industrial deployment. </w:t>
      </w:r>
      <w:r w:rsidR="00F65391" w:rsidRPr="001E3C9B">
        <w:rPr>
          <w:rFonts w:ascii="Times New Roman" w:hAnsi="Times New Roman" w:cs="Times New Roman"/>
          <w:iCs/>
          <w:noProof/>
          <w:color w:val="000000" w:themeColor="text1"/>
          <w:sz w:val="24"/>
          <w:szCs w:val="24"/>
        </w:rPr>
        <w:t>In those advanced M</w:t>
      </w:r>
      <w:r w:rsidR="00E33364" w:rsidRPr="001E3C9B">
        <w:rPr>
          <w:rFonts w:ascii="Times New Roman" w:hAnsi="Times New Roman" w:cs="Times New Roman"/>
          <w:iCs/>
          <w:noProof/>
          <w:color w:val="000000" w:themeColor="text1"/>
          <w:sz w:val="24"/>
          <w:szCs w:val="24"/>
        </w:rPr>
        <w:t xml:space="preserve">ember </w:t>
      </w:r>
      <w:r w:rsidR="00F65391" w:rsidRPr="001E3C9B">
        <w:rPr>
          <w:rFonts w:ascii="Times New Roman" w:hAnsi="Times New Roman" w:cs="Times New Roman"/>
          <w:iCs/>
          <w:noProof/>
          <w:color w:val="000000" w:themeColor="text1"/>
          <w:sz w:val="24"/>
          <w:szCs w:val="24"/>
        </w:rPr>
        <w:t>S</w:t>
      </w:r>
      <w:r w:rsidR="00E33364" w:rsidRPr="001E3C9B">
        <w:rPr>
          <w:rFonts w:ascii="Times New Roman" w:hAnsi="Times New Roman" w:cs="Times New Roman"/>
          <w:iCs/>
          <w:noProof/>
          <w:color w:val="000000" w:themeColor="text1"/>
          <w:sz w:val="24"/>
          <w:szCs w:val="24"/>
        </w:rPr>
        <w:t>tates</w:t>
      </w:r>
      <w:r w:rsidR="00F65391" w:rsidRPr="001E3C9B">
        <w:rPr>
          <w:rFonts w:ascii="Times New Roman" w:hAnsi="Times New Roman" w:cs="Times New Roman"/>
          <w:iCs/>
          <w:noProof/>
          <w:color w:val="000000" w:themeColor="text1"/>
          <w:sz w:val="24"/>
          <w:szCs w:val="24"/>
        </w:rPr>
        <w:t>, strong national R&amp;D</w:t>
      </w:r>
      <w:r w:rsidR="000B440F">
        <w:rPr>
          <w:rFonts w:ascii="Times New Roman" w:hAnsi="Times New Roman" w:cs="Times New Roman"/>
          <w:iCs/>
          <w:noProof/>
          <w:color w:val="000000" w:themeColor="text1"/>
          <w:sz w:val="24"/>
          <w:szCs w:val="24"/>
        </w:rPr>
        <w:t xml:space="preserve"> </w:t>
      </w:r>
      <w:r w:rsidR="00F65391" w:rsidRPr="001E3C9B">
        <w:rPr>
          <w:rFonts w:ascii="Times New Roman" w:hAnsi="Times New Roman" w:cs="Times New Roman"/>
          <w:iCs/>
          <w:noProof/>
          <w:color w:val="000000" w:themeColor="text1"/>
          <w:sz w:val="24"/>
          <w:szCs w:val="24"/>
        </w:rPr>
        <w:t>program</w:t>
      </w:r>
      <w:r w:rsidR="000B440F">
        <w:rPr>
          <w:rFonts w:ascii="Times New Roman" w:hAnsi="Times New Roman" w:cs="Times New Roman"/>
          <w:iCs/>
          <w:noProof/>
          <w:color w:val="000000" w:themeColor="text1"/>
          <w:sz w:val="24"/>
          <w:szCs w:val="24"/>
        </w:rPr>
        <w:t>me</w:t>
      </w:r>
      <w:r w:rsidR="00F65391" w:rsidRPr="001E3C9B">
        <w:rPr>
          <w:rFonts w:ascii="Times New Roman" w:hAnsi="Times New Roman" w:cs="Times New Roman"/>
          <w:iCs/>
          <w:noProof/>
          <w:color w:val="000000" w:themeColor="text1"/>
          <w:sz w:val="24"/>
          <w:szCs w:val="24"/>
        </w:rPr>
        <w:t>s</w:t>
      </w:r>
      <w:r w:rsidRPr="001E3C9B">
        <w:rPr>
          <w:rFonts w:ascii="Times New Roman" w:hAnsi="Times New Roman" w:cs="Times New Roman"/>
          <w:iCs/>
          <w:noProof/>
          <w:color w:val="000000" w:themeColor="text1"/>
          <w:sz w:val="24"/>
          <w:szCs w:val="24"/>
          <w:lang w:val="mt-MT"/>
        </w:rPr>
        <w:t xml:space="preserve"> and</w:t>
      </w:r>
      <w:r w:rsidR="00F65391" w:rsidRPr="001E3C9B">
        <w:rPr>
          <w:rFonts w:ascii="Times New Roman" w:hAnsi="Times New Roman" w:cs="Times New Roman"/>
          <w:iCs/>
          <w:noProof/>
          <w:color w:val="000000" w:themeColor="text1"/>
          <w:sz w:val="24"/>
          <w:szCs w:val="24"/>
        </w:rPr>
        <w:t xml:space="preserve"> E</w:t>
      </w:r>
      <w:r w:rsidR="00E33364" w:rsidRPr="001E3C9B">
        <w:rPr>
          <w:rFonts w:ascii="Times New Roman" w:hAnsi="Times New Roman" w:cs="Times New Roman"/>
          <w:iCs/>
          <w:noProof/>
          <w:color w:val="000000" w:themeColor="text1"/>
          <w:sz w:val="24"/>
          <w:szCs w:val="24"/>
        </w:rPr>
        <w:t>uratom</w:t>
      </w:r>
      <w:r w:rsidR="00F65391" w:rsidRPr="001E3C9B">
        <w:rPr>
          <w:rFonts w:ascii="Times New Roman" w:hAnsi="Times New Roman" w:cs="Times New Roman"/>
          <w:iCs/>
          <w:noProof/>
          <w:color w:val="000000" w:themeColor="text1"/>
          <w:sz w:val="24"/>
          <w:szCs w:val="24"/>
        </w:rPr>
        <w:t xml:space="preserve"> projects </w:t>
      </w:r>
      <w:r w:rsidR="009E0405" w:rsidRPr="001E3C9B">
        <w:rPr>
          <w:rFonts w:ascii="Times New Roman" w:hAnsi="Times New Roman" w:cs="Times New Roman"/>
          <w:iCs/>
          <w:noProof/>
          <w:color w:val="000000" w:themeColor="text1"/>
          <w:sz w:val="24"/>
          <w:szCs w:val="24"/>
        </w:rPr>
        <w:t xml:space="preserve">co-funded </w:t>
      </w:r>
      <w:r w:rsidR="00F65391" w:rsidRPr="001E3C9B">
        <w:rPr>
          <w:rFonts w:ascii="Times New Roman" w:hAnsi="Times New Roman" w:cs="Times New Roman"/>
          <w:iCs/>
          <w:noProof/>
          <w:color w:val="000000" w:themeColor="text1"/>
          <w:sz w:val="24"/>
          <w:szCs w:val="24"/>
        </w:rPr>
        <w:t xml:space="preserve">over </w:t>
      </w:r>
      <w:r w:rsidR="009E0405" w:rsidRPr="001E3C9B">
        <w:rPr>
          <w:rFonts w:ascii="Times New Roman" w:hAnsi="Times New Roman" w:cs="Times New Roman"/>
          <w:iCs/>
          <w:noProof/>
          <w:color w:val="000000" w:themeColor="text1"/>
          <w:sz w:val="24"/>
          <w:szCs w:val="24"/>
          <w:lang w:val="mt-MT"/>
        </w:rPr>
        <w:t xml:space="preserve">the </w:t>
      </w:r>
      <w:r w:rsidR="00F65391" w:rsidRPr="001E3C9B">
        <w:rPr>
          <w:rFonts w:ascii="Times New Roman" w:hAnsi="Times New Roman" w:cs="Times New Roman"/>
          <w:iCs/>
          <w:noProof/>
          <w:color w:val="000000" w:themeColor="text1"/>
          <w:sz w:val="24"/>
          <w:szCs w:val="24"/>
        </w:rPr>
        <w:t xml:space="preserve">decades, including the projects under review, were essential to reach the current status </w:t>
      </w:r>
      <w:r w:rsidR="009E0405" w:rsidRPr="001E3C9B">
        <w:rPr>
          <w:rFonts w:ascii="Times New Roman" w:hAnsi="Times New Roman" w:cs="Times New Roman"/>
          <w:iCs/>
          <w:noProof/>
          <w:color w:val="000000" w:themeColor="text1"/>
          <w:sz w:val="24"/>
          <w:szCs w:val="24"/>
          <w:lang w:val="mt-MT"/>
        </w:rPr>
        <w:t>in</w:t>
      </w:r>
      <w:r w:rsidR="00F65391" w:rsidRPr="001E3C9B">
        <w:rPr>
          <w:rFonts w:ascii="Times New Roman" w:hAnsi="Times New Roman" w:cs="Times New Roman"/>
          <w:iCs/>
          <w:noProof/>
          <w:color w:val="000000" w:themeColor="text1"/>
          <w:sz w:val="24"/>
          <w:szCs w:val="24"/>
        </w:rPr>
        <w:t xml:space="preserve"> implementing </w:t>
      </w:r>
      <w:r w:rsidR="009E0405" w:rsidRPr="001E3C9B">
        <w:rPr>
          <w:rFonts w:ascii="Times New Roman" w:hAnsi="Times New Roman" w:cs="Times New Roman"/>
          <w:iCs/>
          <w:noProof/>
          <w:color w:val="000000" w:themeColor="text1"/>
          <w:sz w:val="24"/>
          <w:szCs w:val="24"/>
        </w:rPr>
        <w:t>repositories</w:t>
      </w:r>
      <w:r w:rsidR="009E0405" w:rsidRPr="001E3C9B">
        <w:rPr>
          <w:rFonts w:ascii="Times New Roman" w:hAnsi="Times New Roman" w:cs="Times New Roman"/>
          <w:iCs/>
          <w:noProof/>
          <w:color w:val="000000" w:themeColor="text1"/>
          <w:sz w:val="24"/>
          <w:szCs w:val="24"/>
          <w:lang w:val="mt-MT"/>
        </w:rPr>
        <w:t xml:space="preserve"> of spent fuel and high-level waste</w:t>
      </w:r>
      <w:r w:rsidR="00F65391" w:rsidRPr="001E3C9B">
        <w:rPr>
          <w:rFonts w:ascii="Times New Roman" w:hAnsi="Times New Roman" w:cs="Times New Roman"/>
          <w:iCs/>
          <w:noProof/>
          <w:color w:val="000000" w:themeColor="text1"/>
          <w:sz w:val="24"/>
          <w:szCs w:val="24"/>
        </w:rPr>
        <w:t>. Throughout the successive programmes, the uncertainties</w:t>
      </w:r>
      <w:r w:rsidR="0021604B">
        <w:rPr>
          <w:rFonts w:ascii="Times New Roman" w:hAnsi="Times New Roman" w:cs="Times New Roman"/>
          <w:iCs/>
          <w:noProof/>
          <w:color w:val="000000" w:themeColor="text1"/>
          <w:sz w:val="24"/>
          <w:szCs w:val="24"/>
        </w:rPr>
        <w:t xml:space="preserve"> (</w:t>
      </w:r>
      <w:r w:rsidR="00F65391" w:rsidRPr="001E3C9B">
        <w:rPr>
          <w:rFonts w:ascii="Times New Roman" w:hAnsi="Times New Roman" w:cs="Times New Roman"/>
          <w:iCs/>
          <w:noProof/>
          <w:color w:val="000000" w:themeColor="text1"/>
          <w:sz w:val="24"/>
          <w:szCs w:val="24"/>
        </w:rPr>
        <w:t xml:space="preserve">e.g. in relation </w:t>
      </w:r>
      <w:r w:rsidR="009E0405" w:rsidRPr="001E3C9B">
        <w:rPr>
          <w:rFonts w:ascii="Times New Roman" w:hAnsi="Times New Roman" w:cs="Times New Roman"/>
          <w:iCs/>
          <w:noProof/>
          <w:color w:val="000000" w:themeColor="text1"/>
          <w:sz w:val="24"/>
          <w:szCs w:val="24"/>
          <w:lang w:val="mt-MT"/>
        </w:rPr>
        <w:t>to</w:t>
      </w:r>
      <w:r w:rsidR="00F65391" w:rsidRPr="001E3C9B">
        <w:rPr>
          <w:rFonts w:ascii="Times New Roman" w:hAnsi="Times New Roman" w:cs="Times New Roman"/>
          <w:iCs/>
          <w:noProof/>
          <w:color w:val="000000" w:themeColor="text1"/>
          <w:sz w:val="24"/>
          <w:szCs w:val="24"/>
        </w:rPr>
        <w:t xml:space="preserve"> disposal performances and safety margins</w:t>
      </w:r>
      <w:r w:rsidR="0021604B">
        <w:rPr>
          <w:rFonts w:ascii="Times New Roman" w:hAnsi="Times New Roman" w:cs="Times New Roman"/>
          <w:iCs/>
          <w:noProof/>
          <w:color w:val="000000" w:themeColor="text1"/>
          <w:sz w:val="24"/>
          <w:szCs w:val="24"/>
        </w:rPr>
        <w:t>)</w:t>
      </w:r>
      <w:r w:rsidR="00F65391" w:rsidRPr="001E3C9B">
        <w:rPr>
          <w:rFonts w:ascii="Times New Roman" w:hAnsi="Times New Roman" w:cs="Times New Roman"/>
          <w:iCs/>
          <w:noProof/>
          <w:color w:val="000000" w:themeColor="text1"/>
          <w:sz w:val="24"/>
          <w:szCs w:val="24"/>
        </w:rPr>
        <w:t>, were progressively identified and addressed at the right level</w:t>
      </w:r>
      <w:r w:rsidR="009E0405" w:rsidRPr="001E3C9B">
        <w:rPr>
          <w:rFonts w:ascii="Times New Roman" w:hAnsi="Times New Roman" w:cs="Times New Roman"/>
          <w:iCs/>
          <w:noProof/>
          <w:color w:val="000000" w:themeColor="text1"/>
          <w:sz w:val="24"/>
          <w:szCs w:val="24"/>
          <w:lang w:val="mt-MT"/>
        </w:rPr>
        <w:t>.</w:t>
      </w:r>
      <w:r w:rsidR="00F65391" w:rsidRPr="001E3C9B">
        <w:rPr>
          <w:rFonts w:ascii="Times New Roman" w:hAnsi="Times New Roman" w:cs="Times New Roman"/>
          <w:iCs/>
          <w:noProof/>
          <w:color w:val="000000" w:themeColor="text1"/>
          <w:sz w:val="24"/>
          <w:szCs w:val="24"/>
        </w:rPr>
        <w:t xml:space="preserve"> </w:t>
      </w:r>
      <w:r w:rsidR="009E0405" w:rsidRPr="001E3C9B">
        <w:rPr>
          <w:rFonts w:ascii="Times New Roman" w:hAnsi="Times New Roman" w:cs="Times New Roman"/>
          <w:iCs/>
          <w:noProof/>
          <w:color w:val="000000" w:themeColor="text1"/>
          <w:sz w:val="24"/>
          <w:szCs w:val="24"/>
          <w:lang w:val="mt-MT"/>
        </w:rPr>
        <w:t>C</w:t>
      </w:r>
      <w:r w:rsidR="00F65391" w:rsidRPr="001E3C9B">
        <w:rPr>
          <w:rFonts w:ascii="Times New Roman" w:hAnsi="Times New Roman" w:cs="Times New Roman"/>
          <w:iCs/>
          <w:noProof/>
          <w:color w:val="000000" w:themeColor="text1"/>
          <w:sz w:val="24"/>
          <w:szCs w:val="24"/>
        </w:rPr>
        <w:t>onsequently</w:t>
      </w:r>
      <w:r w:rsidR="009E0405" w:rsidRPr="001E3C9B">
        <w:rPr>
          <w:rFonts w:ascii="Times New Roman" w:hAnsi="Times New Roman" w:cs="Times New Roman"/>
          <w:iCs/>
          <w:noProof/>
          <w:color w:val="000000" w:themeColor="text1"/>
          <w:sz w:val="24"/>
          <w:szCs w:val="24"/>
          <w:lang w:val="mt-MT"/>
        </w:rPr>
        <w:t>,</w:t>
      </w:r>
      <w:r w:rsidR="00F65391" w:rsidRPr="001E3C9B">
        <w:rPr>
          <w:rFonts w:ascii="Times New Roman" w:hAnsi="Times New Roman" w:cs="Times New Roman"/>
          <w:iCs/>
          <w:noProof/>
          <w:color w:val="000000" w:themeColor="text1"/>
          <w:sz w:val="24"/>
          <w:szCs w:val="24"/>
        </w:rPr>
        <w:t xml:space="preserve"> the knowledge base </w:t>
      </w:r>
      <w:r w:rsidR="009E0405" w:rsidRPr="001E3C9B">
        <w:rPr>
          <w:rFonts w:ascii="Times New Roman" w:hAnsi="Times New Roman" w:cs="Times New Roman"/>
          <w:iCs/>
          <w:noProof/>
          <w:color w:val="000000" w:themeColor="text1"/>
          <w:sz w:val="24"/>
          <w:szCs w:val="24"/>
          <w:lang w:val="mt-MT"/>
        </w:rPr>
        <w:t xml:space="preserve">made it possible </w:t>
      </w:r>
      <w:r w:rsidR="00F65391" w:rsidRPr="001E3C9B">
        <w:rPr>
          <w:rFonts w:ascii="Times New Roman" w:hAnsi="Times New Roman" w:cs="Times New Roman"/>
          <w:iCs/>
          <w:noProof/>
          <w:color w:val="000000" w:themeColor="text1"/>
          <w:sz w:val="24"/>
          <w:szCs w:val="24"/>
        </w:rPr>
        <w:t xml:space="preserve">to build </w:t>
      </w:r>
      <w:r w:rsidR="009E0405" w:rsidRPr="001E3C9B">
        <w:rPr>
          <w:rFonts w:ascii="Times New Roman" w:hAnsi="Times New Roman" w:cs="Times New Roman"/>
          <w:iCs/>
          <w:noProof/>
          <w:color w:val="000000" w:themeColor="text1"/>
          <w:sz w:val="24"/>
          <w:szCs w:val="24"/>
          <w:lang w:val="mt-MT"/>
        </w:rPr>
        <w:t>a solid</w:t>
      </w:r>
      <w:r w:rsidR="00F65391" w:rsidRPr="001E3C9B">
        <w:rPr>
          <w:rFonts w:ascii="Times New Roman" w:hAnsi="Times New Roman" w:cs="Times New Roman"/>
          <w:iCs/>
          <w:noProof/>
          <w:color w:val="000000" w:themeColor="text1"/>
          <w:sz w:val="24"/>
          <w:szCs w:val="24"/>
        </w:rPr>
        <w:t xml:space="preserve"> case </w:t>
      </w:r>
      <w:r w:rsidR="009E0405" w:rsidRPr="001E3C9B">
        <w:rPr>
          <w:rFonts w:ascii="Times New Roman" w:hAnsi="Times New Roman" w:cs="Times New Roman"/>
          <w:iCs/>
          <w:noProof/>
          <w:color w:val="000000" w:themeColor="text1"/>
          <w:sz w:val="24"/>
          <w:szCs w:val="24"/>
          <w:lang w:val="mt-MT"/>
        </w:rPr>
        <w:t>when it comes to safety</w:t>
      </w:r>
      <w:r w:rsidR="00F65391" w:rsidRPr="001E3C9B">
        <w:rPr>
          <w:rFonts w:ascii="Times New Roman" w:hAnsi="Times New Roman" w:cs="Times New Roman"/>
          <w:iCs/>
          <w:noProof/>
          <w:color w:val="000000" w:themeColor="text1"/>
          <w:sz w:val="24"/>
          <w:szCs w:val="24"/>
        </w:rPr>
        <w:t xml:space="preserve">. First steps have </w:t>
      </w:r>
      <w:r w:rsidR="000B440F">
        <w:rPr>
          <w:rFonts w:ascii="Times New Roman" w:hAnsi="Times New Roman" w:cs="Times New Roman"/>
          <w:iCs/>
          <w:noProof/>
          <w:color w:val="000000" w:themeColor="text1"/>
          <w:sz w:val="24"/>
          <w:szCs w:val="24"/>
        </w:rPr>
        <w:t xml:space="preserve">now </w:t>
      </w:r>
      <w:r w:rsidR="00F65391" w:rsidRPr="001E3C9B">
        <w:rPr>
          <w:rFonts w:ascii="Times New Roman" w:hAnsi="Times New Roman" w:cs="Times New Roman"/>
          <w:iCs/>
          <w:noProof/>
          <w:color w:val="000000" w:themeColor="text1"/>
          <w:sz w:val="24"/>
          <w:szCs w:val="24"/>
        </w:rPr>
        <w:t>been taken to identify areas for optimi</w:t>
      </w:r>
      <w:r w:rsidR="009E0405" w:rsidRPr="001E3C9B">
        <w:rPr>
          <w:rFonts w:ascii="Times New Roman" w:hAnsi="Times New Roman" w:cs="Times New Roman"/>
          <w:iCs/>
          <w:noProof/>
          <w:color w:val="000000" w:themeColor="text1"/>
          <w:sz w:val="24"/>
          <w:szCs w:val="24"/>
          <w:lang w:val="mt-MT"/>
        </w:rPr>
        <w:t>s</w:t>
      </w:r>
      <w:r w:rsidR="00F65391" w:rsidRPr="001E3C9B">
        <w:rPr>
          <w:rFonts w:ascii="Times New Roman" w:hAnsi="Times New Roman" w:cs="Times New Roman"/>
          <w:iCs/>
          <w:noProof/>
          <w:color w:val="000000" w:themeColor="text1"/>
          <w:sz w:val="24"/>
          <w:szCs w:val="24"/>
        </w:rPr>
        <w:t>ation and potential technological innovations.</w:t>
      </w:r>
    </w:p>
    <w:p w14:paraId="6C29BC57" w14:textId="77777777" w:rsidR="00340AB0" w:rsidRPr="001E3C9B" w:rsidRDefault="00340AB0" w:rsidP="00340AB0">
      <w:pPr>
        <w:spacing w:after="120"/>
        <w:jc w:val="both"/>
        <w:rPr>
          <w:rFonts w:ascii="Times New Roman" w:hAnsi="Times New Roman" w:cs="Times New Roman"/>
          <w:i/>
          <w:noProof/>
          <w:color w:val="000000" w:themeColor="text1"/>
          <w:sz w:val="24"/>
          <w:szCs w:val="24"/>
          <w:lang w:val="mt-MT"/>
        </w:rPr>
      </w:pPr>
      <w:r w:rsidRPr="001E3C9B">
        <w:rPr>
          <w:rFonts w:ascii="Times New Roman" w:hAnsi="Times New Roman" w:cs="Times New Roman"/>
          <w:i/>
          <w:noProof/>
          <w:color w:val="000000" w:themeColor="text1"/>
          <w:sz w:val="24"/>
          <w:szCs w:val="24"/>
        </w:rPr>
        <w:t>Indirect actions</w:t>
      </w:r>
      <w:r w:rsidRPr="001E3C9B">
        <w:rPr>
          <w:rFonts w:ascii="Times New Roman" w:hAnsi="Times New Roman" w:cs="Times New Roman"/>
          <w:i/>
          <w:noProof/>
          <w:color w:val="000000" w:themeColor="text1"/>
          <w:sz w:val="24"/>
          <w:szCs w:val="24"/>
          <w:lang w:val="mt-MT"/>
        </w:rPr>
        <w:t xml:space="preserve"> – Fusion</w:t>
      </w:r>
    </w:p>
    <w:p w14:paraId="182B3824" w14:textId="78DC047D" w:rsidR="00340AB0" w:rsidRPr="001E3C9B" w:rsidRDefault="003F0F69" w:rsidP="00340AB0">
      <w:pP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Alt</w:t>
      </w:r>
      <w:r w:rsidR="00340AB0" w:rsidRPr="001E3C9B">
        <w:rPr>
          <w:rFonts w:ascii="Times New Roman" w:hAnsi="Times New Roman" w:cs="Times New Roman"/>
          <w:noProof/>
          <w:color w:val="000000" w:themeColor="text1"/>
          <w:sz w:val="24"/>
          <w:szCs w:val="24"/>
        </w:rPr>
        <w:t xml:space="preserve">hough fusion energy remains a long-term endeavour, the evaluation shows that </w:t>
      </w:r>
      <w:r>
        <w:rPr>
          <w:rFonts w:ascii="Times New Roman" w:hAnsi="Times New Roman" w:cs="Times New Roman"/>
          <w:noProof/>
          <w:color w:val="000000" w:themeColor="text1"/>
          <w:sz w:val="24"/>
          <w:szCs w:val="24"/>
        </w:rPr>
        <w:t>in</w:t>
      </w:r>
      <w:r w:rsidRPr="001E3C9B">
        <w:rPr>
          <w:rFonts w:ascii="Times New Roman" w:hAnsi="Times New Roman" w:cs="Times New Roman"/>
          <w:noProof/>
          <w:color w:val="000000" w:themeColor="text1"/>
          <w:sz w:val="24"/>
          <w:szCs w:val="24"/>
        </w:rPr>
        <w:t xml:space="preserve"> </w:t>
      </w:r>
      <w:r w:rsidR="00340AB0" w:rsidRPr="001E3C9B">
        <w:rPr>
          <w:rFonts w:ascii="Times New Roman" w:hAnsi="Times New Roman" w:cs="Times New Roman"/>
          <w:noProof/>
          <w:color w:val="000000" w:themeColor="text1"/>
          <w:sz w:val="24"/>
          <w:szCs w:val="24"/>
        </w:rPr>
        <w:t xml:space="preserve">2014-2020 </w:t>
      </w:r>
      <w:r w:rsidR="00340AB0" w:rsidRPr="001E3C9B">
        <w:rPr>
          <w:rFonts w:ascii="Times New Roman" w:hAnsi="Times New Roman" w:cs="Times New Roman"/>
          <w:noProof/>
          <w:color w:val="000000" w:themeColor="text1"/>
          <w:sz w:val="24"/>
          <w:szCs w:val="24"/>
          <w:lang w:val="mt-MT"/>
        </w:rPr>
        <w:t xml:space="preserve">the </w:t>
      </w:r>
      <w:r w:rsidR="00340AB0" w:rsidRPr="00854965">
        <w:rPr>
          <w:rFonts w:ascii="Times New Roman" w:hAnsi="Times New Roman" w:cs="Times New Roman"/>
          <w:noProof/>
          <w:color w:val="000000" w:themeColor="text1"/>
          <w:sz w:val="24"/>
          <w:szCs w:val="24"/>
        </w:rPr>
        <w:t>EUROfusion consortium made incremental progress</w:t>
      </w:r>
      <w:r w:rsidR="00340AB0" w:rsidRPr="00854965">
        <w:rPr>
          <w:rFonts w:ascii="Times New Roman" w:hAnsi="Times New Roman" w:cs="Times New Roman"/>
          <w:noProof/>
          <w:color w:val="000000" w:themeColor="text1"/>
          <w:sz w:val="24"/>
          <w:szCs w:val="24"/>
          <w:lang w:val="mt-MT"/>
        </w:rPr>
        <w:t xml:space="preserve"> </w:t>
      </w:r>
      <w:r>
        <w:rPr>
          <w:rFonts w:ascii="Times New Roman" w:hAnsi="Times New Roman" w:cs="Times New Roman"/>
          <w:noProof/>
          <w:color w:val="000000" w:themeColor="text1"/>
          <w:sz w:val="24"/>
          <w:szCs w:val="24"/>
        </w:rPr>
        <w:t>following</w:t>
      </w:r>
      <w:r w:rsidRPr="00854965">
        <w:rPr>
          <w:rFonts w:ascii="Times New Roman" w:hAnsi="Times New Roman" w:cs="Times New Roman"/>
          <w:noProof/>
          <w:color w:val="000000" w:themeColor="text1"/>
          <w:sz w:val="24"/>
          <w:szCs w:val="24"/>
        </w:rPr>
        <w:t xml:space="preserve"> </w:t>
      </w:r>
      <w:r w:rsidR="00340AB0" w:rsidRPr="00854965">
        <w:rPr>
          <w:rFonts w:ascii="Times New Roman" w:hAnsi="Times New Roman" w:cs="Times New Roman"/>
          <w:noProof/>
          <w:color w:val="000000" w:themeColor="text1"/>
          <w:sz w:val="24"/>
          <w:szCs w:val="24"/>
        </w:rPr>
        <w:t>th</w:t>
      </w:r>
      <w:r>
        <w:rPr>
          <w:rFonts w:ascii="Times New Roman" w:hAnsi="Times New Roman" w:cs="Times New Roman"/>
          <w:noProof/>
          <w:color w:val="000000" w:themeColor="text1"/>
          <w:sz w:val="24"/>
          <w:szCs w:val="24"/>
        </w:rPr>
        <w:t>e</w:t>
      </w:r>
      <w:r w:rsidR="00340AB0" w:rsidRPr="00854965">
        <w:rPr>
          <w:rFonts w:ascii="Times New Roman" w:hAnsi="Times New Roman" w:cs="Times New Roman"/>
          <w:noProof/>
          <w:color w:val="000000" w:themeColor="text1"/>
          <w:sz w:val="24"/>
          <w:szCs w:val="24"/>
        </w:rPr>
        <w:t xml:space="preserve"> </w:t>
      </w:r>
      <w:r w:rsidR="005865F2">
        <w:rPr>
          <w:rFonts w:ascii="Times New Roman" w:hAnsi="Times New Roman" w:cs="Times New Roman"/>
          <w:noProof/>
          <w:color w:val="000000" w:themeColor="text1"/>
          <w:sz w:val="24"/>
          <w:szCs w:val="24"/>
        </w:rPr>
        <w:t>r</w:t>
      </w:r>
      <w:r w:rsidR="00340AB0" w:rsidRPr="00854965">
        <w:rPr>
          <w:rFonts w:ascii="Times New Roman" w:hAnsi="Times New Roman" w:cs="Times New Roman"/>
          <w:noProof/>
          <w:color w:val="000000" w:themeColor="text1"/>
          <w:sz w:val="24"/>
          <w:szCs w:val="24"/>
        </w:rPr>
        <w:t>oadmap</w:t>
      </w:r>
      <w:r w:rsidR="00340AB0" w:rsidRPr="00854965">
        <w:rPr>
          <w:rFonts w:ascii="Times New Roman" w:hAnsi="Times New Roman" w:cs="Times New Roman"/>
          <w:noProof/>
          <w:color w:val="000000" w:themeColor="text1"/>
          <w:sz w:val="24"/>
          <w:szCs w:val="24"/>
          <w:lang w:val="mt-MT"/>
        </w:rPr>
        <w:t xml:space="preserve">, achieving </w:t>
      </w:r>
      <w:r w:rsidR="00340AB0" w:rsidRPr="00854965">
        <w:rPr>
          <w:rFonts w:ascii="Times New Roman" w:hAnsi="Times New Roman" w:cs="Times New Roman"/>
          <w:noProof/>
          <w:color w:val="000000" w:themeColor="text1"/>
          <w:sz w:val="24"/>
          <w:szCs w:val="24"/>
        </w:rPr>
        <w:t xml:space="preserve">97% of </w:t>
      </w:r>
      <w:r w:rsidR="005F0D10">
        <w:rPr>
          <w:rFonts w:ascii="Times New Roman" w:hAnsi="Times New Roman" w:cs="Times New Roman"/>
          <w:noProof/>
          <w:color w:val="000000" w:themeColor="text1"/>
          <w:sz w:val="24"/>
          <w:szCs w:val="24"/>
        </w:rPr>
        <w:t xml:space="preserve">the </w:t>
      </w:r>
      <w:r w:rsidR="00340AB0" w:rsidRPr="00854965">
        <w:rPr>
          <w:rFonts w:ascii="Times New Roman" w:hAnsi="Times New Roman" w:cs="Times New Roman"/>
          <w:noProof/>
          <w:color w:val="000000" w:themeColor="text1"/>
          <w:sz w:val="24"/>
          <w:szCs w:val="24"/>
        </w:rPr>
        <w:t xml:space="preserve">milestones </w:t>
      </w:r>
      <w:r>
        <w:rPr>
          <w:rFonts w:ascii="Times New Roman" w:hAnsi="Times New Roman" w:cs="Times New Roman"/>
          <w:noProof/>
          <w:color w:val="000000" w:themeColor="text1"/>
          <w:sz w:val="24"/>
          <w:szCs w:val="24"/>
        </w:rPr>
        <w:t>set</w:t>
      </w:r>
      <w:r w:rsidRPr="00854965">
        <w:rPr>
          <w:rFonts w:ascii="Times New Roman" w:hAnsi="Times New Roman" w:cs="Times New Roman"/>
          <w:noProof/>
          <w:color w:val="000000" w:themeColor="text1"/>
          <w:sz w:val="24"/>
          <w:szCs w:val="24"/>
        </w:rPr>
        <w:t xml:space="preserve"> </w:t>
      </w:r>
      <w:r w:rsidR="00340AB0" w:rsidRPr="00854965">
        <w:rPr>
          <w:rFonts w:ascii="Times New Roman" w:hAnsi="Times New Roman" w:cs="Times New Roman"/>
          <w:noProof/>
          <w:color w:val="000000" w:themeColor="text1"/>
          <w:sz w:val="24"/>
          <w:szCs w:val="24"/>
        </w:rPr>
        <w:t>for 2014-2020.</w:t>
      </w:r>
      <w:r w:rsidR="00340AB0" w:rsidRPr="001E3C9B">
        <w:rPr>
          <w:rFonts w:ascii="Times New Roman" w:hAnsi="Times New Roman" w:cs="Times New Roman"/>
          <w:noProof/>
          <w:color w:val="000000" w:themeColor="text1"/>
          <w:sz w:val="24"/>
          <w:szCs w:val="24"/>
        </w:rPr>
        <w:t xml:space="preserve"> </w:t>
      </w:r>
    </w:p>
    <w:p w14:paraId="4D156B29" w14:textId="4D74E38D" w:rsidR="00340AB0" w:rsidRPr="001E3C9B" w:rsidRDefault="00340AB0" w:rsidP="00340AB0">
      <w:pPr>
        <w:spacing w:after="120"/>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lang w:val="mt-MT"/>
        </w:rPr>
        <w:t>T</w:t>
      </w:r>
      <w:r w:rsidRPr="001E3C9B">
        <w:rPr>
          <w:rFonts w:ascii="Times New Roman" w:hAnsi="Times New Roman" w:cs="Times New Roman"/>
          <w:noProof/>
          <w:color w:val="000000" w:themeColor="text1"/>
          <w:sz w:val="24"/>
          <w:szCs w:val="24"/>
        </w:rPr>
        <w:t xml:space="preserve">he EUROfusion consortium </w:t>
      </w:r>
      <w:r w:rsidRPr="001E3C9B">
        <w:rPr>
          <w:rFonts w:ascii="Times New Roman" w:hAnsi="Times New Roman" w:cs="Times New Roman"/>
          <w:noProof/>
          <w:color w:val="000000" w:themeColor="text1"/>
          <w:sz w:val="24"/>
          <w:szCs w:val="24"/>
          <w:lang w:val="mt-MT"/>
        </w:rPr>
        <w:t xml:space="preserve">has also </w:t>
      </w:r>
      <w:r w:rsidRPr="001E3C9B">
        <w:rPr>
          <w:rFonts w:ascii="Times New Roman" w:hAnsi="Times New Roman" w:cs="Times New Roman"/>
          <w:noProof/>
          <w:color w:val="000000" w:themeColor="text1"/>
          <w:sz w:val="24"/>
          <w:szCs w:val="24"/>
        </w:rPr>
        <w:t xml:space="preserve">substantially reduced risks and </w:t>
      </w:r>
      <w:r w:rsidR="003F0F69">
        <w:rPr>
          <w:rFonts w:ascii="Times New Roman" w:hAnsi="Times New Roman" w:cs="Times New Roman"/>
          <w:noProof/>
          <w:color w:val="000000" w:themeColor="text1"/>
          <w:sz w:val="24"/>
          <w:szCs w:val="24"/>
        </w:rPr>
        <w:t>improved the</w:t>
      </w:r>
      <w:r w:rsidR="003F0F69"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projected ITER performance, increasing confidence that ITER</w:t>
      </w:r>
      <w:r w:rsidR="002F7203">
        <w:rPr>
          <w:rFonts w:ascii="Times New Roman" w:hAnsi="Times New Roman" w:cs="Times New Roman"/>
          <w:noProof/>
          <w:color w:val="000000" w:themeColor="text1"/>
          <w:sz w:val="24"/>
          <w:szCs w:val="24"/>
        </w:rPr>
        <w:t xml:space="preserve">, </w:t>
      </w:r>
      <w:r w:rsidR="004916AE">
        <w:rPr>
          <w:rFonts w:ascii="Times New Roman" w:hAnsi="Times New Roman" w:cs="Times New Roman"/>
          <w:noProof/>
          <w:color w:val="000000" w:themeColor="text1"/>
          <w:sz w:val="24"/>
          <w:szCs w:val="24"/>
        </w:rPr>
        <w:t>once completed</w:t>
      </w:r>
      <w:r w:rsidR="002F7203">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will reach its baseline goals. </w:t>
      </w:r>
      <w:r w:rsidRPr="00854965">
        <w:rPr>
          <w:rFonts w:ascii="Times New Roman" w:hAnsi="Times New Roman" w:cs="Times New Roman"/>
          <w:noProof/>
          <w:color w:val="000000" w:themeColor="text1"/>
          <w:sz w:val="24"/>
          <w:szCs w:val="24"/>
        </w:rPr>
        <w:t>The record</w:t>
      </w:r>
      <w:r w:rsidRPr="00854965">
        <w:rPr>
          <w:rFonts w:ascii="Times New Roman" w:hAnsi="Times New Roman" w:cs="Times New Roman"/>
          <w:noProof/>
          <w:color w:val="000000" w:themeColor="text1"/>
          <w:sz w:val="24"/>
          <w:szCs w:val="24"/>
          <w:lang w:val="mt-MT"/>
        </w:rPr>
        <w:t>-</w:t>
      </w:r>
      <w:r w:rsidRPr="00854965">
        <w:rPr>
          <w:rFonts w:ascii="Times New Roman" w:hAnsi="Times New Roman" w:cs="Times New Roman"/>
          <w:noProof/>
          <w:color w:val="000000" w:themeColor="text1"/>
          <w:sz w:val="24"/>
          <w:szCs w:val="24"/>
        </w:rPr>
        <w:t xml:space="preserve">breaking 59MJ of fusion energy </w:t>
      </w:r>
      <w:r w:rsidRPr="00854965">
        <w:rPr>
          <w:rFonts w:ascii="Times New Roman" w:hAnsi="Times New Roman" w:cs="Times New Roman"/>
          <w:noProof/>
          <w:color w:val="000000" w:themeColor="text1"/>
          <w:sz w:val="24"/>
          <w:szCs w:val="24"/>
          <w:lang w:val="mt-MT"/>
        </w:rPr>
        <w:t>achieved</w:t>
      </w:r>
      <w:r w:rsidRPr="00854965">
        <w:rPr>
          <w:rFonts w:ascii="Times New Roman" w:hAnsi="Times New Roman" w:cs="Times New Roman"/>
          <w:noProof/>
          <w:color w:val="000000" w:themeColor="text1"/>
          <w:sz w:val="24"/>
          <w:szCs w:val="24"/>
        </w:rPr>
        <w:t xml:space="preserve"> </w:t>
      </w:r>
      <w:r w:rsidRPr="00854965">
        <w:rPr>
          <w:rFonts w:ascii="Times New Roman" w:hAnsi="Times New Roman" w:cs="Times New Roman"/>
          <w:noProof/>
          <w:color w:val="000000" w:themeColor="text1"/>
          <w:sz w:val="24"/>
          <w:szCs w:val="24"/>
          <w:lang w:val="mt-MT"/>
        </w:rPr>
        <w:t>at the Joint European Torus (</w:t>
      </w:r>
      <w:r w:rsidRPr="00854965">
        <w:rPr>
          <w:rFonts w:ascii="Times New Roman" w:hAnsi="Times New Roman" w:cs="Times New Roman"/>
          <w:noProof/>
          <w:color w:val="000000" w:themeColor="text1"/>
          <w:sz w:val="24"/>
          <w:szCs w:val="24"/>
        </w:rPr>
        <w:t>JET</w:t>
      </w:r>
      <w:r w:rsidRPr="00854965">
        <w:rPr>
          <w:rFonts w:ascii="Times New Roman" w:hAnsi="Times New Roman" w:cs="Times New Roman"/>
          <w:noProof/>
          <w:color w:val="000000" w:themeColor="text1"/>
          <w:sz w:val="24"/>
          <w:szCs w:val="24"/>
          <w:lang w:val="mt-MT"/>
        </w:rPr>
        <w:t>)</w:t>
      </w:r>
      <w:r w:rsidRPr="001E3C9B">
        <w:rPr>
          <w:rFonts w:ascii="Times New Roman" w:hAnsi="Times New Roman" w:cs="Times New Roman"/>
          <w:noProof/>
          <w:color w:val="000000" w:themeColor="text1"/>
          <w:sz w:val="24"/>
          <w:szCs w:val="24"/>
        </w:rPr>
        <w:t xml:space="preserve"> on 21</w:t>
      </w:r>
      <w:r w:rsidR="00E86DB0">
        <w:rPr>
          <w:rFonts w:ascii="Times New Roman" w:hAnsi="Times New Roman" w:cs="Times New Roman"/>
          <w:noProof/>
          <w:color w:val="000000" w:themeColor="text1"/>
          <w:sz w:val="24"/>
          <w:szCs w:val="24"/>
        </w:rPr>
        <w:t> </w:t>
      </w:r>
      <w:r w:rsidRPr="001E3C9B">
        <w:rPr>
          <w:rFonts w:ascii="Times New Roman" w:hAnsi="Times New Roman" w:cs="Times New Roman"/>
          <w:noProof/>
          <w:color w:val="000000" w:themeColor="text1"/>
          <w:sz w:val="24"/>
          <w:szCs w:val="24"/>
        </w:rPr>
        <w:t>December</w:t>
      </w:r>
      <w:r w:rsidR="00E86DB0">
        <w:rPr>
          <w:rFonts w:ascii="Times New Roman" w:hAnsi="Times New Roman" w:cs="Times New Roman"/>
          <w:noProof/>
          <w:color w:val="000000" w:themeColor="text1"/>
          <w:sz w:val="24"/>
          <w:szCs w:val="24"/>
        </w:rPr>
        <w:t> </w:t>
      </w:r>
      <w:r w:rsidRPr="001E3C9B">
        <w:rPr>
          <w:rFonts w:ascii="Times New Roman" w:hAnsi="Times New Roman" w:cs="Times New Roman"/>
          <w:noProof/>
          <w:color w:val="000000" w:themeColor="text1"/>
          <w:sz w:val="24"/>
          <w:szCs w:val="24"/>
        </w:rPr>
        <w:t xml:space="preserve">2021 is a clear success and </w:t>
      </w:r>
      <w:r w:rsidRPr="001E3C9B">
        <w:rPr>
          <w:rFonts w:ascii="Times New Roman" w:hAnsi="Times New Roman" w:cs="Times New Roman"/>
          <w:noProof/>
          <w:color w:val="000000" w:themeColor="text1"/>
          <w:sz w:val="24"/>
          <w:szCs w:val="24"/>
          <w:lang w:val="mt-MT"/>
        </w:rPr>
        <w:t xml:space="preserve">the </w:t>
      </w:r>
      <w:r w:rsidRPr="001E3C9B">
        <w:rPr>
          <w:rFonts w:ascii="Times New Roman" w:hAnsi="Times New Roman" w:cs="Times New Roman"/>
          <w:noProof/>
          <w:color w:val="000000" w:themeColor="text1"/>
          <w:sz w:val="24"/>
          <w:szCs w:val="24"/>
        </w:rPr>
        <w:t xml:space="preserve">crowning achievement of the </w:t>
      </w:r>
      <w:r w:rsidRPr="001E3C9B">
        <w:rPr>
          <w:rFonts w:ascii="Times New Roman" w:hAnsi="Times New Roman" w:cs="Times New Roman"/>
          <w:noProof/>
          <w:color w:val="000000" w:themeColor="text1"/>
          <w:sz w:val="24"/>
          <w:szCs w:val="24"/>
          <w:lang w:val="mt-MT"/>
        </w:rPr>
        <w:t>Programme</w:t>
      </w:r>
      <w:r w:rsidRPr="001E3C9B">
        <w:rPr>
          <w:rFonts w:ascii="Times New Roman" w:hAnsi="Times New Roman" w:cs="Times New Roman"/>
          <w:noProof/>
          <w:color w:val="000000" w:themeColor="text1"/>
          <w:sz w:val="24"/>
          <w:szCs w:val="24"/>
        </w:rPr>
        <w:t xml:space="preserve">. While the JET result provides the headline goals and integrated scenarios for ITER, it is backed by substantial progress </w:t>
      </w:r>
      <w:r w:rsidRPr="001E3C9B">
        <w:rPr>
          <w:rFonts w:ascii="Times New Roman" w:hAnsi="Times New Roman" w:cs="Times New Roman"/>
          <w:noProof/>
          <w:color w:val="000000" w:themeColor="text1"/>
          <w:sz w:val="24"/>
          <w:szCs w:val="24"/>
          <w:lang w:val="mt-MT"/>
        </w:rPr>
        <w:t>i</w:t>
      </w:r>
      <w:r w:rsidRPr="001E3C9B">
        <w:rPr>
          <w:rFonts w:ascii="Times New Roman" w:hAnsi="Times New Roman" w:cs="Times New Roman"/>
          <w:noProof/>
          <w:color w:val="000000" w:themeColor="text1"/>
          <w:sz w:val="24"/>
          <w:szCs w:val="24"/>
        </w:rPr>
        <w:t xml:space="preserve">n </w:t>
      </w:r>
      <w:r w:rsidRPr="001E3C9B">
        <w:rPr>
          <w:rFonts w:ascii="Times New Roman" w:hAnsi="Times New Roman" w:cs="Times New Roman"/>
          <w:noProof/>
          <w:color w:val="000000" w:themeColor="text1"/>
          <w:sz w:val="24"/>
          <w:szCs w:val="24"/>
          <w:lang w:val="mt-MT"/>
        </w:rPr>
        <w:t xml:space="preserve">the </w:t>
      </w:r>
      <w:r w:rsidRPr="001E3C9B">
        <w:rPr>
          <w:rFonts w:ascii="Times New Roman" w:hAnsi="Times New Roman" w:cs="Times New Roman"/>
          <w:noProof/>
          <w:color w:val="000000" w:themeColor="text1"/>
          <w:sz w:val="24"/>
          <w:szCs w:val="24"/>
        </w:rPr>
        <w:t xml:space="preserve">understanding </w:t>
      </w:r>
      <w:r w:rsidRPr="001E3C9B">
        <w:rPr>
          <w:rFonts w:ascii="Times New Roman" w:hAnsi="Times New Roman" w:cs="Times New Roman"/>
          <w:noProof/>
          <w:color w:val="000000" w:themeColor="text1"/>
          <w:sz w:val="24"/>
          <w:szCs w:val="24"/>
          <w:lang w:val="mt-MT"/>
        </w:rPr>
        <w:t xml:space="preserve">of </w:t>
      </w:r>
      <w:r w:rsidRPr="001E3C9B">
        <w:rPr>
          <w:rFonts w:ascii="Times New Roman" w:hAnsi="Times New Roman" w:cs="Times New Roman"/>
          <w:noProof/>
          <w:color w:val="000000" w:themeColor="text1"/>
          <w:sz w:val="24"/>
          <w:szCs w:val="24"/>
        </w:rPr>
        <w:t xml:space="preserve">the plasma physics of confinement. </w:t>
      </w:r>
      <w:r w:rsidRPr="001E3C9B">
        <w:rPr>
          <w:rFonts w:ascii="Times New Roman" w:hAnsi="Times New Roman" w:cs="Times New Roman"/>
          <w:noProof/>
          <w:color w:val="000000" w:themeColor="text1"/>
          <w:sz w:val="24"/>
          <w:szCs w:val="24"/>
          <w:lang w:val="mt-MT"/>
        </w:rPr>
        <w:t>P</w:t>
      </w:r>
      <w:r w:rsidRPr="001E3C9B">
        <w:rPr>
          <w:rFonts w:ascii="Times New Roman" w:hAnsi="Times New Roman" w:cs="Times New Roman"/>
          <w:noProof/>
          <w:color w:val="000000" w:themeColor="text1"/>
          <w:sz w:val="24"/>
          <w:szCs w:val="24"/>
        </w:rPr>
        <w:t>redictive simulation tools have been validated against experimental results across different labs in Europe.</w:t>
      </w:r>
    </w:p>
    <w:p w14:paraId="49BCD292" w14:textId="7C8D8FE5" w:rsidR="00340AB0" w:rsidRPr="001E3C9B" w:rsidRDefault="00340AB0" w:rsidP="00340AB0">
      <w:pPr>
        <w:spacing w:after="120"/>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lang w:val="mt-MT"/>
        </w:rPr>
        <w:t>P</w:t>
      </w:r>
      <w:r w:rsidRPr="001E3C9B">
        <w:rPr>
          <w:rFonts w:ascii="Times New Roman" w:hAnsi="Times New Roman" w:cs="Times New Roman"/>
          <w:noProof/>
          <w:color w:val="000000" w:themeColor="text1"/>
          <w:sz w:val="24"/>
          <w:szCs w:val="24"/>
        </w:rPr>
        <w:t>rogress has also been made in specific technologies for future fusion</w:t>
      </w:r>
      <w:r w:rsidR="00140CBB">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power plant</w:t>
      </w:r>
      <w:r w:rsidRPr="001E3C9B">
        <w:rPr>
          <w:rFonts w:ascii="Times New Roman" w:hAnsi="Times New Roman" w:cs="Times New Roman"/>
          <w:noProof/>
          <w:color w:val="000000" w:themeColor="text1"/>
          <w:sz w:val="24"/>
          <w:szCs w:val="24"/>
          <w:lang w:val="mt-MT"/>
        </w:rPr>
        <w:t>s</w:t>
      </w:r>
      <w:r w:rsidRPr="001E3C9B">
        <w:rPr>
          <w:rFonts w:ascii="Times New Roman" w:hAnsi="Times New Roman" w:cs="Times New Roman"/>
          <w:noProof/>
          <w:color w:val="000000" w:themeColor="text1"/>
          <w:sz w:val="24"/>
          <w:szCs w:val="24"/>
        </w:rPr>
        <w:t xml:space="preserve"> (materials, breeding blankets</w:t>
      </w:r>
      <w:r w:rsidRPr="001E3C9B">
        <w:rPr>
          <w:rFonts w:ascii="Times New Roman" w:hAnsi="Times New Roman" w:cs="Times New Roman"/>
          <w:noProof/>
          <w:color w:val="000000" w:themeColor="text1"/>
          <w:sz w:val="24"/>
          <w:szCs w:val="24"/>
          <w:lang w:val="mt-MT"/>
        </w:rPr>
        <w:t>,</w:t>
      </w:r>
      <w:r w:rsidRPr="001E3C9B">
        <w:rPr>
          <w:rFonts w:ascii="Times New Roman" w:hAnsi="Times New Roman" w:cs="Times New Roman"/>
          <w:noProof/>
          <w:color w:val="000000" w:themeColor="text1"/>
          <w:sz w:val="24"/>
          <w:szCs w:val="24"/>
        </w:rPr>
        <w:t xml:space="preserve"> etc.) and the DEMO</w:t>
      </w:r>
      <w:r w:rsidR="00F84C2E">
        <w:rPr>
          <w:rStyle w:val="FootnoteReference"/>
          <w:rFonts w:ascii="Times New Roman" w:hAnsi="Times New Roman" w:cs="Times New Roman"/>
          <w:noProof/>
          <w:color w:val="000000" w:themeColor="text1"/>
          <w:sz w:val="24"/>
          <w:szCs w:val="24"/>
        </w:rPr>
        <w:footnoteReference w:id="11"/>
      </w:r>
      <w:r w:rsidRPr="001E3C9B">
        <w:rPr>
          <w:rFonts w:ascii="Times New Roman" w:hAnsi="Times New Roman" w:cs="Times New Roman"/>
          <w:noProof/>
          <w:color w:val="000000" w:themeColor="text1"/>
          <w:sz w:val="24"/>
          <w:szCs w:val="24"/>
        </w:rPr>
        <w:t xml:space="preserve"> design effort. Candidate materials have been selected for all components of future fusion reactors, requiring a test facility for fusion materials. The engineering work behind the DEMO pre-conceptual design has brought much greater clarity to </w:t>
      </w:r>
      <w:r w:rsidR="00140CBB">
        <w:rPr>
          <w:rFonts w:ascii="Times New Roman" w:hAnsi="Times New Roman" w:cs="Times New Roman"/>
          <w:noProof/>
          <w:color w:val="000000" w:themeColor="text1"/>
          <w:sz w:val="24"/>
          <w:szCs w:val="24"/>
        </w:rPr>
        <w:t xml:space="preserve">both </w:t>
      </w:r>
      <w:r w:rsidRPr="001E3C9B">
        <w:rPr>
          <w:rFonts w:ascii="Times New Roman" w:hAnsi="Times New Roman" w:cs="Times New Roman"/>
          <w:noProof/>
          <w:color w:val="000000" w:themeColor="text1"/>
          <w:sz w:val="24"/>
          <w:szCs w:val="24"/>
        </w:rPr>
        <w:t>a number of critical design issues and the overall integration challenge.</w:t>
      </w:r>
    </w:p>
    <w:p w14:paraId="6BE6FA3C" w14:textId="4DEB03FD" w:rsidR="00340AB0" w:rsidRPr="001E3C9B" w:rsidRDefault="00340AB0" w:rsidP="00340AB0">
      <w:pPr>
        <w:spacing w:after="120"/>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lang w:val="mt-MT"/>
        </w:rPr>
        <w:t>Nevertheless</w:t>
      </w:r>
      <w:r w:rsidRPr="001E3C9B">
        <w:rPr>
          <w:rFonts w:ascii="Times New Roman" w:hAnsi="Times New Roman" w:cs="Times New Roman"/>
          <w:noProof/>
          <w:color w:val="000000" w:themeColor="text1"/>
          <w:sz w:val="24"/>
          <w:szCs w:val="24"/>
        </w:rPr>
        <w:t xml:space="preserve">, DEMO research has not </w:t>
      </w:r>
      <w:r w:rsidRPr="001E3C9B">
        <w:rPr>
          <w:rFonts w:ascii="Times New Roman" w:hAnsi="Times New Roman" w:cs="Times New Roman"/>
          <w:noProof/>
          <w:color w:val="000000" w:themeColor="text1"/>
          <w:sz w:val="24"/>
          <w:szCs w:val="24"/>
          <w:lang w:val="mt-MT"/>
        </w:rPr>
        <w:t>yet led</w:t>
      </w:r>
      <w:r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lang w:val="mt-MT"/>
        </w:rPr>
        <w:t xml:space="preserve">to </w:t>
      </w:r>
      <w:r w:rsidRPr="001E3C9B">
        <w:rPr>
          <w:rFonts w:ascii="Times New Roman" w:hAnsi="Times New Roman" w:cs="Times New Roman"/>
          <w:noProof/>
          <w:color w:val="000000" w:themeColor="text1"/>
          <w:sz w:val="24"/>
          <w:szCs w:val="24"/>
        </w:rPr>
        <w:t>a conceptual design of sufficiently low risk to proceed to engineering design</w:t>
      </w:r>
      <w:r w:rsidRPr="001E3C9B">
        <w:rPr>
          <w:rFonts w:ascii="Times New Roman" w:hAnsi="Times New Roman" w:cs="Times New Roman"/>
          <w:noProof/>
          <w:color w:val="000000" w:themeColor="text1"/>
          <w:sz w:val="24"/>
          <w:szCs w:val="24"/>
          <w:lang w:val="mt-MT"/>
        </w:rPr>
        <w:t xml:space="preserve">, </w:t>
      </w:r>
      <w:r w:rsidRPr="001E3C9B">
        <w:rPr>
          <w:rFonts w:ascii="Times New Roman" w:hAnsi="Times New Roman" w:cs="Times New Roman"/>
          <w:noProof/>
          <w:color w:val="000000" w:themeColor="text1"/>
          <w:sz w:val="24"/>
          <w:szCs w:val="24"/>
        </w:rPr>
        <w:t xml:space="preserve">particularly </w:t>
      </w:r>
      <w:r w:rsidR="006C773E">
        <w:rPr>
          <w:rFonts w:ascii="Times New Roman" w:hAnsi="Times New Roman" w:cs="Times New Roman"/>
          <w:noProof/>
          <w:color w:val="000000" w:themeColor="text1"/>
          <w:sz w:val="24"/>
          <w:szCs w:val="24"/>
        </w:rPr>
        <w:t>with regard to</w:t>
      </w:r>
      <w:r w:rsidRPr="001E3C9B">
        <w:rPr>
          <w:rFonts w:ascii="Times New Roman" w:hAnsi="Times New Roman" w:cs="Times New Roman"/>
          <w:noProof/>
          <w:color w:val="000000" w:themeColor="text1"/>
          <w:sz w:val="24"/>
          <w:szCs w:val="24"/>
        </w:rPr>
        <w:t xml:space="preserve"> scenarios </w:t>
      </w:r>
      <w:r w:rsidR="006C773E">
        <w:rPr>
          <w:rFonts w:ascii="Times New Roman" w:hAnsi="Times New Roman" w:cs="Times New Roman"/>
          <w:noProof/>
          <w:color w:val="000000" w:themeColor="text1"/>
          <w:sz w:val="24"/>
          <w:szCs w:val="24"/>
        </w:rPr>
        <w:t xml:space="preserve">concerning plasma </w:t>
      </w:r>
      <w:r w:rsidRPr="001E3C9B">
        <w:rPr>
          <w:rFonts w:ascii="Times New Roman" w:hAnsi="Times New Roman" w:cs="Times New Roman"/>
          <w:noProof/>
          <w:color w:val="000000" w:themeColor="text1"/>
          <w:sz w:val="24"/>
          <w:szCs w:val="24"/>
        </w:rPr>
        <w:t xml:space="preserve">and power handling. </w:t>
      </w:r>
    </w:p>
    <w:p w14:paraId="171ACFC7" w14:textId="50332DA1" w:rsidR="00340AB0" w:rsidRPr="001E3C9B" w:rsidRDefault="00340AB0" w:rsidP="00340AB0">
      <w:pPr>
        <w:spacing w:after="120"/>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 xml:space="preserve">In the area of </w:t>
      </w:r>
      <w:r w:rsidRPr="00854965">
        <w:rPr>
          <w:rFonts w:ascii="Times New Roman" w:hAnsi="Times New Roman" w:cs="Times New Roman"/>
          <w:noProof/>
          <w:color w:val="000000" w:themeColor="text1"/>
          <w:sz w:val="24"/>
          <w:szCs w:val="24"/>
        </w:rPr>
        <w:t>education and training</w:t>
      </w:r>
      <w:r w:rsidRPr="00D90AFE">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data from EUROfusion shows </w:t>
      </w:r>
      <w:r w:rsidRPr="001E3C9B">
        <w:rPr>
          <w:rFonts w:ascii="Times New Roman" w:hAnsi="Times New Roman" w:cs="Times New Roman"/>
          <w:noProof/>
          <w:color w:val="000000" w:themeColor="text1"/>
          <w:sz w:val="24"/>
          <w:szCs w:val="24"/>
          <w:lang w:val="mt-MT"/>
        </w:rPr>
        <w:t xml:space="preserve">a </w:t>
      </w:r>
      <w:r w:rsidRPr="001E3C9B">
        <w:rPr>
          <w:rFonts w:ascii="Times New Roman" w:hAnsi="Times New Roman" w:cs="Times New Roman"/>
          <w:noProof/>
          <w:color w:val="000000" w:themeColor="text1"/>
          <w:sz w:val="24"/>
          <w:szCs w:val="24"/>
        </w:rPr>
        <w:t xml:space="preserve">positive trend in </w:t>
      </w:r>
      <w:r w:rsidRPr="001E3C9B">
        <w:rPr>
          <w:rFonts w:ascii="Times New Roman" w:hAnsi="Times New Roman" w:cs="Times New Roman"/>
          <w:noProof/>
          <w:color w:val="000000" w:themeColor="text1"/>
          <w:sz w:val="24"/>
          <w:szCs w:val="24"/>
          <w:lang w:val="mt-MT"/>
        </w:rPr>
        <w:t xml:space="preserve">the </w:t>
      </w:r>
      <w:r w:rsidRPr="001E3C9B">
        <w:rPr>
          <w:rFonts w:ascii="Times New Roman" w:hAnsi="Times New Roman" w:cs="Times New Roman"/>
          <w:noProof/>
          <w:color w:val="000000" w:themeColor="text1"/>
          <w:sz w:val="24"/>
          <w:szCs w:val="24"/>
        </w:rPr>
        <w:t xml:space="preserve">number of </w:t>
      </w:r>
      <w:r w:rsidRPr="001E3C9B">
        <w:rPr>
          <w:rFonts w:ascii="Times New Roman" w:hAnsi="Times New Roman" w:cs="Times New Roman"/>
          <w:noProof/>
          <w:color w:val="000000" w:themeColor="text1"/>
          <w:sz w:val="24"/>
          <w:szCs w:val="24"/>
          <w:lang w:val="mt-MT"/>
        </w:rPr>
        <w:t>doctorate</w:t>
      </w:r>
      <w:r w:rsidRPr="001E3C9B">
        <w:rPr>
          <w:rFonts w:ascii="Times New Roman" w:hAnsi="Times New Roman" w:cs="Times New Roman"/>
          <w:noProof/>
          <w:color w:val="000000" w:themeColor="text1"/>
          <w:sz w:val="24"/>
          <w:szCs w:val="24"/>
        </w:rPr>
        <w:t>s</w:t>
      </w:r>
      <w:r>
        <w:rPr>
          <w:rFonts w:ascii="Times New Roman" w:hAnsi="Times New Roman" w:cs="Times New Roman"/>
          <w:noProof/>
          <w:color w:val="000000" w:themeColor="text1"/>
          <w:sz w:val="24"/>
          <w:szCs w:val="24"/>
        </w:rPr>
        <w:t xml:space="preserve"> </w:t>
      </w:r>
      <w:r w:rsidR="00140CBB">
        <w:rPr>
          <w:rFonts w:ascii="Times New Roman" w:hAnsi="Times New Roman" w:cs="Times New Roman"/>
          <w:noProof/>
          <w:color w:val="000000" w:themeColor="text1"/>
          <w:sz w:val="24"/>
          <w:szCs w:val="24"/>
        </w:rPr>
        <w:t xml:space="preserve">working </w:t>
      </w:r>
      <w:r w:rsidR="004916AE">
        <w:rPr>
          <w:rFonts w:ascii="Times New Roman" w:hAnsi="Times New Roman" w:cs="Times New Roman"/>
          <w:noProof/>
          <w:color w:val="000000" w:themeColor="text1"/>
          <w:sz w:val="24"/>
          <w:szCs w:val="24"/>
        </w:rPr>
        <w:t>on relevant subjects</w:t>
      </w:r>
      <w:r w:rsidR="00140CBB">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(increas</w:t>
      </w:r>
      <w:r w:rsidR="00140CBB">
        <w:rPr>
          <w:rFonts w:ascii="Times New Roman" w:hAnsi="Times New Roman" w:cs="Times New Roman"/>
          <w:noProof/>
          <w:color w:val="000000" w:themeColor="text1"/>
          <w:sz w:val="24"/>
          <w:szCs w:val="24"/>
        </w:rPr>
        <w:t>ing</w:t>
      </w:r>
      <w:r>
        <w:rPr>
          <w:rFonts w:ascii="Times New Roman" w:hAnsi="Times New Roman" w:cs="Times New Roman"/>
          <w:noProof/>
          <w:color w:val="000000" w:themeColor="text1"/>
          <w:sz w:val="24"/>
          <w:szCs w:val="24"/>
        </w:rPr>
        <w:t xml:space="preserve"> by 9%</w:t>
      </w:r>
      <w:r w:rsidR="00140CBB">
        <w:rPr>
          <w:rFonts w:ascii="Times New Roman" w:hAnsi="Times New Roman" w:cs="Times New Roman"/>
          <w:noProof/>
          <w:color w:val="000000" w:themeColor="text1"/>
          <w:sz w:val="24"/>
          <w:szCs w:val="24"/>
        </w:rPr>
        <w:t xml:space="preserve"> year-on-year</w:t>
      </w:r>
      <w:r>
        <w:rPr>
          <w:rFonts w:ascii="Times New Roman" w:hAnsi="Times New Roman" w:cs="Times New Roman"/>
          <w:noProof/>
          <w:color w:val="000000" w:themeColor="text1"/>
          <w:sz w:val="24"/>
          <w:szCs w:val="24"/>
        </w:rPr>
        <w:t xml:space="preserve"> to 734 PhD students in 2020)</w:t>
      </w:r>
      <w:r w:rsidRPr="001E3C9B">
        <w:rPr>
          <w:rFonts w:ascii="Times New Roman" w:hAnsi="Times New Roman" w:cs="Times New Roman"/>
          <w:noProof/>
          <w:color w:val="000000" w:themeColor="text1"/>
          <w:sz w:val="24"/>
          <w:szCs w:val="24"/>
        </w:rPr>
        <w:t xml:space="preserve"> and post-doctoral fellows</w:t>
      </w:r>
      <w:r>
        <w:rPr>
          <w:rFonts w:ascii="Times New Roman" w:hAnsi="Times New Roman" w:cs="Times New Roman"/>
          <w:noProof/>
          <w:color w:val="000000" w:themeColor="text1"/>
          <w:sz w:val="24"/>
          <w:szCs w:val="24"/>
        </w:rPr>
        <w:t xml:space="preserve"> (increase </w:t>
      </w:r>
      <w:r w:rsidR="00886AEE">
        <w:rPr>
          <w:rFonts w:ascii="Times New Roman" w:hAnsi="Times New Roman" w:cs="Times New Roman"/>
          <w:noProof/>
          <w:color w:val="000000" w:themeColor="text1"/>
          <w:sz w:val="24"/>
          <w:szCs w:val="24"/>
        </w:rPr>
        <w:t xml:space="preserve">of </w:t>
      </w:r>
      <w:r>
        <w:rPr>
          <w:rFonts w:ascii="Times New Roman" w:hAnsi="Times New Roman" w:cs="Times New Roman"/>
          <w:noProof/>
          <w:color w:val="000000" w:themeColor="text1"/>
          <w:sz w:val="24"/>
          <w:szCs w:val="24"/>
        </w:rPr>
        <w:t>100% to 34 per year in 2020)</w:t>
      </w:r>
      <w:r w:rsidR="00140CBB">
        <w:rPr>
          <w:rFonts w:ascii="Times New Roman" w:hAnsi="Times New Roman" w:cs="Times New Roman"/>
          <w:noProof/>
          <w:color w:val="000000" w:themeColor="text1"/>
          <w:sz w:val="24"/>
          <w:szCs w:val="24"/>
        </w:rPr>
        <w:t>. This</w:t>
      </w:r>
      <w:r w:rsidRPr="001E3C9B">
        <w:rPr>
          <w:rFonts w:ascii="Times New Roman" w:hAnsi="Times New Roman" w:cs="Times New Roman"/>
          <w:noProof/>
          <w:color w:val="000000" w:themeColor="text1"/>
          <w:sz w:val="24"/>
          <w:szCs w:val="24"/>
        </w:rPr>
        <w:t xml:space="preserve"> should </w:t>
      </w:r>
      <w:r w:rsidRPr="001E3C9B">
        <w:rPr>
          <w:rFonts w:ascii="Times New Roman" w:hAnsi="Times New Roman" w:cs="Times New Roman"/>
          <w:noProof/>
          <w:color w:val="000000" w:themeColor="text1"/>
          <w:sz w:val="24"/>
          <w:szCs w:val="24"/>
          <w:lang w:val="mt-MT"/>
        </w:rPr>
        <w:t>maintain</w:t>
      </w:r>
      <w:r w:rsidRPr="001E3C9B">
        <w:rPr>
          <w:rFonts w:ascii="Times New Roman" w:hAnsi="Times New Roman" w:cs="Times New Roman"/>
          <w:noProof/>
          <w:color w:val="000000" w:themeColor="text1"/>
          <w:sz w:val="24"/>
          <w:szCs w:val="24"/>
        </w:rPr>
        <w:t xml:space="preserve"> the </w:t>
      </w:r>
      <w:r w:rsidRPr="001E3C9B">
        <w:rPr>
          <w:rFonts w:ascii="Times New Roman" w:hAnsi="Times New Roman" w:cs="Times New Roman"/>
          <w:noProof/>
          <w:color w:val="000000" w:themeColor="text1"/>
          <w:sz w:val="24"/>
          <w:szCs w:val="24"/>
          <w:lang w:val="mt-MT"/>
        </w:rPr>
        <w:t xml:space="preserve">number of </w:t>
      </w:r>
      <w:r w:rsidRPr="001E3C9B">
        <w:rPr>
          <w:rFonts w:ascii="Times New Roman" w:hAnsi="Times New Roman" w:cs="Times New Roman"/>
          <w:noProof/>
          <w:color w:val="000000" w:themeColor="text1"/>
          <w:sz w:val="24"/>
          <w:szCs w:val="24"/>
        </w:rPr>
        <w:t xml:space="preserve">fusion </w:t>
      </w:r>
      <w:r w:rsidRPr="001E3C9B">
        <w:rPr>
          <w:rFonts w:ascii="Times New Roman" w:hAnsi="Times New Roman" w:cs="Times New Roman"/>
          <w:noProof/>
          <w:color w:val="000000" w:themeColor="text1"/>
          <w:sz w:val="24"/>
          <w:szCs w:val="24"/>
          <w:lang w:val="mt-MT"/>
        </w:rPr>
        <w:t>researchers</w:t>
      </w:r>
      <w:r w:rsidRPr="001E3C9B">
        <w:rPr>
          <w:rFonts w:ascii="Times New Roman" w:hAnsi="Times New Roman" w:cs="Times New Roman"/>
          <w:noProof/>
          <w:color w:val="000000" w:themeColor="text1"/>
          <w:sz w:val="24"/>
          <w:szCs w:val="24"/>
        </w:rPr>
        <w:t xml:space="preserve"> at </w:t>
      </w:r>
      <w:r w:rsidR="00140CBB">
        <w:rPr>
          <w:rFonts w:ascii="Times New Roman" w:hAnsi="Times New Roman" w:cs="Times New Roman"/>
          <w:noProof/>
          <w:color w:val="000000" w:themeColor="text1"/>
          <w:sz w:val="24"/>
          <w:szCs w:val="24"/>
        </w:rPr>
        <w:t xml:space="preserve">a </w:t>
      </w:r>
      <w:r w:rsidRPr="001E3C9B">
        <w:rPr>
          <w:rFonts w:ascii="Times New Roman" w:hAnsi="Times New Roman" w:cs="Times New Roman"/>
          <w:noProof/>
          <w:color w:val="000000" w:themeColor="text1"/>
          <w:sz w:val="24"/>
          <w:szCs w:val="24"/>
        </w:rPr>
        <w:t xml:space="preserve">level required for implementation of the </w:t>
      </w:r>
      <w:r w:rsidR="00140CBB">
        <w:rPr>
          <w:rFonts w:ascii="Times New Roman" w:hAnsi="Times New Roman" w:cs="Times New Roman"/>
          <w:noProof/>
          <w:color w:val="000000" w:themeColor="text1"/>
          <w:sz w:val="24"/>
          <w:szCs w:val="24"/>
          <w:lang w:val="mt-MT"/>
        </w:rPr>
        <w:t>r</w:t>
      </w:r>
      <w:r w:rsidR="00140CBB" w:rsidRPr="001E3C9B">
        <w:rPr>
          <w:rFonts w:ascii="Times New Roman" w:hAnsi="Times New Roman" w:cs="Times New Roman"/>
          <w:noProof/>
          <w:color w:val="000000" w:themeColor="text1"/>
          <w:sz w:val="24"/>
          <w:szCs w:val="24"/>
        </w:rPr>
        <w:t>oadmap</w:t>
      </w:r>
      <w:r w:rsidRPr="001E3C9B">
        <w:rPr>
          <w:rFonts w:ascii="Times New Roman" w:hAnsi="Times New Roman" w:cs="Times New Roman"/>
          <w:noProof/>
          <w:color w:val="000000" w:themeColor="text1"/>
          <w:sz w:val="24"/>
          <w:szCs w:val="24"/>
        </w:rPr>
        <w:t>.</w:t>
      </w:r>
    </w:p>
    <w:p w14:paraId="17EEE89B" w14:textId="2D68F3B1" w:rsidR="00340AB0" w:rsidRPr="00973F52" w:rsidRDefault="00340AB0" w:rsidP="000F3111">
      <w:pPr>
        <w:spacing w:after="120"/>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lang w:val="mt-MT"/>
        </w:rPr>
        <w:t>Taken as a whole</w:t>
      </w:r>
      <w:r w:rsidRPr="001E3C9B">
        <w:rPr>
          <w:rFonts w:ascii="Times New Roman" w:hAnsi="Times New Roman" w:cs="Times New Roman"/>
          <w:noProof/>
          <w:color w:val="000000" w:themeColor="text1"/>
          <w:sz w:val="24"/>
          <w:szCs w:val="24"/>
        </w:rPr>
        <w:t xml:space="preserve">, fusion </w:t>
      </w:r>
      <w:r w:rsidRPr="001E3C9B">
        <w:rPr>
          <w:rFonts w:ascii="Times New Roman" w:hAnsi="Times New Roman" w:cs="Times New Roman"/>
          <w:noProof/>
          <w:color w:val="000000" w:themeColor="text1"/>
          <w:sz w:val="24"/>
          <w:szCs w:val="24"/>
          <w:lang w:val="mt-MT"/>
        </w:rPr>
        <w:t>research supported by the Programme is</w:t>
      </w:r>
      <w:r w:rsidRPr="001E3C9B">
        <w:rPr>
          <w:rFonts w:ascii="Times New Roman" w:hAnsi="Times New Roman" w:cs="Times New Roman"/>
          <w:noProof/>
          <w:color w:val="000000" w:themeColor="text1"/>
          <w:sz w:val="24"/>
          <w:szCs w:val="24"/>
        </w:rPr>
        <w:t xml:space="preserve"> a step towards ensuring that </w:t>
      </w:r>
      <w:r w:rsidRPr="001E3C9B">
        <w:rPr>
          <w:rFonts w:ascii="Times New Roman" w:hAnsi="Times New Roman" w:cs="Times New Roman"/>
          <w:noProof/>
          <w:color w:val="000000" w:themeColor="text1"/>
          <w:sz w:val="24"/>
          <w:szCs w:val="24"/>
          <w:lang w:val="mt-MT"/>
        </w:rPr>
        <w:t xml:space="preserve">the </w:t>
      </w:r>
      <w:r w:rsidRPr="001E3C9B">
        <w:rPr>
          <w:rFonts w:ascii="Times New Roman" w:hAnsi="Times New Roman" w:cs="Times New Roman"/>
          <w:noProof/>
          <w:color w:val="000000" w:themeColor="text1"/>
          <w:sz w:val="24"/>
          <w:szCs w:val="24"/>
        </w:rPr>
        <w:t xml:space="preserve">EU has </w:t>
      </w:r>
      <w:r w:rsidRPr="001E3C9B">
        <w:rPr>
          <w:rFonts w:ascii="Times New Roman" w:hAnsi="Times New Roman" w:cs="Times New Roman"/>
          <w:noProof/>
          <w:color w:val="000000" w:themeColor="text1"/>
          <w:sz w:val="24"/>
          <w:szCs w:val="24"/>
          <w:lang w:val="mt-MT"/>
        </w:rPr>
        <w:t xml:space="preserve">the </w:t>
      </w:r>
      <w:r w:rsidRPr="001E3C9B">
        <w:rPr>
          <w:rFonts w:ascii="Times New Roman" w:hAnsi="Times New Roman" w:cs="Times New Roman"/>
          <w:noProof/>
          <w:color w:val="000000" w:themeColor="text1"/>
          <w:sz w:val="24"/>
          <w:szCs w:val="24"/>
        </w:rPr>
        <w:t xml:space="preserve">know-how and </w:t>
      </w:r>
      <w:r w:rsidR="00EB2EC6">
        <w:rPr>
          <w:rFonts w:ascii="Times New Roman" w:hAnsi="Times New Roman" w:cs="Times New Roman"/>
          <w:noProof/>
          <w:color w:val="000000" w:themeColor="text1"/>
          <w:sz w:val="24"/>
          <w:szCs w:val="24"/>
        </w:rPr>
        <w:t>skills to</w:t>
      </w:r>
      <w:r w:rsidRPr="001E3C9B">
        <w:rPr>
          <w:rFonts w:ascii="Times New Roman" w:hAnsi="Times New Roman" w:cs="Times New Roman"/>
          <w:noProof/>
          <w:color w:val="000000" w:themeColor="text1"/>
          <w:sz w:val="24"/>
          <w:szCs w:val="24"/>
        </w:rPr>
        <w:t xml:space="preserve"> operat</w:t>
      </w:r>
      <w:r w:rsidR="00EB2EC6">
        <w:rPr>
          <w:rFonts w:ascii="Times New Roman" w:hAnsi="Times New Roman" w:cs="Times New Roman"/>
          <w:noProof/>
          <w:color w:val="000000" w:themeColor="text1"/>
          <w:sz w:val="24"/>
          <w:szCs w:val="24"/>
        </w:rPr>
        <w:t>e</w:t>
      </w:r>
      <w:r w:rsidRPr="001E3C9B">
        <w:rPr>
          <w:rFonts w:ascii="Times New Roman" w:hAnsi="Times New Roman" w:cs="Times New Roman"/>
          <w:noProof/>
          <w:color w:val="000000" w:themeColor="text1"/>
          <w:sz w:val="24"/>
          <w:szCs w:val="24"/>
        </w:rPr>
        <w:t xml:space="preserve"> ITER once completed</w:t>
      </w:r>
      <w:r w:rsidR="00EB2EC6">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lang w:val="mt-MT"/>
        </w:rPr>
        <w:t xml:space="preserve"> while</w:t>
      </w:r>
      <w:r w:rsidRPr="001E3C9B">
        <w:rPr>
          <w:rFonts w:ascii="Times New Roman" w:hAnsi="Times New Roman" w:cs="Times New Roman"/>
          <w:noProof/>
          <w:color w:val="000000" w:themeColor="text1"/>
          <w:sz w:val="24"/>
          <w:szCs w:val="24"/>
        </w:rPr>
        <w:t xml:space="preserve"> advancing in parallel</w:t>
      </w:r>
      <w:r w:rsidRPr="001E3C9B">
        <w:rPr>
          <w:rFonts w:ascii="Times New Roman" w:hAnsi="Times New Roman" w:cs="Times New Roman"/>
          <w:noProof/>
          <w:color w:val="000000" w:themeColor="text1"/>
          <w:sz w:val="24"/>
          <w:szCs w:val="24"/>
          <w:lang w:val="mt-MT"/>
        </w:rPr>
        <w:t xml:space="preserve"> on</w:t>
      </w:r>
      <w:r w:rsidRPr="001E3C9B">
        <w:rPr>
          <w:rFonts w:ascii="Times New Roman" w:hAnsi="Times New Roman" w:cs="Times New Roman"/>
          <w:noProof/>
          <w:color w:val="000000" w:themeColor="text1"/>
          <w:sz w:val="24"/>
          <w:szCs w:val="24"/>
        </w:rPr>
        <w:t xml:space="preserve"> the scientific and technical basis of a future fusion</w:t>
      </w:r>
      <w:r w:rsidR="001C76E1">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power plant. These dual objectives were </w:t>
      </w:r>
      <w:r w:rsidR="00EB2EC6">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 xml:space="preserve">and remain </w:t>
      </w:r>
      <w:r w:rsidR="00EB2EC6">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fundamental to the development of fusion as an energy source. The relevance of these actions becomes even more apparent when seen in a more recent context, characterised by</w:t>
      </w:r>
      <w:r w:rsidR="00EB2EC6">
        <w:rPr>
          <w:rFonts w:ascii="Times New Roman" w:hAnsi="Times New Roman" w:cs="Times New Roman"/>
          <w:noProof/>
          <w:color w:val="000000" w:themeColor="text1"/>
          <w:sz w:val="24"/>
          <w:szCs w:val="24"/>
        </w:rPr>
        <w:t>: (i)</w:t>
      </w:r>
      <w:r w:rsidRPr="001E3C9B">
        <w:rPr>
          <w:rFonts w:ascii="Times New Roman" w:hAnsi="Times New Roman" w:cs="Times New Roman"/>
          <w:noProof/>
          <w:color w:val="000000" w:themeColor="text1"/>
          <w:sz w:val="24"/>
          <w:szCs w:val="24"/>
        </w:rPr>
        <w:t xml:space="preserve"> intensifying international competition in the area of fusion research, including for talent</w:t>
      </w:r>
      <w:r w:rsidR="00EB2EC6">
        <w:rPr>
          <w:rFonts w:ascii="Times New Roman" w:hAnsi="Times New Roman" w:cs="Times New Roman"/>
          <w:noProof/>
          <w:color w:val="000000" w:themeColor="text1"/>
          <w:sz w:val="24"/>
          <w:szCs w:val="24"/>
        </w:rPr>
        <w:t>; (ii)</w:t>
      </w:r>
      <w:r w:rsidRPr="001E3C9B">
        <w:rPr>
          <w:rFonts w:ascii="Times New Roman" w:hAnsi="Times New Roman" w:cs="Times New Roman"/>
          <w:noProof/>
          <w:color w:val="000000" w:themeColor="text1"/>
          <w:sz w:val="24"/>
          <w:szCs w:val="24"/>
        </w:rPr>
        <w:t xml:space="preserve"> the emergence of a private sector active in the field, including start-ups</w:t>
      </w:r>
      <w:r w:rsidR="00EB2EC6">
        <w:rPr>
          <w:rFonts w:ascii="Times New Roman" w:hAnsi="Times New Roman" w:cs="Times New Roman"/>
          <w:noProof/>
          <w:color w:val="000000" w:themeColor="text1"/>
          <w:sz w:val="24"/>
          <w:szCs w:val="24"/>
        </w:rPr>
        <w:t>; and (iii)</w:t>
      </w:r>
      <w:r w:rsidRPr="001E3C9B">
        <w:rPr>
          <w:rFonts w:ascii="Times New Roman" w:hAnsi="Times New Roman" w:cs="Times New Roman"/>
          <w:noProof/>
          <w:color w:val="000000" w:themeColor="text1"/>
          <w:sz w:val="24"/>
          <w:szCs w:val="24"/>
        </w:rPr>
        <w:t xml:space="preserve"> strong investor interest</w:t>
      </w:r>
      <w:r>
        <w:rPr>
          <w:rFonts w:ascii="Times New Roman" w:hAnsi="Times New Roman" w:cs="Times New Roman"/>
          <w:noProof/>
          <w:color w:val="000000" w:themeColor="text1"/>
          <w:sz w:val="24"/>
          <w:szCs w:val="24"/>
        </w:rPr>
        <w:t>.</w:t>
      </w:r>
    </w:p>
    <w:p w14:paraId="2D6E2DB9" w14:textId="7DA7582E" w:rsidR="000F3111" w:rsidRPr="001E3C9B" w:rsidRDefault="000F3111" w:rsidP="000F3111">
      <w:pPr>
        <w:spacing w:after="120"/>
        <w:jc w:val="both"/>
        <w:rPr>
          <w:rFonts w:ascii="Times New Roman" w:hAnsi="Times New Roman" w:cs="Times New Roman"/>
          <w:i/>
          <w:noProof/>
          <w:color w:val="000000" w:themeColor="text1"/>
          <w:sz w:val="24"/>
          <w:szCs w:val="24"/>
          <w:lang w:val="mt-MT"/>
        </w:rPr>
      </w:pPr>
      <w:r w:rsidRPr="001E3C9B">
        <w:rPr>
          <w:rFonts w:ascii="Times New Roman" w:hAnsi="Times New Roman" w:cs="Times New Roman"/>
          <w:i/>
          <w:noProof/>
          <w:color w:val="000000" w:themeColor="text1"/>
          <w:sz w:val="24"/>
          <w:szCs w:val="24"/>
          <w:lang w:val="mt-MT"/>
        </w:rPr>
        <w:t>D</w:t>
      </w:r>
      <w:r w:rsidRPr="001E3C9B">
        <w:rPr>
          <w:rFonts w:ascii="Times New Roman" w:hAnsi="Times New Roman" w:cs="Times New Roman"/>
          <w:i/>
          <w:noProof/>
          <w:color w:val="000000" w:themeColor="text1"/>
          <w:sz w:val="24"/>
          <w:szCs w:val="24"/>
        </w:rPr>
        <w:t>irect actions</w:t>
      </w:r>
      <w:r w:rsidRPr="001E3C9B">
        <w:rPr>
          <w:rFonts w:ascii="Times New Roman" w:hAnsi="Times New Roman" w:cs="Times New Roman"/>
          <w:i/>
          <w:noProof/>
          <w:color w:val="000000" w:themeColor="text1"/>
          <w:sz w:val="24"/>
          <w:szCs w:val="24"/>
          <w:lang w:val="mt-MT"/>
        </w:rPr>
        <w:t xml:space="preserve"> – Fission</w:t>
      </w:r>
    </w:p>
    <w:p w14:paraId="3435922B" w14:textId="2E599801" w:rsidR="009E0B10" w:rsidRPr="001E3C9B" w:rsidRDefault="001B42ED" w:rsidP="001B42ED">
      <w:pPr>
        <w:pStyle w:val="Body"/>
        <w:spacing w:before="0" w:after="120"/>
        <w:rPr>
          <w:rFonts w:ascii="Times New Roman" w:eastAsiaTheme="minorHAnsi" w:hAnsi="Times New Roman"/>
          <w:noProof/>
          <w:color w:val="000000" w:themeColor="text1"/>
          <w:sz w:val="24"/>
          <w:szCs w:val="24"/>
          <w:lang w:val="mt-MT"/>
        </w:rPr>
      </w:pPr>
      <w:r w:rsidRPr="001E3C9B">
        <w:rPr>
          <w:rFonts w:ascii="Times New Roman" w:eastAsiaTheme="minorHAnsi" w:hAnsi="Times New Roman"/>
          <w:noProof/>
          <w:color w:val="000000" w:themeColor="text1"/>
          <w:sz w:val="24"/>
          <w:szCs w:val="24"/>
        </w:rPr>
        <w:t>The evaluation</w:t>
      </w:r>
      <w:r w:rsidR="009F4F84" w:rsidRPr="006327C9">
        <w:rPr>
          <w:rFonts w:ascii="Times New Roman" w:eastAsiaTheme="minorHAnsi" w:hAnsi="Times New Roman"/>
          <w:noProof/>
          <w:color w:val="000000" w:themeColor="text1"/>
          <w:sz w:val="24"/>
          <w:szCs w:val="24"/>
        </w:rPr>
        <w:t xml:space="preserve"> of the</w:t>
      </w:r>
      <w:r w:rsidRPr="001E3C9B">
        <w:rPr>
          <w:rFonts w:ascii="Times New Roman" w:eastAsiaTheme="minorHAnsi" w:hAnsi="Times New Roman"/>
          <w:noProof/>
          <w:color w:val="000000" w:themeColor="text1"/>
          <w:sz w:val="24"/>
          <w:szCs w:val="24"/>
        </w:rPr>
        <w:t xml:space="preserve"> </w:t>
      </w:r>
      <w:r w:rsidR="009F4F84" w:rsidRPr="006327C9">
        <w:rPr>
          <w:rFonts w:ascii="Times New Roman" w:eastAsiaTheme="minorHAnsi" w:hAnsi="Times New Roman"/>
          <w:noProof/>
          <w:color w:val="000000" w:themeColor="text1"/>
          <w:sz w:val="24"/>
          <w:szCs w:val="24"/>
        </w:rPr>
        <w:t xml:space="preserve">effectiveness </w:t>
      </w:r>
      <w:r w:rsidRPr="001E3C9B">
        <w:rPr>
          <w:rFonts w:ascii="Times New Roman" w:eastAsiaTheme="minorHAnsi" w:hAnsi="Times New Roman"/>
          <w:noProof/>
          <w:color w:val="000000" w:themeColor="text1"/>
          <w:sz w:val="24"/>
          <w:szCs w:val="24"/>
        </w:rPr>
        <w:t xml:space="preserve">of the JRC activities confirmed </w:t>
      </w:r>
      <w:r w:rsidR="0057795C" w:rsidRPr="001E3C9B">
        <w:rPr>
          <w:rFonts w:ascii="Times New Roman" w:eastAsiaTheme="minorHAnsi" w:hAnsi="Times New Roman"/>
          <w:noProof/>
          <w:color w:val="000000" w:themeColor="text1"/>
          <w:sz w:val="24"/>
          <w:szCs w:val="24"/>
          <w:lang w:val="mt-MT"/>
        </w:rPr>
        <w:t xml:space="preserve">the </w:t>
      </w:r>
      <w:r w:rsidRPr="001E3C9B">
        <w:rPr>
          <w:rFonts w:ascii="Times New Roman" w:eastAsiaTheme="minorHAnsi" w:hAnsi="Times New Roman"/>
          <w:noProof/>
          <w:color w:val="000000" w:themeColor="text1"/>
          <w:sz w:val="24"/>
          <w:szCs w:val="24"/>
        </w:rPr>
        <w:t>JRC</w:t>
      </w:r>
      <w:r w:rsidR="0057795C" w:rsidRPr="001E3C9B">
        <w:rPr>
          <w:rFonts w:ascii="Times New Roman" w:eastAsiaTheme="minorHAnsi" w:hAnsi="Times New Roman"/>
          <w:noProof/>
          <w:color w:val="000000" w:themeColor="text1"/>
          <w:sz w:val="24"/>
          <w:szCs w:val="24"/>
          <w:lang w:val="mt-MT"/>
        </w:rPr>
        <w:t>’s</w:t>
      </w:r>
      <w:r w:rsidRPr="001E3C9B">
        <w:rPr>
          <w:rFonts w:ascii="Times New Roman" w:eastAsiaTheme="minorHAnsi" w:hAnsi="Times New Roman"/>
          <w:noProof/>
          <w:color w:val="000000" w:themeColor="text1"/>
          <w:sz w:val="24"/>
          <w:szCs w:val="24"/>
        </w:rPr>
        <w:t xml:space="preserve"> impact on science and policymaking</w:t>
      </w:r>
      <w:r w:rsidR="006327C9">
        <w:rPr>
          <w:rFonts w:ascii="Times New Roman" w:eastAsiaTheme="minorHAnsi" w:hAnsi="Times New Roman"/>
          <w:noProof/>
          <w:color w:val="000000" w:themeColor="text1"/>
          <w:sz w:val="24"/>
          <w:szCs w:val="24"/>
        </w:rPr>
        <w:t xml:space="preserve"> in the areas identified by the specific objectives of the Programme</w:t>
      </w:r>
      <w:r w:rsidRPr="001E3C9B">
        <w:rPr>
          <w:rFonts w:ascii="Times New Roman" w:eastAsiaTheme="minorHAnsi" w:hAnsi="Times New Roman"/>
          <w:noProof/>
          <w:color w:val="000000" w:themeColor="text1"/>
          <w:sz w:val="24"/>
          <w:szCs w:val="24"/>
        </w:rPr>
        <w:t xml:space="preserve">. In fact, </w:t>
      </w:r>
      <w:r w:rsidR="0057795C" w:rsidRPr="001E3C9B">
        <w:rPr>
          <w:rFonts w:ascii="Times New Roman" w:eastAsiaTheme="minorHAnsi" w:hAnsi="Times New Roman"/>
          <w:noProof/>
          <w:color w:val="000000" w:themeColor="text1"/>
          <w:sz w:val="24"/>
          <w:szCs w:val="24"/>
          <w:lang w:val="mt-MT"/>
        </w:rPr>
        <w:t xml:space="preserve">the </w:t>
      </w:r>
      <w:r w:rsidRPr="001E3C9B">
        <w:rPr>
          <w:rFonts w:ascii="Times New Roman" w:eastAsiaTheme="minorHAnsi" w:hAnsi="Times New Roman"/>
          <w:noProof/>
          <w:color w:val="000000" w:themeColor="text1"/>
          <w:sz w:val="24"/>
          <w:szCs w:val="24"/>
        </w:rPr>
        <w:t xml:space="preserve">JRC’s contribution was instrumental in shaping and </w:t>
      </w:r>
      <w:r w:rsidR="006327C9">
        <w:rPr>
          <w:rFonts w:ascii="Times New Roman" w:eastAsiaTheme="minorHAnsi" w:hAnsi="Times New Roman"/>
          <w:noProof/>
          <w:color w:val="000000" w:themeColor="text1"/>
          <w:sz w:val="24"/>
          <w:szCs w:val="24"/>
        </w:rPr>
        <w:t xml:space="preserve">supporting the </w:t>
      </w:r>
      <w:r w:rsidRPr="001E3C9B">
        <w:rPr>
          <w:rFonts w:ascii="Times New Roman" w:eastAsiaTheme="minorHAnsi" w:hAnsi="Times New Roman"/>
          <w:noProof/>
          <w:color w:val="000000" w:themeColor="text1"/>
          <w:sz w:val="24"/>
          <w:szCs w:val="24"/>
        </w:rPr>
        <w:t>implement</w:t>
      </w:r>
      <w:r w:rsidR="006327C9">
        <w:rPr>
          <w:rFonts w:ascii="Times New Roman" w:eastAsiaTheme="minorHAnsi" w:hAnsi="Times New Roman"/>
          <w:noProof/>
          <w:color w:val="000000" w:themeColor="text1"/>
          <w:sz w:val="24"/>
          <w:szCs w:val="24"/>
        </w:rPr>
        <w:t>ation of</w:t>
      </w:r>
      <w:r w:rsidRPr="001E3C9B">
        <w:rPr>
          <w:rFonts w:ascii="Times New Roman" w:eastAsiaTheme="minorHAnsi" w:hAnsi="Times New Roman"/>
          <w:noProof/>
          <w:color w:val="000000" w:themeColor="text1"/>
          <w:sz w:val="24"/>
          <w:szCs w:val="24"/>
        </w:rPr>
        <w:t xml:space="preserve"> EU policies in </w:t>
      </w:r>
      <w:r w:rsidR="006327C9">
        <w:rPr>
          <w:rFonts w:ascii="Times New Roman" w:eastAsiaTheme="minorHAnsi" w:hAnsi="Times New Roman"/>
          <w:noProof/>
          <w:color w:val="000000" w:themeColor="text1"/>
          <w:sz w:val="24"/>
          <w:szCs w:val="24"/>
        </w:rPr>
        <w:t xml:space="preserve">those </w:t>
      </w:r>
      <w:r w:rsidRPr="001E3C9B">
        <w:rPr>
          <w:rFonts w:ascii="Times New Roman" w:eastAsiaTheme="minorHAnsi" w:hAnsi="Times New Roman"/>
          <w:noProof/>
          <w:color w:val="000000" w:themeColor="text1"/>
          <w:sz w:val="24"/>
          <w:szCs w:val="24"/>
        </w:rPr>
        <w:t>areas</w:t>
      </w:r>
      <w:r w:rsidR="006327C9">
        <w:rPr>
          <w:rFonts w:ascii="Times New Roman" w:eastAsiaTheme="minorHAnsi" w:hAnsi="Times New Roman"/>
          <w:noProof/>
          <w:color w:val="000000" w:themeColor="text1"/>
          <w:sz w:val="24"/>
          <w:szCs w:val="24"/>
        </w:rPr>
        <w:t xml:space="preserve">, </w:t>
      </w:r>
      <w:r w:rsidRPr="001E3C9B">
        <w:rPr>
          <w:rFonts w:ascii="Times New Roman" w:eastAsiaTheme="minorHAnsi" w:hAnsi="Times New Roman"/>
          <w:noProof/>
          <w:color w:val="000000" w:themeColor="text1"/>
          <w:sz w:val="24"/>
          <w:szCs w:val="24"/>
        </w:rPr>
        <w:t xml:space="preserve"> </w:t>
      </w:r>
      <w:r w:rsidR="006327C9">
        <w:rPr>
          <w:rFonts w:ascii="Times New Roman" w:eastAsiaTheme="minorHAnsi" w:hAnsi="Times New Roman"/>
          <w:noProof/>
          <w:color w:val="000000" w:themeColor="text1"/>
          <w:sz w:val="24"/>
          <w:szCs w:val="24"/>
        </w:rPr>
        <w:t>as illustrated by the following</w:t>
      </w:r>
      <w:r w:rsidR="006327C9" w:rsidRPr="001E3C9B">
        <w:rPr>
          <w:rFonts w:ascii="Times New Roman" w:eastAsiaTheme="minorHAnsi" w:hAnsi="Times New Roman"/>
          <w:noProof/>
          <w:color w:val="000000" w:themeColor="text1"/>
          <w:sz w:val="24"/>
          <w:szCs w:val="24"/>
        </w:rPr>
        <w:t xml:space="preserve"> </w:t>
      </w:r>
      <w:r w:rsidRPr="001E3C9B">
        <w:rPr>
          <w:rFonts w:ascii="Times New Roman" w:eastAsiaTheme="minorHAnsi" w:hAnsi="Times New Roman"/>
          <w:noProof/>
          <w:color w:val="000000" w:themeColor="text1"/>
          <w:sz w:val="24"/>
          <w:szCs w:val="24"/>
        </w:rPr>
        <w:t>specific case studies</w:t>
      </w:r>
      <w:r w:rsidR="006327C9">
        <w:rPr>
          <w:rFonts w:ascii="Times New Roman" w:eastAsiaTheme="minorHAnsi" w:hAnsi="Times New Roman"/>
          <w:noProof/>
          <w:color w:val="000000" w:themeColor="text1"/>
          <w:sz w:val="24"/>
          <w:szCs w:val="24"/>
        </w:rPr>
        <w:t>, which</w:t>
      </w:r>
      <w:r w:rsidRPr="001E3C9B">
        <w:rPr>
          <w:rFonts w:ascii="Times New Roman" w:eastAsiaTheme="minorHAnsi" w:hAnsi="Times New Roman"/>
          <w:noProof/>
          <w:color w:val="000000" w:themeColor="text1"/>
          <w:sz w:val="24"/>
          <w:szCs w:val="24"/>
        </w:rPr>
        <w:t xml:space="preserve"> were selected </w:t>
      </w:r>
      <w:r w:rsidR="006327C9">
        <w:rPr>
          <w:rFonts w:ascii="Times New Roman" w:eastAsiaTheme="minorHAnsi" w:hAnsi="Times New Roman"/>
          <w:noProof/>
          <w:color w:val="000000" w:themeColor="text1"/>
          <w:sz w:val="24"/>
          <w:szCs w:val="24"/>
        </w:rPr>
        <w:t>and</w:t>
      </w:r>
      <w:r w:rsidRPr="001E3C9B">
        <w:rPr>
          <w:rFonts w:ascii="Times New Roman" w:eastAsiaTheme="minorHAnsi" w:hAnsi="Times New Roman"/>
          <w:noProof/>
          <w:color w:val="000000" w:themeColor="text1"/>
          <w:sz w:val="24"/>
          <w:szCs w:val="24"/>
        </w:rPr>
        <w:t xml:space="preserve"> evaluated by </w:t>
      </w:r>
      <w:r w:rsidR="006327C9">
        <w:rPr>
          <w:rFonts w:ascii="Times New Roman" w:eastAsiaTheme="minorHAnsi" w:hAnsi="Times New Roman"/>
          <w:noProof/>
          <w:color w:val="000000" w:themeColor="text1"/>
          <w:sz w:val="24"/>
          <w:szCs w:val="24"/>
        </w:rPr>
        <w:t>independent</w:t>
      </w:r>
      <w:r w:rsidR="006327C9" w:rsidRPr="001E3C9B">
        <w:rPr>
          <w:rFonts w:ascii="Times New Roman" w:eastAsiaTheme="minorHAnsi" w:hAnsi="Times New Roman"/>
          <w:noProof/>
          <w:color w:val="000000" w:themeColor="text1"/>
          <w:sz w:val="24"/>
          <w:szCs w:val="24"/>
        </w:rPr>
        <w:t xml:space="preserve"> </w:t>
      </w:r>
      <w:r w:rsidRPr="001E3C9B">
        <w:rPr>
          <w:rFonts w:ascii="Times New Roman" w:eastAsiaTheme="minorHAnsi" w:hAnsi="Times New Roman"/>
          <w:noProof/>
          <w:color w:val="000000" w:themeColor="text1"/>
          <w:sz w:val="24"/>
          <w:szCs w:val="24"/>
        </w:rPr>
        <w:t xml:space="preserve">experts. These activities </w:t>
      </w:r>
      <w:r w:rsidR="006327C9">
        <w:rPr>
          <w:rFonts w:ascii="Times New Roman" w:eastAsiaTheme="minorHAnsi" w:hAnsi="Times New Roman"/>
          <w:noProof/>
          <w:color w:val="000000" w:themeColor="text1"/>
          <w:sz w:val="24"/>
          <w:szCs w:val="24"/>
        </w:rPr>
        <w:t>contribute to effectively meet</w:t>
      </w:r>
      <w:r w:rsidR="00F22713">
        <w:rPr>
          <w:rFonts w:ascii="Times New Roman" w:eastAsiaTheme="minorHAnsi" w:hAnsi="Times New Roman"/>
          <w:noProof/>
          <w:color w:val="000000" w:themeColor="text1"/>
          <w:sz w:val="24"/>
          <w:szCs w:val="24"/>
        </w:rPr>
        <w:t>ing</w:t>
      </w:r>
      <w:r w:rsidR="006327C9">
        <w:rPr>
          <w:rFonts w:ascii="Times New Roman" w:eastAsiaTheme="minorHAnsi" w:hAnsi="Times New Roman"/>
          <w:noProof/>
          <w:color w:val="000000" w:themeColor="text1"/>
          <w:sz w:val="24"/>
          <w:szCs w:val="24"/>
        </w:rPr>
        <w:t xml:space="preserve"> each of the specific objectives </w:t>
      </w:r>
      <w:r w:rsidR="00F22713">
        <w:rPr>
          <w:rFonts w:ascii="Times New Roman" w:eastAsiaTheme="minorHAnsi" w:hAnsi="Times New Roman"/>
          <w:noProof/>
          <w:color w:val="000000" w:themeColor="text1"/>
          <w:sz w:val="24"/>
          <w:szCs w:val="24"/>
        </w:rPr>
        <w:t xml:space="preserve">set </w:t>
      </w:r>
      <w:r w:rsidR="006327C9">
        <w:rPr>
          <w:rFonts w:ascii="Times New Roman" w:eastAsiaTheme="minorHAnsi" w:hAnsi="Times New Roman"/>
          <w:noProof/>
          <w:color w:val="000000" w:themeColor="text1"/>
          <w:sz w:val="24"/>
          <w:szCs w:val="24"/>
        </w:rPr>
        <w:t>for the direct actions</w:t>
      </w:r>
      <w:r w:rsidR="004748CC">
        <w:rPr>
          <w:rFonts w:ascii="Times New Roman" w:eastAsiaTheme="minorHAnsi" w:hAnsi="Times New Roman"/>
          <w:noProof/>
          <w:color w:val="000000" w:themeColor="text1"/>
          <w:sz w:val="24"/>
          <w:szCs w:val="24"/>
        </w:rPr>
        <w:t xml:space="preserve"> as demonstrated by the following case studies</w:t>
      </w:r>
      <w:r w:rsidR="009E0B10" w:rsidRPr="001E3C9B">
        <w:rPr>
          <w:rFonts w:ascii="Times New Roman" w:eastAsiaTheme="minorHAnsi" w:hAnsi="Times New Roman"/>
          <w:noProof/>
          <w:color w:val="000000" w:themeColor="text1"/>
          <w:sz w:val="24"/>
          <w:szCs w:val="24"/>
          <w:lang w:val="mt-MT"/>
        </w:rPr>
        <w:t>:</w:t>
      </w:r>
    </w:p>
    <w:p w14:paraId="63ED2482" w14:textId="64509337" w:rsidR="009E0B10" w:rsidRPr="001E3C9B" w:rsidRDefault="001B42ED" w:rsidP="009E0B10">
      <w:pPr>
        <w:pStyle w:val="Body"/>
        <w:numPr>
          <w:ilvl w:val="0"/>
          <w:numId w:val="52"/>
        </w:numPr>
        <w:spacing w:before="0" w:after="120"/>
        <w:rPr>
          <w:rFonts w:ascii="Times New Roman" w:eastAsiaTheme="minorHAnsi" w:hAnsi="Times New Roman"/>
          <w:noProof/>
          <w:color w:val="000000" w:themeColor="text1"/>
          <w:sz w:val="24"/>
          <w:szCs w:val="24"/>
        </w:rPr>
      </w:pPr>
      <w:r w:rsidRPr="001E3C9B">
        <w:rPr>
          <w:rFonts w:ascii="Times New Roman" w:eastAsiaTheme="minorHAnsi" w:hAnsi="Times New Roman"/>
          <w:noProof/>
          <w:color w:val="000000" w:themeColor="text1"/>
          <w:sz w:val="24"/>
          <w:szCs w:val="24"/>
        </w:rPr>
        <w:t xml:space="preserve">the </w:t>
      </w:r>
      <w:r w:rsidR="00D811D7">
        <w:rPr>
          <w:rFonts w:ascii="Times New Roman" w:eastAsiaTheme="minorHAnsi" w:hAnsi="Times New Roman"/>
          <w:noProof/>
          <w:color w:val="000000" w:themeColor="text1"/>
          <w:sz w:val="24"/>
          <w:szCs w:val="24"/>
        </w:rPr>
        <w:t>EU’s</w:t>
      </w:r>
      <w:r w:rsidR="00D811D7" w:rsidRPr="001E3C9B">
        <w:rPr>
          <w:rFonts w:ascii="Times New Roman" w:eastAsiaTheme="minorHAnsi" w:hAnsi="Times New Roman"/>
          <w:noProof/>
          <w:color w:val="000000" w:themeColor="text1"/>
          <w:sz w:val="24"/>
          <w:szCs w:val="24"/>
        </w:rPr>
        <w:t xml:space="preserve"> </w:t>
      </w:r>
      <w:r w:rsidR="00E5270C" w:rsidRPr="001E3C9B">
        <w:rPr>
          <w:rFonts w:ascii="Times New Roman" w:eastAsiaTheme="minorHAnsi" w:hAnsi="Times New Roman"/>
          <w:noProof/>
          <w:color w:val="000000" w:themeColor="text1"/>
          <w:sz w:val="24"/>
          <w:szCs w:val="24"/>
        </w:rPr>
        <w:t>Clearinghouse on Operating E</w:t>
      </w:r>
      <w:r w:rsidRPr="001E3C9B">
        <w:rPr>
          <w:rFonts w:ascii="Times New Roman" w:eastAsiaTheme="minorHAnsi" w:hAnsi="Times New Roman"/>
          <w:noProof/>
          <w:color w:val="000000" w:themeColor="text1"/>
          <w:sz w:val="24"/>
          <w:szCs w:val="24"/>
        </w:rPr>
        <w:t xml:space="preserve">xperience </w:t>
      </w:r>
      <w:r w:rsidR="00E5270C" w:rsidRPr="001E3C9B">
        <w:rPr>
          <w:rFonts w:ascii="Times New Roman" w:eastAsiaTheme="minorHAnsi" w:hAnsi="Times New Roman"/>
          <w:noProof/>
          <w:color w:val="000000" w:themeColor="text1"/>
          <w:sz w:val="24"/>
          <w:szCs w:val="24"/>
        </w:rPr>
        <w:t>for</w:t>
      </w:r>
      <w:r w:rsidRPr="001E3C9B">
        <w:rPr>
          <w:rFonts w:ascii="Times New Roman" w:eastAsiaTheme="minorHAnsi" w:hAnsi="Times New Roman"/>
          <w:noProof/>
          <w:color w:val="000000" w:themeColor="text1"/>
          <w:sz w:val="24"/>
          <w:szCs w:val="24"/>
        </w:rPr>
        <w:t xml:space="preserve"> </w:t>
      </w:r>
      <w:r w:rsidR="00D33D74" w:rsidRPr="001E3C9B">
        <w:rPr>
          <w:rFonts w:ascii="Times New Roman" w:eastAsiaTheme="minorHAnsi" w:hAnsi="Times New Roman"/>
          <w:noProof/>
          <w:color w:val="000000" w:themeColor="text1"/>
          <w:sz w:val="24"/>
          <w:szCs w:val="24"/>
          <w:lang w:val="mt-MT"/>
        </w:rPr>
        <w:t>NPPs</w:t>
      </w:r>
      <w:r w:rsidR="00F22713">
        <w:rPr>
          <w:rFonts w:ascii="Times New Roman" w:eastAsiaTheme="minorHAnsi" w:hAnsi="Times New Roman"/>
          <w:noProof/>
          <w:color w:val="000000" w:themeColor="text1"/>
          <w:sz w:val="24"/>
          <w:szCs w:val="24"/>
          <w:lang w:val="mt-MT"/>
        </w:rPr>
        <w:t>;</w:t>
      </w:r>
    </w:p>
    <w:p w14:paraId="0996F4C9" w14:textId="3E293BE0" w:rsidR="009E0B10" w:rsidRPr="001E3C9B" w:rsidRDefault="009E0B10" w:rsidP="009E0B10">
      <w:pPr>
        <w:pStyle w:val="Body"/>
        <w:numPr>
          <w:ilvl w:val="0"/>
          <w:numId w:val="52"/>
        </w:numPr>
        <w:spacing w:before="0" w:after="120"/>
        <w:rPr>
          <w:rFonts w:ascii="Times New Roman" w:eastAsiaTheme="minorHAnsi" w:hAnsi="Times New Roman"/>
          <w:noProof/>
          <w:color w:val="000000" w:themeColor="text1"/>
          <w:sz w:val="24"/>
          <w:szCs w:val="24"/>
        </w:rPr>
      </w:pPr>
      <w:r w:rsidRPr="001E3C9B">
        <w:rPr>
          <w:rFonts w:ascii="Times New Roman" w:eastAsiaTheme="minorHAnsi" w:hAnsi="Times New Roman"/>
          <w:noProof/>
          <w:color w:val="000000" w:themeColor="text1"/>
          <w:sz w:val="24"/>
          <w:szCs w:val="24"/>
          <w:lang w:val="mt-MT"/>
        </w:rPr>
        <w:t xml:space="preserve">the </w:t>
      </w:r>
      <w:r w:rsidR="001B42ED" w:rsidRPr="001E3C9B">
        <w:rPr>
          <w:rFonts w:ascii="Times New Roman" w:eastAsiaTheme="minorHAnsi" w:hAnsi="Times New Roman"/>
          <w:noProof/>
          <w:color w:val="000000" w:themeColor="text1"/>
          <w:sz w:val="24"/>
          <w:szCs w:val="24"/>
        </w:rPr>
        <w:t>JRC’s participation in the European Safeguards Research and Development Association</w:t>
      </w:r>
      <w:r w:rsidR="00F22713">
        <w:rPr>
          <w:rFonts w:ascii="Times New Roman" w:eastAsiaTheme="minorHAnsi" w:hAnsi="Times New Roman"/>
          <w:noProof/>
          <w:color w:val="000000" w:themeColor="text1"/>
          <w:sz w:val="24"/>
          <w:szCs w:val="24"/>
        </w:rPr>
        <w:t>;</w:t>
      </w:r>
    </w:p>
    <w:p w14:paraId="35222AB1" w14:textId="18DB3352" w:rsidR="009E0B10" w:rsidRPr="001E3C9B" w:rsidRDefault="001B42ED" w:rsidP="009E0B10">
      <w:pPr>
        <w:pStyle w:val="Body"/>
        <w:numPr>
          <w:ilvl w:val="0"/>
          <w:numId w:val="52"/>
        </w:numPr>
        <w:spacing w:before="0" w:after="120"/>
        <w:rPr>
          <w:rFonts w:ascii="Times New Roman" w:eastAsiaTheme="minorHAnsi" w:hAnsi="Times New Roman"/>
          <w:noProof/>
          <w:color w:val="000000" w:themeColor="text1"/>
          <w:sz w:val="24"/>
          <w:szCs w:val="24"/>
        </w:rPr>
      </w:pPr>
      <w:r w:rsidRPr="001E3C9B">
        <w:rPr>
          <w:rFonts w:ascii="Times New Roman" w:eastAsiaTheme="minorHAnsi" w:hAnsi="Times New Roman"/>
          <w:noProof/>
          <w:color w:val="000000" w:themeColor="text1"/>
          <w:sz w:val="24"/>
          <w:szCs w:val="24"/>
        </w:rPr>
        <w:t xml:space="preserve">the open access </w:t>
      </w:r>
      <w:r w:rsidR="0018082B">
        <w:rPr>
          <w:rFonts w:ascii="Times New Roman" w:eastAsiaTheme="minorHAnsi" w:hAnsi="Times New Roman"/>
          <w:noProof/>
          <w:color w:val="000000" w:themeColor="text1"/>
          <w:sz w:val="24"/>
          <w:szCs w:val="24"/>
        </w:rPr>
        <w:t xml:space="preserve">given </w:t>
      </w:r>
      <w:r w:rsidRPr="001E3C9B">
        <w:rPr>
          <w:rFonts w:ascii="Times New Roman" w:eastAsiaTheme="minorHAnsi" w:hAnsi="Times New Roman"/>
          <w:noProof/>
          <w:color w:val="000000" w:themeColor="text1"/>
          <w:sz w:val="24"/>
          <w:szCs w:val="24"/>
        </w:rPr>
        <w:t>to</w:t>
      </w:r>
      <w:r w:rsidR="009E0B10" w:rsidRPr="001E3C9B">
        <w:rPr>
          <w:rFonts w:ascii="Times New Roman" w:eastAsiaTheme="minorHAnsi" w:hAnsi="Times New Roman"/>
          <w:noProof/>
          <w:color w:val="000000" w:themeColor="text1"/>
          <w:sz w:val="24"/>
          <w:szCs w:val="24"/>
          <w:lang w:val="mt-MT"/>
        </w:rPr>
        <w:t xml:space="preserve"> the</w:t>
      </w:r>
      <w:r w:rsidRPr="001E3C9B">
        <w:rPr>
          <w:rFonts w:ascii="Times New Roman" w:eastAsiaTheme="minorHAnsi" w:hAnsi="Times New Roman"/>
          <w:noProof/>
          <w:color w:val="000000" w:themeColor="text1"/>
          <w:sz w:val="24"/>
          <w:szCs w:val="24"/>
        </w:rPr>
        <w:t xml:space="preserve"> JRC</w:t>
      </w:r>
      <w:r w:rsidR="009E0B10" w:rsidRPr="001E3C9B">
        <w:rPr>
          <w:rFonts w:ascii="Times New Roman" w:eastAsiaTheme="minorHAnsi" w:hAnsi="Times New Roman"/>
          <w:noProof/>
          <w:color w:val="000000" w:themeColor="text1"/>
          <w:sz w:val="24"/>
          <w:szCs w:val="24"/>
          <w:lang w:val="mt-MT"/>
        </w:rPr>
        <w:t>’s</w:t>
      </w:r>
      <w:r w:rsidRPr="001E3C9B">
        <w:rPr>
          <w:rFonts w:ascii="Times New Roman" w:eastAsiaTheme="minorHAnsi" w:hAnsi="Times New Roman"/>
          <w:noProof/>
          <w:color w:val="000000" w:themeColor="text1"/>
          <w:sz w:val="24"/>
          <w:szCs w:val="24"/>
        </w:rPr>
        <w:t xml:space="preserve"> nuclear research facilities</w:t>
      </w:r>
      <w:r w:rsidR="00F22713">
        <w:rPr>
          <w:rFonts w:ascii="Times New Roman" w:eastAsiaTheme="minorHAnsi" w:hAnsi="Times New Roman"/>
          <w:noProof/>
          <w:color w:val="000000" w:themeColor="text1"/>
          <w:sz w:val="24"/>
          <w:szCs w:val="24"/>
        </w:rPr>
        <w:t>;</w:t>
      </w:r>
    </w:p>
    <w:p w14:paraId="0024BD77" w14:textId="71B5FB8F" w:rsidR="009E0B10" w:rsidRPr="001E3C9B" w:rsidRDefault="00F22713" w:rsidP="009E0B10">
      <w:pPr>
        <w:pStyle w:val="Body"/>
        <w:numPr>
          <w:ilvl w:val="0"/>
          <w:numId w:val="52"/>
        </w:numPr>
        <w:spacing w:before="0" w:after="120"/>
        <w:rPr>
          <w:rFonts w:ascii="Times New Roman" w:eastAsiaTheme="minorHAnsi" w:hAnsi="Times New Roman"/>
          <w:noProof/>
          <w:color w:val="000000" w:themeColor="text1"/>
          <w:sz w:val="24"/>
          <w:szCs w:val="24"/>
        </w:rPr>
      </w:pPr>
      <w:r>
        <w:rPr>
          <w:rFonts w:ascii="Times New Roman" w:eastAsiaTheme="minorHAnsi" w:hAnsi="Times New Roman"/>
          <w:noProof/>
          <w:color w:val="000000" w:themeColor="text1"/>
          <w:sz w:val="24"/>
          <w:szCs w:val="24"/>
        </w:rPr>
        <w:t>research on</w:t>
      </w:r>
      <w:r w:rsidRPr="001E3C9B">
        <w:rPr>
          <w:rFonts w:ascii="Times New Roman" w:eastAsiaTheme="minorHAnsi" w:hAnsi="Times New Roman"/>
          <w:noProof/>
          <w:color w:val="000000" w:themeColor="text1"/>
          <w:sz w:val="24"/>
          <w:szCs w:val="24"/>
        </w:rPr>
        <w:t xml:space="preserve"> </w:t>
      </w:r>
      <w:r>
        <w:rPr>
          <w:rFonts w:ascii="Times New Roman" w:eastAsiaTheme="minorHAnsi" w:hAnsi="Times New Roman"/>
          <w:noProof/>
          <w:color w:val="000000" w:themeColor="text1"/>
          <w:sz w:val="24"/>
          <w:szCs w:val="24"/>
        </w:rPr>
        <w:t>t</w:t>
      </w:r>
      <w:r w:rsidR="00E5270C" w:rsidRPr="001E3C9B">
        <w:rPr>
          <w:rFonts w:ascii="Times New Roman" w:eastAsiaTheme="minorHAnsi" w:hAnsi="Times New Roman"/>
          <w:noProof/>
          <w:color w:val="000000" w:themeColor="text1"/>
          <w:sz w:val="24"/>
          <w:szCs w:val="24"/>
        </w:rPr>
        <w:t xml:space="preserve">argeted </w:t>
      </w:r>
      <w:r>
        <w:rPr>
          <w:rFonts w:ascii="Times New Roman" w:eastAsiaTheme="minorHAnsi" w:hAnsi="Times New Roman"/>
          <w:noProof/>
          <w:color w:val="000000" w:themeColor="text1"/>
          <w:sz w:val="24"/>
          <w:szCs w:val="24"/>
        </w:rPr>
        <w:t>a</w:t>
      </w:r>
      <w:r w:rsidR="00E5270C" w:rsidRPr="001E3C9B">
        <w:rPr>
          <w:rFonts w:ascii="Times New Roman" w:eastAsiaTheme="minorHAnsi" w:hAnsi="Times New Roman"/>
          <w:noProof/>
          <w:color w:val="000000" w:themeColor="text1"/>
          <w:sz w:val="24"/>
          <w:szCs w:val="24"/>
        </w:rPr>
        <w:t xml:space="preserve">lpha </w:t>
      </w:r>
      <w:r>
        <w:rPr>
          <w:rFonts w:ascii="Times New Roman" w:eastAsiaTheme="minorHAnsi" w:hAnsi="Times New Roman"/>
          <w:noProof/>
          <w:color w:val="000000" w:themeColor="text1"/>
          <w:sz w:val="24"/>
          <w:szCs w:val="24"/>
        </w:rPr>
        <w:t>t</w:t>
      </w:r>
      <w:r w:rsidR="001B42ED" w:rsidRPr="001E3C9B">
        <w:rPr>
          <w:rFonts w:ascii="Times New Roman" w:eastAsiaTheme="minorHAnsi" w:hAnsi="Times New Roman"/>
          <w:noProof/>
          <w:color w:val="000000" w:themeColor="text1"/>
          <w:sz w:val="24"/>
          <w:szCs w:val="24"/>
        </w:rPr>
        <w:t>herapy</w:t>
      </w:r>
      <w:r>
        <w:rPr>
          <w:rFonts w:ascii="Times New Roman" w:eastAsiaTheme="minorHAnsi" w:hAnsi="Times New Roman"/>
          <w:noProof/>
          <w:color w:val="000000" w:themeColor="text1"/>
          <w:sz w:val="24"/>
          <w:szCs w:val="24"/>
        </w:rPr>
        <w:t>;</w:t>
      </w:r>
    </w:p>
    <w:p w14:paraId="15880606" w14:textId="087DC83F" w:rsidR="009E0B10" w:rsidRPr="001E3C9B" w:rsidRDefault="001B42ED" w:rsidP="009E0B10">
      <w:pPr>
        <w:pStyle w:val="Body"/>
        <w:numPr>
          <w:ilvl w:val="0"/>
          <w:numId w:val="52"/>
        </w:numPr>
        <w:spacing w:before="0" w:after="120"/>
        <w:rPr>
          <w:rFonts w:ascii="Times New Roman" w:eastAsiaTheme="minorHAnsi" w:hAnsi="Times New Roman"/>
          <w:noProof/>
          <w:color w:val="000000" w:themeColor="text1"/>
          <w:sz w:val="24"/>
          <w:szCs w:val="24"/>
        </w:rPr>
      </w:pPr>
      <w:r w:rsidRPr="001E3C9B">
        <w:rPr>
          <w:rFonts w:ascii="Times New Roman" w:eastAsiaTheme="minorHAnsi" w:hAnsi="Times New Roman"/>
          <w:noProof/>
          <w:color w:val="000000" w:themeColor="text1"/>
          <w:sz w:val="24"/>
          <w:szCs w:val="24"/>
        </w:rPr>
        <w:t xml:space="preserve">the CBRN </w:t>
      </w:r>
      <w:r w:rsidR="00E5270C" w:rsidRPr="001E3C9B">
        <w:rPr>
          <w:rFonts w:ascii="Times New Roman" w:eastAsiaTheme="minorHAnsi" w:hAnsi="Times New Roman"/>
          <w:noProof/>
          <w:color w:val="000000" w:themeColor="text1"/>
          <w:sz w:val="24"/>
          <w:szCs w:val="24"/>
        </w:rPr>
        <w:t>(</w:t>
      </w:r>
      <w:r w:rsidR="00F22713">
        <w:rPr>
          <w:rFonts w:ascii="Times New Roman" w:eastAsiaTheme="minorHAnsi" w:hAnsi="Times New Roman"/>
          <w:noProof/>
          <w:color w:val="000000" w:themeColor="text1"/>
          <w:sz w:val="24"/>
          <w:szCs w:val="24"/>
        </w:rPr>
        <w:t>c</w:t>
      </w:r>
      <w:r w:rsidR="00E5270C" w:rsidRPr="001E3C9B">
        <w:rPr>
          <w:rFonts w:ascii="Times New Roman" w:eastAsiaTheme="minorHAnsi" w:hAnsi="Times New Roman"/>
          <w:noProof/>
          <w:color w:val="000000" w:themeColor="text1"/>
          <w:sz w:val="24"/>
          <w:szCs w:val="24"/>
        </w:rPr>
        <w:t xml:space="preserve">hemical, </w:t>
      </w:r>
      <w:r w:rsidR="00F22713">
        <w:rPr>
          <w:rFonts w:ascii="Times New Roman" w:eastAsiaTheme="minorHAnsi" w:hAnsi="Times New Roman"/>
          <w:noProof/>
          <w:color w:val="000000" w:themeColor="text1"/>
          <w:sz w:val="24"/>
          <w:szCs w:val="24"/>
        </w:rPr>
        <w:t>b</w:t>
      </w:r>
      <w:r w:rsidR="00E5270C" w:rsidRPr="001E3C9B">
        <w:rPr>
          <w:rFonts w:ascii="Times New Roman" w:eastAsiaTheme="minorHAnsi" w:hAnsi="Times New Roman"/>
          <w:noProof/>
          <w:color w:val="000000" w:themeColor="text1"/>
          <w:sz w:val="24"/>
          <w:szCs w:val="24"/>
        </w:rPr>
        <w:t xml:space="preserve">iological, </w:t>
      </w:r>
      <w:r w:rsidR="00F22713">
        <w:rPr>
          <w:rFonts w:ascii="Times New Roman" w:eastAsiaTheme="minorHAnsi" w:hAnsi="Times New Roman"/>
          <w:noProof/>
          <w:color w:val="000000" w:themeColor="text1"/>
          <w:sz w:val="24"/>
          <w:szCs w:val="24"/>
        </w:rPr>
        <w:t>r</w:t>
      </w:r>
      <w:r w:rsidR="00E5270C" w:rsidRPr="001E3C9B">
        <w:rPr>
          <w:rFonts w:ascii="Times New Roman" w:eastAsiaTheme="minorHAnsi" w:hAnsi="Times New Roman"/>
          <w:noProof/>
          <w:color w:val="000000" w:themeColor="text1"/>
          <w:sz w:val="24"/>
          <w:szCs w:val="24"/>
        </w:rPr>
        <w:t xml:space="preserve">adiological and </w:t>
      </w:r>
      <w:r w:rsidR="00F22713">
        <w:rPr>
          <w:rFonts w:ascii="Times New Roman" w:eastAsiaTheme="minorHAnsi" w:hAnsi="Times New Roman"/>
          <w:noProof/>
          <w:color w:val="000000" w:themeColor="text1"/>
          <w:sz w:val="24"/>
          <w:szCs w:val="24"/>
        </w:rPr>
        <w:t>n</w:t>
      </w:r>
      <w:r w:rsidR="00E5270C" w:rsidRPr="001E3C9B">
        <w:rPr>
          <w:rFonts w:ascii="Times New Roman" w:eastAsiaTheme="minorHAnsi" w:hAnsi="Times New Roman"/>
          <w:noProof/>
          <w:color w:val="000000" w:themeColor="text1"/>
          <w:sz w:val="24"/>
          <w:szCs w:val="24"/>
        </w:rPr>
        <w:t xml:space="preserve">uclear) threats </w:t>
      </w:r>
      <w:r w:rsidR="00F22713">
        <w:rPr>
          <w:rFonts w:ascii="Times New Roman" w:eastAsiaTheme="minorHAnsi" w:hAnsi="Times New Roman"/>
          <w:noProof/>
          <w:color w:val="000000" w:themeColor="text1"/>
          <w:sz w:val="24"/>
          <w:szCs w:val="24"/>
        </w:rPr>
        <w:t>c</w:t>
      </w:r>
      <w:r w:rsidRPr="001E3C9B">
        <w:rPr>
          <w:rFonts w:ascii="Times New Roman" w:eastAsiaTheme="minorHAnsi" w:hAnsi="Times New Roman"/>
          <w:noProof/>
          <w:color w:val="000000" w:themeColor="text1"/>
          <w:sz w:val="24"/>
          <w:szCs w:val="24"/>
        </w:rPr>
        <w:t xml:space="preserve">entres of </w:t>
      </w:r>
      <w:r w:rsidR="00F22713">
        <w:rPr>
          <w:rFonts w:ascii="Times New Roman" w:eastAsiaTheme="minorHAnsi" w:hAnsi="Times New Roman"/>
          <w:noProof/>
          <w:color w:val="000000" w:themeColor="text1"/>
          <w:sz w:val="24"/>
          <w:szCs w:val="24"/>
        </w:rPr>
        <w:t>e</w:t>
      </w:r>
      <w:r w:rsidRPr="001E3C9B">
        <w:rPr>
          <w:rFonts w:ascii="Times New Roman" w:eastAsiaTheme="minorHAnsi" w:hAnsi="Times New Roman"/>
          <w:noProof/>
          <w:color w:val="000000" w:themeColor="text1"/>
          <w:sz w:val="24"/>
          <w:szCs w:val="24"/>
        </w:rPr>
        <w:t>xcellence</w:t>
      </w:r>
      <w:r w:rsidR="00F22713">
        <w:rPr>
          <w:rFonts w:ascii="Times New Roman" w:eastAsiaTheme="minorHAnsi" w:hAnsi="Times New Roman"/>
          <w:noProof/>
          <w:color w:val="000000" w:themeColor="text1"/>
          <w:sz w:val="24"/>
          <w:szCs w:val="24"/>
        </w:rPr>
        <w:t>;</w:t>
      </w:r>
    </w:p>
    <w:p w14:paraId="602EF74E" w14:textId="2D82E239" w:rsidR="009E0B10" w:rsidRPr="001E3C9B" w:rsidRDefault="00F22713" w:rsidP="009E0B10">
      <w:pPr>
        <w:pStyle w:val="Body"/>
        <w:numPr>
          <w:ilvl w:val="0"/>
          <w:numId w:val="52"/>
        </w:numPr>
        <w:spacing w:before="0" w:after="120"/>
        <w:rPr>
          <w:rFonts w:ascii="Times New Roman" w:eastAsiaTheme="minorHAnsi" w:hAnsi="Times New Roman"/>
          <w:noProof/>
          <w:color w:val="000000" w:themeColor="text1"/>
          <w:sz w:val="24"/>
          <w:szCs w:val="24"/>
        </w:rPr>
      </w:pPr>
      <w:r>
        <w:rPr>
          <w:rFonts w:ascii="Times New Roman" w:eastAsiaTheme="minorHAnsi" w:hAnsi="Times New Roman"/>
          <w:noProof/>
          <w:color w:val="000000" w:themeColor="text1"/>
          <w:sz w:val="24"/>
          <w:szCs w:val="24"/>
        </w:rPr>
        <w:t xml:space="preserve">research </w:t>
      </w:r>
      <w:r w:rsidR="00EA1295">
        <w:rPr>
          <w:rFonts w:ascii="Times New Roman" w:eastAsiaTheme="minorHAnsi" w:hAnsi="Times New Roman"/>
          <w:noProof/>
          <w:color w:val="000000" w:themeColor="text1"/>
          <w:sz w:val="24"/>
          <w:szCs w:val="24"/>
        </w:rPr>
        <w:t>on</w:t>
      </w:r>
      <w:r w:rsidR="001B42ED" w:rsidRPr="001E3C9B">
        <w:rPr>
          <w:rFonts w:ascii="Times New Roman" w:eastAsiaTheme="minorHAnsi" w:hAnsi="Times New Roman"/>
          <w:noProof/>
          <w:color w:val="000000" w:themeColor="text1"/>
          <w:sz w:val="24"/>
          <w:szCs w:val="24"/>
        </w:rPr>
        <w:t xml:space="preserve"> spent fuel</w:t>
      </w:r>
      <w:r w:rsidR="00EA1295">
        <w:rPr>
          <w:rFonts w:ascii="Times New Roman" w:eastAsiaTheme="minorHAnsi" w:hAnsi="Times New Roman"/>
          <w:noProof/>
          <w:color w:val="000000" w:themeColor="text1"/>
          <w:sz w:val="24"/>
          <w:szCs w:val="24"/>
        </w:rPr>
        <w:t xml:space="preserve"> characterisation</w:t>
      </w:r>
      <w:r>
        <w:rPr>
          <w:rFonts w:ascii="Times New Roman" w:eastAsiaTheme="minorHAnsi" w:hAnsi="Times New Roman"/>
          <w:noProof/>
          <w:color w:val="000000" w:themeColor="text1"/>
          <w:sz w:val="24"/>
          <w:szCs w:val="24"/>
        </w:rPr>
        <w:t xml:space="preserve"> to help improve</w:t>
      </w:r>
      <w:r w:rsidR="001B42ED" w:rsidRPr="001E3C9B">
        <w:rPr>
          <w:rFonts w:ascii="Times New Roman" w:eastAsiaTheme="minorHAnsi" w:hAnsi="Times New Roman"/>
          <w:noProof/>
          <w:color w:val="000000" w:themeColor="text1"/>
          <w:sz w:val="24"/>
          <w:szCs w:val="24"/>
        </w:rPr>
        <w:t xml:space="preserve"> </w:t>
      </w:r>
      <w:r w:rsidR="00EA1295">
        <w:rPr>
          <w:rFonts w:ascii="Times New Roman" w:eastAsiaTheme="minorHAnsi" w:hAnsi="Times New Roman"/>
          <w:noProof/>
          <w:color w:val="000000" w:themeColor="text1"/>
          <w:sz w:val="24"/>
          <w:szCs w:val="24"/>
        </w:rPr>
        <w:t xml:space="preserve">the </w:t>
      </w:r>
      <w:r w:rsidR="001B42ED" w:rsidRPr="001E3C9B">
        <w:rPr>
          <w:rFonts w:ascii="Times New Roman" w:eastAsiaTheme="minorHAnsi" w:hAnsi="Times New Roman"/>
          <w:noProof/>
          <w:color w:val="000000" w:themeColor="text1"/>
          <w:sz w:val="24"/>
          <w:szCs w:val="24"/>
        </w:rPr>
        <w:t>safety assessment of extended interim storage</w:t>
      </w:r>
      <w:r>
        <w:rPr>
          <w:rFonts w:ascii="Times New Roman" w:eastAsiaTheme="minorHAnsi" w:hAnsi="Times New Roman"/>
          <w:noProof/>
          <w:color w:val="000000" w:themeColor="text1"/>
          <w:sz w:val="24"/>
          <w:szCs w:val="24"/>
        </w:rPr>
        <w:t>;</w:t>
      </w:r>
    </w:p>
    <w:p w14:paraId="35ED387C" w14:textId="198D8757" w:rsidR="009E0B10" w:rsidRPr="001E3C9B" w:rsidRDefault="001B42ED" w:rsidP="009E0B10">
      <w:pPr>
        <w:pStyle w:val="Body"/>
        <w:numPr>
          <w:ilvl w:val="0"/>
          <w:numId w:val="52"/>
        </w:numPr>
        <w:spacing w:before="0" w:after="120"/>
        <w:rPr>
          <w:rFonts w:ascii="Times New Roman" w:eastAsiaTheme="minorHAnsi" w:hAnsi="Times New Roman"/>
          <w:noProof/>
          <w:color w:val="000000" w:themeColor="text1"/>
          <w:sz w:val="24"/>
          <w:szCs w:val="24"/>
        </w:rPr>
      </w:pPr>
      <w:r w:rsidRPr="001E3C9B">
        <w:rPr>
          <w:rFonts w:ascii="Times New Roman" w:eastAsiaTheme="minorHAnsi" w:hAnsi="Times New Roman"/>
          <w:noProof/>
          <w:color w:val="000000" w:themeColor="text1"/>
          <w:sz w:val="24"/>
          <w:szCs w:val="24"/>
        </w:rPr>
        <w:t xml:space="preserve">support </w:t>
      </w:r>
      <w:r w:rsidR="0018082B">
        <w:rPr>
          <w:rFonts w:ascii="Times New Roman" w:eastAsiaTheme="minorHAnsi" w:hAnsi="Times New Roman"/>
          <w:noProof/>
          <w:color w:val="000000" w:themeColor="text1"/>
          <w:sz w:val="24"/>
          <w:szCs w:val="24"/>
        </w:rPr>
        <w:t>for</w:t>
      </w:r>
      <w:r w:rsidR="0018082B" w:rsidRPr="001E3C9B">
        <w:rPr>
          <w:rFonts w:ascii="Times New Roman" w:eastAsiaTheme="minorHAnsi" w:hAnsi="Times New Roman"/>
          <w:noProof/>
          <w:color w:val="000000" w:themeColor="text1"/>
          <w:sz w:val="24"/>
          <w:szCs w:val="24"/>
        </w:rPr>
        <w:t xml:space="preserve"> </w:t>
      </w:r>
      <w:r w:rsidRPr="001E3C9B">
        <w:rPr>
          <w:rFonts w:ascii="Times New Roman" w:eastAsiaTheme="minorHAnsi" w:hAnsi="Times New Roman"/>
          <w:noProof/>
          <w:color w:val="000000" w:themeColor="text1"/>
          <w:sz w:val="24"/>
          <w:szCs w:val="24"/>
        </w:rPr>
        <w:t>the implementation of the Instrument for Nuclear Safety Cooperation (INSC)</w:t>
      </w:r>
      <w:r w:rsidR="00F22713">
        <w:rPr>
          <w:rFonts w:ascii="Times New Roman" w:eastAsiaTheme="minorHAnsi" w:hAnsi="Times New Roman"/>
          <w:noProof/>
          <w:color w:val="000000" w:themeColor="text1"/>
          <w:sz w:val="24"/>
          <w:szCs w:val="24"/>
        </w:rPr>
        <w:t>;</w:t>
      </w:r>
    </w:p>
    <w:p w14:paraId="6C31EFEF" w14:textId="7B59D186" w:rsidR="009E0B10" w:rsidRPr="001E3C9B" w:rsidRDefault="00E5270C" w:rsidP="009E0B10">
      <w:pPr>
        <w:pStyle w:val="Body"/>
        <w:numPr>
          <w:ilvl w:val="0"/>
          <w:numId w:val="52"/>
        </w:numPr>
        <w:spacing w:before="0" w:after="120"/>
        <w:rPr>
          <w:rFonts w:ascii="Times New Roman" w:eastAsiaTheme="minorHAnsi" w:hAnsi="Times New Roman"/>
          <w:noProof/>
          <w:color w:val="000000" w:themeColor="text1"/>
          <w:sz w:val="24"/>
          <w:szCs w:val="24"/>
        </w:rPr>
      </w:pPr>
      <w:r w:rsidRPr="001E3C9B">
        <w:rPr>
          <w:rFonts w:ascii="Times New Roman" w:eastAsiaTheme="minorHAnsi" w:hAnsi="Times New Roman"/>
          <w:noProof/>
          <w:color w:val="000000" w:themeColor="text1"/>
          <w:sz w:val="24"/>
          <w:szCs w:val="24"/>
        </w:rPr>
        <w:t xml:space="preserve">the </w:t>
      </w:r>
      <w:r w:rsidR="00D811D7">
        <w:rPr>
          <w:rFonts w:ascii="Times New Roman" w:eastAsiaTheme="minorHAnsi" w:hAnsi="Times New Roman"/>
          <w:noProof/>
          <w:color w:val="000000" w:themeColor="text1"/>
          <w:sz w:val="24"/>
          <w:szCs w:val="24"/>
        </w:rPr>
        <w:t xml:space="preserve">implementation of the </w:t>
      </w:r>
      <w:r w:rsidRPr="001E3C9B">
        <w:rPr>
          <w:rFonts w:ascii="Times New Roman" w:eastAsiaTheme="minorHAnsi" w:hAnsi="Times New Roman"/>
          <w:noProof/>
          <w:color w:val="000000" w:themeColor="text1"/>
          <w:sz w:val="24"/>
          <w:szCs w:val="24"/>
        </w:rPr>
        <w:t>Instrument contributing to Stability and Peace</w:t>
      </w:r>
      <w:r w:rsidR="001B42ED" w:rsidRPr="001E3C9B">
        <w:rPr>
          <w:rFonts w:ascii="Times New Roman" w:eastAsiaTheme="minorHAnsi" w:hAnsi="Times New Roman"/>
          <w:noProof/>
          <w:color w:val="000000" w:themeColor="text1"/>
          <w:sz w:val="24"/>
          <w:szCs w:val="24"/>
        </w:rPr>
        <w:t>.</w:t>
      </w:r>
    </w:p>
    <w:p w14:paraId="7DDAE16B" w14:textId="11156E85" w:rsidR="001B42ED" w:rsidRPr="001E3C9B" w:rsidRDefault="001B42ED" w:rsidP="009E0B10">
      <w:pPr>
        <w:pStyle w:val="Body"/>
        <w:spacing w:before="0" w:after="120"/>
        <w:rPr>
          <w:rFonts w:ascii="Times New Roman" w:eastAsiaTheme="minorHAnsi" w:hAnsi="Times New Roman"/>
          <w:noProof/>
          <w:color w:val="000000" w:themeColor="text1"/>
          <w:sz w:val="24"/>
          <w:szCs w:val="24"/>
        </w:rPr>
      </w:pPr>
      <w:r w:rsidRPr="001E3C9B">
        <w:rPr>
          <w:rFonts w:ascii="Times New Roman" w:eastAsiaTheme="minorHAnsi" w:hAnsi="Times New Roman"/>
          <w:noProof/>
          <w:color w:val="000000" w:themeColor="text1"/>
          <w:sz w:val="24"/>
          <w:szCs w:val="24"/>
        </w:rPr>
        <w:t xml:space="preserve">The activities evaluated were deemed to achieve </w:t>
      </w:r>
      <w:r w:rsidRPr="00854965">
        <w:rPr>
          <w:rFonts w:ascii="Times New Roman" w:eastAsiaTheme="minorHAnsi" w:hAnsi="Times New Roman"/>
          <w:noProof/>
          <w:color w:val="000000" w:themeColor="text1"/>
          <w:sz w:val="24"/>
          <w:szCs w:val="24"/>
        </w:rPr>
        <w:t>long</w:t>
      </w:r>
      <w:r w:rsidR="009E0B10" w:rsidRPr="00854965">
        <w:rPr>
          <w:rFonts w:ascii="Times New Roman" w:eastAsiaTheme="minorHAnsi" w:hAnsi="Times New Roman"/>
          <w:noProof/>
          <w:color w:val="000000" w:themeColor="text1"/>
          <w:sz w:val="24"/>
          <w:szCs w:val="24"/>
          <w:lang w:val="mt-MT"/>
        </w:rPr>
        <w:t>-</w:t>
      </w:r>
      <w:r w:rsidRPr="00854965">
        <w:rPr>
          <w:rFonts w:ascii="Times New Roman" w:eastAsiaTheme="minorHAnsi" w:hAnsi="Times New Roman"/>
          <w:noProof/>
          <w:color w:val="000000" w:themeColor="text1"/>
          <w:sz w:val="24"/>
          <w:szCs w:val="24"/>
        </w:rPr>
        <w:t>term societal impacts in over 90% of cases</w:t>
      </w:r>
      <w:r w:rsidRPr="00766166">
        <w:rPr>
          <w:rFonts w:ascii="Times New Roman" w:eastAsiaTheme="minorHAnsi" w:hAnsi="Times New Roman"/>
          <w:noProof/>
          <w:color w:val="000000" w:themeColor="text1"/>
          <w:sz w:val="24"/>
          <w:szCs w:val="24"/>
        </w:rPr>
        <w:t>,</w:t>
      </w:r>
      <w:r w:rsidRPr="001E3C9B">
        <w:rPr>
          <w:rFonts w:ascii="Times New Roman" w:eastAsiaTheme="minorHAnsi" w:hAnsi="Times New Roman"/>
          <w:noProof/>
          <w:color w:val="000000" w:themeColor="text1"/>
          <w:sz w:val="24"/>
          <w:szCs w:val="24"/>
        </w:rPr>
        <w:t xml:space="preserve"> adressing environmental, social or health issues. The evaluation also noted an improvement in the JRC’s interactions with stakeholders and its policy relevance. The JRC made a noticeable contribution to scientific knowledge by producing </w:t>
      </w:r>
      <w:r w:rsidRPr="00854965">
        <w:rPr>
          <w:rFonts w:ascii="Times New Roman" w:eastAsiaTheme="minorHAnsi" w:hAnsi="Times New Roman"/>
          <w:noProof/>
          <w:color w:val="000000" w:themeColor="text1"/>
          <w:sz w:val="24"/>
          <w:szCs w:val="24"/>
        </w:rPr>
        <w:t>well</w:t>
      </w:r>
      <w:r w:rsidR="009E0B10" w:rsidRPr="00854965">
        <w:rPr>
          <w:rFonts w:ascii="Times New Roman" w:eastAsiaTheme="minorHAnsi" w:hAnsi="Times New Roman"/>
          <w:noProof/>
          <w:color w:val="000000" w:themeColor="text1"/>
          <w:sz w:val="24"/>
          <w:szCs w:val="24"/>
          <w:lang w:val="mt-MT"/>
        </w:rPr>
        <w:t>-</w:t>
      </w:r>
      <w:r w:rsidRPr="00854965">
        <w:rPr>
          <w:rFonts w:ascii="Times New Roman" w:eastAsiaTheme="minorHAnsi" w:hAnsi="Times New Roman"/>
          <w:noProof/>
          <w:color w:val="000000" w:themeColor="text1"/>
          <w:sz w:val="24"/>
          <w:szCs w:val="24"/>
        </w:rPr>
        <w:t>cited and peer-reviewed work published in top scientific journals</w:t>
      </w:r>
      <w:r w:rsidRPr="00766166">
        <w:rPr>
          <w:rFonts w:ascii="Times New Roman" w:eastAsiaTheme="minorHAnsi" w:hAnsi="Times New Roman"/>
          <w:noProof/>
          <w:color w:val="000000" w:themeColor="text1"/>
          <w:sz w:val="24"/>
          <w:szCs w:val="24"/>
        </w:rPr>
        <w:t>.</w:t>
      </w:r>
      <w:r w:rsidRPr="001E3C9B">
        <w:rPr>
          <w:rFonts w:ascii="Times New Roman" w:eastAsiaTheme="minorHAnsi" w:hAnsi="Times New Roman"/>
          <w:noProof/>
          <w:color w:val="000000" w:themeColor="text1"/>
          <w:sz w:val="24"/>
          <w:szCs w:val="24"/>
        </w:rPr>
        <w:t xml:space="preserve"> Overall, based on the assessment of its research activities, the JRC </w:t>
      </w:r>
      <w:r w:rsidR="005B4766">
        <w:rPr>
          <w:rFonts w:ascii="Times New Roman" w:eastAsiaTheme="minorHAnsi" w:hAnsi="Times New Roman"/>
          <w:noProof/>
          <w:color w:val="000000" w:themeColor="text1"/>
          <w:sz w:val="24"/>
          <w:szCs w:val="24"/>
        </w:rPr>
        <w:t>is</w:t>
      </w:r>
      <w:r w:rsidRPr="001E3C9B">
        <w:rPr>
          <w:rFonts w:ascii="Times New Roman" w:eastAsiaTheme="minorHAnsi" w:hAnsi="Times New Roman"/>
          <w:noProof/>
          <w:color w:val="000000" w:themeColor="text1"/>
          <w:sz w:val="24"/>
          <w:szCs w:val="24"/>
        </w:rPr>
        <w:t xml:space="preserve"> a competent and effective science and knowledge service.</w:t>
      </w:r>
    </w:p>
    <w:p w14:paraId="4BBCE39D" w14:textId="0ACD71B2" w:rsidR="00EF188F" w:rsidRDefault="004748CC" w:rsidP="001B42ED">
      <w:pPr>
        <w:pStyle w:val="Body"/>
        <w:spacing w:before="0" w:after="120"/>
        <w:rPr>
          <w:rFonts w:ascii="Times New Roman" w:eastAsiaTheme="minorHAnsi" w:hAnsi="Times New Roman"/>
          <w:noProof/>
          <w:color w:val="000000" w:themeColor="text1"/>
          <w:sz w:val="24"/>
          <w:szCs w:val="24"/>
        </w:rPr>
      </w:pPr>
      <w:r w:rsidRPr="001E3C9B">
        <w:rPr>
          <w:rFonts w:ascii="Times New Roman" w:eastAsiaTheme="minorHAnsi" w:hAnsi="Times New Roman"/>
          <w:b/>
          <w:bCs/>
          <w:noProof/>
          <w:color w:val="000000" w:themeColor="text1"/>
          <w:sz w:val="24"/>
          <w:szCs w:val="24"/>
        </w:rPr>
        <w:t>Objective 1</w:t>
      </w:r>
      <w:r w:rsidR="005020D2">
        <w:rPr>
          <w:rFonts w:ascii="Times New Roman" w:eastAsiaTheme="minorHAnsi" w:hAnsi="Times New Roman"/>
          <w:b/>
          <w:bCs/>
          <w:noProof/>
          <w:color w:val="000000" w:themeColor="text1"/>
          <w:sz w:val="24"/>
          <w:szCs w:val="24"/>
        </w:rPr>
        <w:t>:</w:t>
      </w:r>
      <w:r w:rsidRPr="001E3C9B">
        <w:rPr>
          <w:rFonts w:ascii="Times New Roman" w:eastAsiaTheme="minorHAnsi" w:hAnsi="Times New Roman"/>
          <w:b/>
          <w:bCs/>
          <w:noProof/>
          <w:color w:val="000000" w:themeColor="text1"/>
          <w:sz w:val="24"/>
          <w:szCs w:val="24"/>
        </w:rPr>
        <w:t xml:space="preserve"> Improving</w:t>
      </w:r>
      <w:r w:rsidR="001B42ED" w:rsidRPr="001E3C9B">
        <w:rPr>
          <w:rFonts w:ascii="Times New Roman" w:eastAsiaTheme="minorHAnsi" w:hAnsi="Times New Roman"/>
          <w:noProof/>
          <w:color w:val="000000" w:themeColor="text1"/>
          <w:sz w:val="24"/>
          <w:szCs w:val="24"/>
        </w:rPr>
        <w:t xml:space="preserve"> </w:t>
      </w:r>
      <w:r w:rsidR="001B42ED" w:rsidRPr="001E3C9B">
        <w:rPr>
          <w:rFonts w:ascii="Times New Roman" w:eastAsiaTheme="minorHAnsi" w:hAnsi="Times New Roman"/>
          <w:b/>
          <w:bCs/>
          <w:noProof/>
          <w:color w:val="000000" w:themeColor="text1"/>
          <w:sz w:val="24"/>
          <w:szCs w:val="24"/>
        </w:rPr>
        <w:t>nuclear safety</w:t>
      </w:r>
      <w:r w:rsidR="00EF188F">
        <w:rPr>
          <w:rFonts w:ascii="Times New Roman" w:eastAsiaTheme="minorHAnsi" w:hAnsi="Times New Roman"/>
          <w:b/>
          <w:bCs/>
          <w:noProof/>
          <w:color w:val="000000" w:themeColor="text1"/>
          <w:sz w:val="24"/>
          <w:szCs w:val="24"/>
        </w:rPr>
        <w:t xml:space="preserve"> (including </w:t>
      </w:r>
      <w:r w:rsidR="0018082B">
        <w:rPr>
          <w:rFonts w:ascii="Times New Roman" w:eastAsiaTheme="minorHAnsi" w:hAnsi="Times New Roman"/>
          <w:b/>
          <w:bCs/>
          <w:noProof/>
          <w:color w:val="000000" w:themeColor="text1"/>
          <w:sz w:val="24"/>
          <w:szCs w:val="24"/>
        </w:rPr>
        <w:t xml:space="preserve">in </w:t>
      </w:r>
      <w:r w:rsidR="00EF188F">
        <w:rPr>
          <w:rFonts w:ascii="Times New Roman" w:eastAsiaTheme="minorHAnsi" w:hAnsi="Times New Roman"/>
          <w:b/>
          <w:bCs/>
          <w:noProof/>
          <w:color w:val="000000" w:themeColor="text1"/>
          <w:sz w:val="24"/>
          <w:szCs w:val="24"/>
        </w:rPr>
        <w:t>nuclear reactor</w:t>
      </w:r>
      <w:r w:rsidR="0018082B">
        <w:rPr>
          <w:rFonts w:ascii="Times New Roman" w:eastAsiaTheme="minorHAnsi" w:hAnsi="Times New Roman"/>
          <w:b/>
          <w:bCs/>
          <w:noProof/>
          <w:color w:val="000000" w:themeColor="text1"/>
          <w:sz w:val="24"/>
          <w:szCs w:val="24"/>
        </w:rPr>
        <w:t>s</w:t>
      </w:r>
      <w:r w:rsidR="00EF188F">
        <w:rPr>
          <w:rFonts w:ascii="Times New Roman" w:eastAsiaTheme="minorHAnsi" w:hAnsi="Times New Roman"/>
          <w:b/>
          <w:bCs/>
          <w:noProof/>
          <w:color w:val="000000" w:themeColor="text1"/>
          <w:sz w:val="24"/>
          <w:szCs w:val="24"/>
        </w:rPr>
        <w:t xml:space="preserve"> and fuel</w:t>
      </w:r>
      <w:r w:rsidR="0018082B">
        <w:rPr>
          <w:rFonts w:ascii="Times New Roman" w:eastAsiaTheme="minorHAnsi" w:hAnsi="Times New Roman"/>
          <w:b/>
          <w:bCs/>
          <w:noProof/>
          <w:color w:val="000000" w:themeColor="text1"/>
          <w:sz w:val="24"/>
          <w:szCs w:val="24"/>
        </w:rPr>
        <w:t>s</w:t>
      </w:r>
      <w:r w:rsidR="00EF188F">
        <w:rPr>
          <w:rFonts w:ascii="Times New Roman" w:eastAsiaTheme="minorHAnsi" w:hAnsi="Times New Roman"/>
          <w:b/>
          <w:bCs/>
          <w:noProof/>
          <w:color w:val="000000" w:themeColor="text1"/>
          <w:sz w:val="24"/>
          <w:szCs w:val="24"/>
        </w:rPr>
        <w:t>, waste management</w:t>
      </w:r>
      <w:r w:rsidR="00A1670D">
        <w:rPr>
          <w:rFonts w:ascii="Times New Roman" w:eastAsiaTheme="minorHAnsi" w:hAnsi="Times New Roman"/>
          <w:b/>
          <w:bCs/>
          <w:noProof/>
          <w:color w:val="000000" w:themeColor="text1"/>
          <w:sz w:val="24"/>
          <w:szCs w:val="24"/>
        </w:rPr>
        <w:t xml:space="preserve"> and emergency preparedness)</w:t>
      </w:r>
      <w:r>
        <w:rPr>
          <w:rFonts w:ascii="Times New Roman" w:eastAsiaTheme="minorHAnsi" w:hAnsi="Times New Roman"/>
          <w:noProof/>
          <w:color w:val="000000" w:themeColor="text1"/>
          <w:sz w:val="24"/>
          <w:szCs w:val="24"/>
        </w:rPr>
        <w:t>:</w:t>
      </w:r>
      <w:r w:rsidR="001B42ED" w:rsidRPr="001E3C9B">
        <w:rPr>
          <w:rFonts w:ascii="Times New Roman" w:eastAsiaTheme="minorHAnsi" w:hAnsi="Times New Roman"/>
          <w:noProof/>
          <w:color w:val="000000" w:themeColor="text1"/>
          <w:sz w:val="24"/>
          <w:szCs w:val="24"/>
        </w:rPr>
        <w:t xml:space="preserve"> </w:t>
      </w:r>
    </w:p>
    <w:p w14:paraId="5106B1D8" w14:textId="4E9AA6B9" w:rsidR="001B42ED" w:rsidRPr="001E3C9B" w:rsidRDefault="001B42ED" w:rsidP="001B42ED">
      <w:pPr>
        <w:pStyle w:val="Body"/>
        <w:spacing w:before="0" w:after="120"/>
        <w:rPr>
          <w:rFonts w:ascii="Times New Roman" w:eastAsiaTheme="minorHAnsi" w:hAnsi="Times New Roman"/>
          <w:noProof/>
          <w:color w:val="000000" w:themeColor="text1"/>
          <w:sz w:val="24"/>
          <w:szCs w:val="24"/>
        </w:rPr>
      </w:pPr>
      <w:r w:rsidRPr="001E3C9B">
        <w:rPr>
          <w:rFonts w:ascii="Times New Roman" w:eastAsiaTheme="minorHAnsi" w:hAnsi="Times New Roman"/>
          <w:noProof/>
          <w:color w:val="000000" w:themeColor="text1"/>
          <w:sz w:val="24"/>
          <w:szCs w:val="24"/>
        </w:rPr>
        <w:t xml:space="preserve">JRC research </w:t>
      </w:r>
      <w:r w:rsidR="005B4766">
        <w:rPr>
          <w:rFonts w:ascii="Times New Roman" w:eastAsiaTheme="minorHAnsi" w:hAnsi="Times New Roman"/>
          <w:noProof/>
          <w:color w:val="000000" w:themeColor="text1"/>
          <w:sz w:val="24"/>
          <w:szCs w:val="24"/>
        </w:rPr>
        <w:t>helped</w:t>
      </w:r>
      <w:r w:rsidR="005B4766" w:rsidRPr="001E3C9B">
        <w:rPr>
          <w:rFonts w:ascii="Times New Roman" w:eastAsiaTheme="minorHAnsi" w:hAnsi="Times New Roman"/>
          <w:noProof/>
          <w:color w:val="000000" w:themeColor="text1"/>
          <w:sz w:val="24"/>
          <w:szCs w:val="24"/>
        </w:rPr>
        <w:t xml:space="preserve"> </w:t>
      </w:r>
      <w:r w:rsidRPr="001E3C9B">
        <w:rPr>
          <w:rFonts w:ascii="Times New Roman" w:eastAsiaTheme="minorHAnsi" w:hAnsi="Times New Roman"/>
          <w:noProof/>
          <w:color w:val="000000" w:themeColor="text1"/>
          <w:sz w:val="24"/>
          <w:szCs w:val="24"/>
        </w:rPr>
        <w:t>to improve the safety of nuclear reactors and fuels</w:t>
      </w:r>
      <w:r w:rsidR="0018082B">
        <w:rPr>
          <w:rFonts w:ascii="Times New Roman" w:eastAsiaTheme="minorHAnsi" w:hAnsi="Times New Roman"/>
          <w:noProof/>
          <w:color w:val="000000" w:themeColor="text1"/>
          <w:sz w:val="24"/>
          <w:szCs w:val="24"/>
        </w:rPr>
        <w:t>,</w:t>
      </w:r>
      <w:r w:rsidRPr="001E3C9B">
        <w:rPr>
          <w:rFonts w:ascii="Times New Roman" w:eastAsiaTheme="minorHAnsi" w:hAnsi="Times New Roman"/>
          <w:noProof/>
          <w:color w:val="000000" w:themeColor="text1"/>
          <w:sz w:val="24"/>
          <w:szCs w:val="24"/>
        </w:rPr>
        <w:t xml:space="preserve"> and supported the safety assessment of ageing </w:t>
      </w:r>
      <w:r w:rsidR="00D33D74" w:rsidRPr="001E3C9B">
        <w:rPr>
          <w:rFonts w:ascii="Times New Roman" w:eastAsiaTheme="minorHAnsi" w:hAnsi="Times New Roman"/>
          <w:noProof/>
          <w:color w:val="000000" w:themeColor="text1"/>
          <w:sz w:val="24"/>
          <w:szCs w:val="24"/>
          <w:lang w:val="mt-MT"/>
        </w:rPr>
        <w:t>NPPs</w:t>
      </w:r>
      <w:r w:rsidRPr="001E3C9B">
        <w:rPr>
          <w:rFonts w:ascii="Times New Roman" w:eastAsiaTheme="minorHAnsi" w:hAnsi="Times New Roman"/>
          <w:noProof/>
          <w:color w:val="000000" w:themeColor="text1"/>
          <w:sz w:val="24"/>
          <w:szCs w:val="24"/>
        </w:rPr>
        <w:t xml:space="preserve"> for long-term operation through the development of software for accident modelling</w:t>
      </w:r>
      <w:r w:rsidR="005B4766">
        <w:rPr>
          <w:rFonts w:ascii="Times New Roman" w:eastAsiaTheme="minorHAnsi" w:hAnsi="Times New Roman"/>
          <w:noProof/>
          <w:color w:val="000000" w:themeColor="text1"/>
          <w:sz w:val="24"/>
          <w:szCs w:val="24"/>
        </w:rPr>
        <w:t>;</w:t>
      </w:r>
      <w:r w:rsidRPr="001E3C9B">
        <w:rPr>
          <w:rFonts w:ascii="Times New Roman" w:eastAsiaTheme="minorHAnsi" w:hAnsi="Times New Roman"/>
          <w:noProof/>
          <w:color w:val="000000" w:themeColor="text1"/>
          <w:sz w:val="24"/>
          <w:szCs w:val="24"/>
        </w:rPr>
        <w:t xml:space="preserve"> tools and reference data</w:t>
      </w:r>
      <w:r w:rsidR="005B4766">
        <w:rPr>
          <w:rFonts w:ascii="Times New Roman" w:eastAsiaTheme="minorHAnsi" w:hAnsi="Times New Roman"/>
          <w:noProof/>
          <w:color w:val="000000" w:themeColor="text1"/>
          <w:sz w:val="24"/>
          <w:szCs w:val="24"/>
        </w:rPr>
        <w:t xml:space="preserve">; and </w:t>
      </w:r>
      <w:r w:rsidRPr="001E3C9B">
        <w:rPr>
          <w:rFonts w:ascii="Times New Roman" w:eastAsiaTheme="minorHAnsi" w:hAnsi="Times New Roman"/>
          <w:noProof/>
          <w:color w:val="000000" w:themeColor="text1"/>
          <w:sz w:val="24"/>
          <w:szCs w:val="24"/>
        </w:rPr>
        <w:t xml:space="preserve"> codes</w:t>
      </w:r>
      <w:r w:rsidR="005B4766">
        <w:rPr>
          <w:rFonts w:ascii="Times New Roman" w:eastAsiaTheme="minorHAnsi" w:hAnsi="Times New Roman"/>
          <w:noProof/>
          <w:color w:val="000000" w:themeColor="text1"/>
          <w:sz w:val="24"/>
          <w:szCs w:val="24"/>
        </w:rPr>
        <w:t xml:space="preserve">. This </w:t>
      </w:r>
      <w:r w:rsidR="00EA1295">
        <w:rPr>
          <w:rFonts w:ascii="Times New Roman" w:eastAsiaTheme="minorHAnsi" w:hAnsi="Times New Roman"/>
          <w:noProof/>
          <w:color w:val="000000" w:themeColor="text1"/>
          <w:sz w:val="24"/>
          <w:szCs w:val="24"/>
        </w:rPr>
        <w:t>research</w:t>
      </w:r>
      <w:r w:rsidRPr="001E3C9B">
        <w:rPr>
          <w:rFonts w:ascii="Times New Roman" w:eastAsiaTheme="minorHAnsi" w:hAnsi="Times New Roman"/>
          <w:noProof/>
          <w:color w:val="000000" w:themeColor="text1"/>
          <w:sz w:val="24"/>
          <w:szCs w:val="24"/>
        </w:rPr>
        <w:t xml:space="preserve"> also supported the safety and performance analysis of conventional nuclear fuels.</w:t>
      </w:r>
      <w:r w:rsidR="00A1670D">
        <w:rPr>
          <w:rFonts w:ascii="Times New Roman" w:eastAsiaTheme="minorHAnsi" w:hAnsi="Times New Roman"/>
          <w:noProof/>
          <w:color w:val="000000" w:themeColor="text1"/>
          <w:sz w:val="24"/>
          <w:szCs w:val="24"/>
        </w:rPr>
        <w:t xml:space="preserve"> Through the </w:t>
      </w:r>
      <w:r w:rsidR="00D811D7">
        <w:rPr>
          <w:rFonts w:ascii="Times New Roman" w:eastAsiaTheme="minorHAnsi" w:hAnsi="Times New Roman"/>
          <w:noProof/>
          <w:color w:val="000000" w:themeColor="text1"/>
          <w:sz w:val="24"/>
          <w:szCs w:val="24"/>
        </w:rPr>
        <w:t xml:space="preserve">EU </w:t>
      </w:r>
      <w:r w:rsidR="00A1670D">
        <w:rPr>
          <w:rFonts w:ascii="Times New Roman" w:eastAsiaTheme="minorHAnsi" w:hAnsi="Times New Roman"/>
          <w:noProof/>
          <w:color w:val="000000" w:themeColor="text1"/>
          <w:sz w:val="24"/>
          <w:szCs w:val="24"/>
        </w:rPr>
        <w:t>Clearinghouse</w:t>
      </w:r>
      <w:r w:rsidR="00D811D7">
        <w:rPr>
          <w:rFonts w:ascii="Times New Roman" w:eastAsiaTheme="minorHAnsi" w:hAnsi="Times New Roman"/>
          <w:noProof/>
          <w:color w:val="000000" w:themeColor="text1"/>
          <w:sz w:val="24"/>
          <w:szCs w:val="24"/>
        </w:rPr>
        <w:t xml:space="preserve"> for Operating Experience Exchange, operated by the JRC</w:t>
      </w:r>
      <w:r w:rsidR="00A1670D">
        <w:rPr>
          <w:rFonts w:ascii="Times New Roman" w:eastAsiaTheme="minorHAnsi" w:hAnsi="Times New Roman"/>
          <w:noProof/>
          <w:color w:val="000000" w:themeColor="text1"/>
          <w:sz w:val="24"/>
          <w:szCs w:val="24"/>
        </w:rPr>
        <w:t xml:space="preserve">, nuclear safety has been </w:t>
      </w:r>
      <w:r w:rsidR="005B4766">
        <w:rPr>
          <w:rFonts w:ascii="Times New Roman" w:eastAsiaTheme="minorHAnsi" w:hAnsi="Times New Roman"/>
          <w:noProof/>
          <w:color w:val="000000" w:themeColor="text1"/>
          <w:sz w:val="24"/>
          <w:szCs w:val="24"/>
        </w:rPr>
        <w:t xml:space="preserve">improved </w:t>
      </w:r>
      <w:r w:rsidR="00A1670D">
        <w:rPr>
          <w:rFonts w:ascii="Times New Roman" w:eastAsiaTheme="minorHAnsi" w:hAnsi="Times New Roman"/>
          <w:noProof/>
          <w:color w:val="000000" w:themeColor="text1"/>
          <w:sz w:val="24"/>
          <w:szCs w:val="24"/>
        </w:rPr>
        <w:t>by</w:t>
      </w:r>
      <w:r w:rsidR="0018082B">
        <w:rPr>
          <w:rFonts w:ascii="Times New Roman" w:eastAsiaTheme="minorHAnsi" w:hAnsi="Times New Roman"/>
          <w:noProof/>
          <w:color w:val="000000" w:themeColor="text1"/>
          <w:sz w:val="24"/>
          <w:szCs w:val="24"/>
        </w:rPr>
        <w:t>: (i)</w:t>
      </w:r>
      <w:r w:rsidR="00A1670D">
        <w:rPr>
          <w:rFonts w:ascii="Times New Roman" w:eastAsiaTheme="minorHAnsi" w:hAnsi="Times New Roman"/>
          <w:noProof/>
          <w:color w:val="000000" w:themeColor="text1"/>
          <w:sz w:val="24"/>
          <w:szCs w:val="24"/>
        </w:rPr>
        <w:t xml:space="preserve"> sharing best practices</w:t>
      </w:r>
      <w:r w:rsidR="0018082B">
        <w:rPr>
          <w:rFonts w:ascii="Times New Roman" w:eastAsiaTheme="minorHAnsi" w:hAnsi="Times New Roman"/>
          <w:noProof/>
          <w:color w:val="000000" w:themeColor="text1"/>
          <w:sz w:val="24"/>
          <w:szCs w:val="24"/>
        </w:rPr>
        <w:t>; (ii)</w:t>
      </w:r>
      <w:r w:rsidR="00A1670D">
        <w:rPr>
          <w:rFonts w:ascii="Times New Roman" w:eastAsiaTheme="minorHAnsi" w:hAnsi="Times New Roman"/>
          <w:noProof/>
          <w:color w:val="000000" w:themeColor="text1"/>
          <w:sz w:val="24"/>
          <w:szCs w:val="24"/>
        </w:rPr>
        <w:t xml:space="preserve"> producing topical studies</w:t>
      </w:r>
      <w:r w:rsidR="0018082B">
        <w:rPr>
          <w:rFonts w:ascii="Times New Roman" w:eastAsiaTheme="minorHAnsi" w:hAnsi="Times New Roman"/>
          <w:noProof/>
          <w:color w:val="000000" w:themeColor="text1"/>
          <w:sz w:val="24"/>
          <w:szCs w:val="24"/>
        </w:rPr>
        <w:t>;</w:t>
      </w:r>
      <w:r w:rsidR="00A1670D">
        <w:rPr>
          <w:rFonts w:ascii="Times New Roman" w:eastAsiaTheme="minorHAnsi" w:hAnsi="Times New Roman"/>
          <w:noProof/>
          <w:color w:val="000000" w:themeColor="text1"/>
          <w:sz w:val="24"/>
          <w:szCs w:val="24"/>
        </w:rPr>
        <w:t xml:space="preserve"> and </w:t>
      </w:r>
      <w:r w:rsidR="0018082B">
        <w:rPr>
          <w:rFonts w:ascii="Times New Roman" w:eastAsiaTheme="minorHAnsi" w:hAnsi="Times New Roman"/>
          <w:noProof/>
          <w:color w:val="000000" w:themeColor="text1"/>
          <w:sz w:val="24"/>
          <w:szCs w:val="24"/>
        </w:rPr>
        <w:t xml:space="preserve">(iii) </w:t>
      </w:r>
      <w:r w:rsidR="00A1670D">
        <w:rPr>
          <w:rFonts w:ascii="Times New Roman" w:eastAsiaTheme="minorHAnsi" w:hAnsi="Times New Roman"/>
          <w:noProof/>
          <w:color w:val="000000" w:themeColor="text1"/>
          <w:sz w:val="24"/>
          <w:szCs w:val="24"/>
        </w:rPr>
        <w:t>maintaining data and analysis on incident</w:t>
      </w:r>
      <w:r w:rsidR="00EA1295">
        <w:rPr>
          <w:rFonts w:ascii="Times New Roman" w:eastAsiaTheme="minorHAnsi" w:hAnsi="Times New Roman"/>
          <w:noProof/>
          <w:color w:val="000000" w:themeColor="text1"/>
          <w:sz w:val="24"/>
          <w:szCs w:val="24"/>
        </w:rPr>
        <w:t xml:space="preserve"> occurences</w:t>
      </w:r>
      <w:r w:rsidR="00D811D7">
        <w:rPr>
          <w:rFonts w:ascii="Times New Roman" w:eastAsiaTheme="minorHAnsi" w:hAnsi="Times New Roman"/>
          <w:noProof/>
          <w:color w:val="000000" w:themeColor="text1"/>
          <w:sz w:val="24"/>
          <w:szCs w:val="24"/>
        </w:rPr>
        <w:t xml:space="preserve"> in nuclear installations</w:t>
      </w:r>
      <w:r w:rsidR="00A1670D">
        <w:rPr>
          <w:rFonts w:ascii="Times New Roman" w:eastAsiaTheme="minorHAnsi" w:hAnsi="Times New Roman"/>
          <w:noProof/>
          <w:color w:val="000000" w:themeColor="text1"/>
          <w:sz w:val="24"/>
          <w:szCs w:val="24"/>
        </w:rPr>
        <w:t xml:space="preserve">. </w:t>
      </w:r>
      <w:r w:rsidR="00D811D7">
        <w:rPr>
          <w:rFonts w:ascii="Times New Roman" w:eastAsiaTheme="minorHAnsi" w:hAnsi="Times New Roman"/>
          <w:noProof/>
          <w:color w:val="000000" w:themeColor="text1"/>
          <w:sz w:val="24"/>
          <w:szCs w:val="24"/>
        </w:rPr>
        <w:t>T</w:t>
      </w:r>
      <w:r w:rsidR="00A1670D" w:rsidRPr="00795074">
        <w:rPr>
          <w:rFonts w:ascii="Times New Roman" w:eastAsiaTheme="minorHAnsi" w:hAnsi="Times New Roman"/>
          <w:noProof/>
          <w:color w:val="000000" w:themeColor="text1"/>
          <w:sz w:val="24"/>
          <w:szCs w:val="24"/>
        </w:rPr>
        <w:t xml:space="preserve">he JRC also provided technical expertise to maintain </w:t>
      </w:r>
      <w:r w:rsidR="00D811D7">
        <w:rPr>
          <w:rFonts w:ascii="Times New Roman" w:eastAsiaTheme="minorHAnsi" w:hAnsi="Times New Roman"/>
          <w:noProof/>
          <w:color w:val="000000" w:themeColor="text1"/>
          <w:sz w:val="24"/>
          <w:szCs w:val="24"/>
        </w:rPr>
        <w:t xml:space="preserve">and operate </w:t>
      </w:r>
      <w:r w:rsidR="00A1670D" w:rsidRPr="00795074">
        <w:rPr>
          <w:rFonts w:ascii="Times New Roman" w:eastAsiaTheme="minorHAnsi" w:hAnsi="Times New Roman"/>
          <w:noProof/>
          <w:color w:val="000000" w:themeColor="text1"/>
          <w:sz w:val="24"/>
          <w:szCs w:val="24"/>
        </w:rPr>
        <w:t xml:space="preserve">the </w:t>
      </w:r>
      <w:r w:rsidR="00EA1295">
        <w:rPr>
          <w:rFonts w:ascii="Times New Roman" w:eastAsiaTheme="minorHAnsi" w:hAnsi="Times New Roman"/>
          <w:noProof/>
          <w:color w:val="000000" w:themeColor="text1"/>
          <w:sz w:val="24"/>
          <w:szCs w:val="24"/>
        </w:rPr>
        <w:t>EURDEP</w:t>
      </w:r>
      <w:r w:rsidR="00EA1295" w:rsidRPr="00795074">
        <w:rPr>
          <w:rFonts w:ascii="Times New Roman" w:eastAsiaTheme="minorHAnsi" w:hAnsi="Times New Roman"/>
          <w:noProof/>
          <w:color w:val="000000" w:themeColor="text1"/>
          <w:sz w:val="24"/>
          <w:szCs w:val="24"/>
        </w:rPr>
        <w:t xml:space="preserve"> </w:t>
      </w:r>
      <w:r w:rsidR="00EA1295">
        <w:rPr>
          <w:rFonts w:ascii="Times New Roman" w:eastAsiaTheme="minorHAnsi" w:hAnsi="Times New Roman"/>
          <w:noProof/>
          <w:color w:val="000000" w:themeColor="text1"/>
          <w:sz w:val="24"/>
          <w:szCs w:val="24"/>
        </w:rPr>
        <w:t>system to exchange radiological data</w:t>
      </w:r>
      <w:r w:rsidR="00B503C3">
        <w:rPr>
          <w:rFonts w:ascii="Times New Roman" w:eastAsiaTheme="minorHAnsi" w:hAnsi="Times New Roman"/>
          <w:noProof/>
          <w:color w:val="000000" w:themeColor="text1"/>
          <w:sz w:val="24"/>
          <w:szCs w:val="24"/>
        </w:rPr>
        <w:t xml:space="preserve"> and the ECURIE system to carry out the early notification o</w:t>
      </w:r>
      <w:r w:rsidR="00210E37">
        <w:rPr>
          <w:rFonts w:ascii="Times New Roman" w:eastAsiaTheme="minorHAnsi" w:hAnsi="Times New Roman"/>
          <w:noProof/>
          <w:color w:val="000000" w:themeColor="text1"/>
          <w:sz w:val="24"/>
          <w:szCs w:val="24"/>
        </w:rPr>
        <w:t>f</w:t>
      </w:r>
      <w:r w:rsidR="00B503C3">
        <w:rPr>
          <w:rFonts w:ascii="Times New Roman" w:eastAsiaTheme="minorHAnsi" w:hAnsi="Times New Roman"/>
          <w:noProof/>
          <w:color w:val="000000" w:themeColor="text1"/>
          <w:sz w:val="24"/>
          <w:szCs w:val="24"/>
        </w:rPr>
        <w:t xml:space="preserve"> a radiological accident or emergency, thus supporting the fulfilment of the </w:t>
      </w:r>
      <w:r w:rsidR="00B503C3" w:rsidRPr="00162C6C">
        <w:rPr>
          <w:rFonts w:ascii="Times New Roman" w:eastAsiaTheme="minorHAnsi" w:hAnsi="Times New Roman"/>
          <w:noProof/>
          <w:color w:val="000000" w:themeColor="text1"/>
          <w:sz w:val="24"/>
          <w:szCs w:val="24"/>
        </w:rPr>
        <w:t>Council Decision 87/600 (ECURIE Arrangements) and the Recommendation 2000/473/ Euratom.</w:t>
      </w:r>
      <w:r w:rsidR="00B503C3">
        <w:rPr>
          <w:rFonts w:ascii="Times New Roman" w:eastAsiaTheme="minorHAnsi" w:hAnsi="Times New Roman"/>
          <w:noProof/>
          <w:color w:val="000000" w:themeColor="text1"/>
          <w:sz w:val="24"/>
          <w:szCs w:val="24"/>
        </w:rPr>
        <w:t xml:space="preserve"> </w:t>
      </w:r>
    </w:p>
    <w:p w14:paraId="08E17B92" w14:textId="5D5FC5DD" w:rsidR="001B42ED" w:rsidRPr="001E3C9B" w:rsidRDefault="00667220" w:rsidP="001B42ED">
      <w:pPr>
        <w:pStyle w:val="Body"/>
        <w:spacing w:before="0" w:after="120"/>
        <w:rPr>
          <w:rFonts w:ascii="Times New Roman" w:eastAsiaTheme="minorHAnsi" w:hAnsi="Times New Roman"/>
          <w:noProof/>
          <w:color w:val="000000" w:themeColor="text1"/>
          <w:sz w:val="24"/>
          <w:szCs w:val="24"/>
        </w:rPr>
      </w:pPr>
      <w:r>
        <w:rPr>
          <w:rFonts w:ascii="Times New Roman" w:eastAsiaTheme="minorHAnsi" w:hAnsi="Times New Roman"/>
          <w:noProof/>
          <w:color w:val="000000" w:themeColor="text1"/>
          <w:sz w:val="24"/>
          <w:szCs w:val="24"/>
        </w:rPr>
        <w:t>On</w:t>
      </w:r>
      <w:r w:rsidRPr="001E3C9B">
        <w:rPr>
          <w:rFonts w:ascii="Times New Roman" w:eastAsiaTheme="minorHAnsi" w:hAnsi="Times New Roman"/>
          <w:noProof/>
          <w:color w:val="000000" w:themeColor="text1"/>
          <w:sz w:val="24"/>
          <w:szCs w:val="24"/>
        </w:rPr>
        <w:t xml:space="preserve"> </w:t>
      </w:r>
      <w:r w:rsidR="001B42ED" w:rsidRPr="00854965">
        <w:rPr>
          <w:rFonts w:ascii="Times New Roman" w:eastAsiaTheme="minorHAnsi" w:hAnsi="Times New Roman"/>
          <w:noProof/>
          <w:color w:val="000000" w:themeColor="text1"/>
          <w:sz w:val="24"/>
          <w:szCs w:val="24"/>
        </w:rPr>
        <w:t>innovative technologies and Generation IV systems</w:t>
      </w:r>
      <w:r w:rsidR="001B42ED" w:rsidRPr="001E3C9B">
        <w:rPr>
          <w:rFonts w:ascii="Times New Roman" w:eastAsiaTheme="minorHAnsi" w:hAnsi="Times New Roman"/>
          <w:noProof/>
          <w:color w:val="000000" w:themeColor="text1"/>
          <w:sz w:val="24"/>
          <w:szCs w:val="24"/>
        </w:rPr>
        <w:t xml:space="preserve">, </w:t>
      </w:r>
      <w:r w:rsidR="009E0B10" w:rsidRPr="001E3C9B">
        <w:rPr>
          <w:rFonts w:ascii="Times New Roman" w:eastAsiaTheme="minorHAnsi" w:hAnsi="Times New Roman"/>
          <w:noProof/>
          <w:color w:val="000000" w:themeColor="text1"/>
          <w:sz w:val="24"/>
          <w:szCs w:val="24"/>
          <w:lang w:val="mt-MT"/>
        </w:rPr>
        <w:t xml:space="preserve">the </w:t>
      </w:r>
      <w:r w:rsidR="001B42ED" w:rsidRPr="001E3C9B">
        <w:rPr>
          <w:rFonts w:ascii="Times New Roman" w:eastAsiaTheme="minorHAnsi" w:hAnsi="Times New Roman"/>
          <w:noProof/>
          <w:color w:val="000000" w:themeColor="text1"/>
          <w:sz w:val="24"/>
          <w:szCs w:val="24"/>
        </w:rPr>
        <w:t>JRC carried out underpinning and applied research</w:t>
      </w:r>
      <w:r w:rsidR="00E5270C" w:rsidRPr="001E3C9B">
        <w:rPr>
          <w:rFonts w:ascii="Times New Roman" w:eastAsiaTheme="minorHAnsi" w:hAnsi="Times New Roman"/>
          <w:noProof/>
          <w:color w:val="000000" w:themeColor="text1"/>
          <w:sz w:val="24"/>
          <w:szCs w:val="24"/>
        </w:rPr>
        <w:t xml:space="preserve">, focusing on </w:t>
      </w:r>
      <w:r w:rsidR="00B503C3">
        <w:rPr>
          <w:rFonts w:ascii="Times New Roman" w:eastAsiaTheme="minorHAnsi" w:hAnsi="Times New Roman"/>
          <w:noProof/>
          <w:color w:val="000000" w:themeColor="text1"/>
          <w:sz w:val="24"/>
          <w:szCs w:val="24"/>
        </w:rPr>
        <w:t xml:space="preserve">radioactive </w:t>
      </w:r>
      <w:r w:rsidR="00E5270C" w:rsidRPr="001E3C9B">
        <w:rPr>
          <w:rFonts w:ascii="Times New Roman" w:eastAsiaTheme="minorHAnsi" w:hAnsi="Times New Roman"/>
          <w:noProof/>
          <w:color w:val="000000" w:themeColor="text1"/>
          <w:sz w:val="24"/>
          <w:szCs w:val="24"/>
        </w:rPr>
        <w:t>waste management</w:t>
      </w:r>
      <w:r w:rsidR="001B42ED" w:rsidRPr="001E3C9B">
        <w:rPr>
          <w:rFonts w:ascii="Times New Roman" w:eastAsiaTheme="minorHAnsi" w:hAnsi="Times New Roman"/>
          <w:noProof/>
          <w:color w:val="000000" w:themeColor="text1"/>
          <w:sz w:val="24"/>
          <w:szCs w:val="24"/>
        </w:rPr>
        <w:t xml:space="preserve">, </w:t>
      </w:r>
      <w:r w:rsidR="00E5270C" w:rsidRPr="001E3C9B">
        <w:rPr>
          <w:rFonts w:ascii="Times New Roman" w:eastAsiaTheme="minorHAnsi" w:hAnsi="Times New Roman"/>
          <w:noProof/>
          <w:color w:val="000000" w:themeColor="text1"/>
          <w:sz w:val="24"/>
          <w:szCs w:val="24"/>
        </w:rPr>
        <w:t xml:space="preserve">nuclear </w:t>
      </w:r>
      <w:r w:rsidR="001B42ED" w:rsidRPr="001E3C9B">
        <w:rPr>
          <w:rFonts w:ascii="Times New Roman" w:eastAsiaTheme="minorHAnsi" w:hAnsi="Times New Roman"/>
          <w:noProof/>
          <w:color w:val="000000" w:themeColor="text1"/>
          <w:sz w:val="24"/>
          <w:szCs w:val="24"/>
        </w:rPr>
        <w:t xml:space="preserve">safety and </w:t>
      </w:r>
      <w:r>
        <w:rPr>
          <w:rFonts w:ascii="Times New Roman" w:eastAsiaTheme="minorHAnsi" w:hAnsi="Times New Roman"/>
          <w:noProof/>
          <w:color w:val="000000" w:themeColor="text1"/>
          <w:sz w:val="24"/>
          <w:szCs w:val="24"/>
        </w:rPr>
        <w:t xml:space="preserve">the </w:t>
      </w:r>
      <w:r w:rsidR="001B42ED" w:rsidRPr="001E3C9B">
        <w:rPr>
          <w:rFonts w:ascii="Times New Roman" w:eastAsiaTheme="minorHAnsi" w:hAnsi="Times New Roman"/>
          <w:noProof/>
          <w:color w:val="000000" w:themeColor="text1"/>
          <w:sz w:val="24"/>
          <w:szCs w:val="24"/>
        </w:rPr>
        <w:t xml:space="preserve">proliferation resistance of advanced nuclear systems. This research </w:t>
      </w:r>
      <w:r w:rsidR="00E5270C" w:rsidRPr="001E3C9B">
        <w:rPr>
          <w:rFonts w:ascii="Times New Roman" w:eastAsiaTheme="minorHAnsi" w:hAnsi="Times New Roman"/>
          <w:noProof/>
          <w:color w:val="000000" w:themeColor="text1"/>
          <w:sz w:val="24"/>
          <w:szCs w:val="24"/>
        </w:rPr>
        <w:t xml:space="preserve">contributes to </w:t>
      </w:r>
      <w:r w:rsidR="001B42ED" w:rsidRPr="001E3C9B">
        <w:rPr>
          <w:rFonts w:ascii="Times New Roman" w:eastAsiaTheme="minorHAnsi" w:hAnsi="Times New Roman"/>
          <w:noProof/>
          <w:color w:val="000000" w:themeColor="text1"/>
          <w:sz w:val="24"/>
          <w:szCs w:val="24"/>
        </w:rPr>
        <w:t xml:space="preserve">the safety assessment of innovative </w:t>
      </w:r>
      <w:r w:rsidR="00E5270C" w:rsidRPr="001E3C9B">
        <w:rPr>
          <w:rFonts w:ascii="Times New Roman" w:eastAsiaTheme="minorHAnsi" w:hAnsi="Times New Roman"/>
          <w:noProof/>
          <w:color w:val="000000" w:themeColor="text1"/>
          <w:sz w:val="24"/>
          <w:szCs w:val="24"/>
        </w:rPr>
        <w:t xml:space="preserve">nuclear </w:t>
      </w:r>
      <w:r w:rsidR="001B42ED" w:rsidRPr="001E3C9B">
        <w:rPr>
          <w:rFonts w:ascii="Times New Roman" w:eastAsiaTheme="minorHAnsi" w:hAnsi="Times New Roman"/>
          <w:noProof/>
          <w:color w:val="000000" w:themeColor="text1"/>
          <w:sz w:val="24"/>
          <w:szCs w:val="24"/>
        </w:rPr>
        <w:t>technologies</w:t>
      </w:r>
      <w:r>
        <w:rPr>
          <w:rFonts w:ascii="Times New Roman" w:eastAsiaTheme="minorHAnsi" w:hAnsi="Times New Roman"/>
          <w:noProof/>
          <w:color w:val="000000" w:themeColor="text1"/>
          <w:sz w:val="24"/>
          <w:szCs w:val="24"/>
        </w:rPr>
        <w:t>.</w:t>
      </w:r>
      <w:r w:rsidR="001B42ED" w:rsidRPr="001E3C9B">
        <w:rPr>
          <w:rFonts w:ascii="Times New Roman" w:eastAsiaTheme="minorHAnsi" w:hAnsi="Times New Roman"/>
          <w:noProof/>
          <w:color w:val="000000" w:themeColor="text1"/>
          <w:sz w:val="24"/>
          <w:szCs w:val="24"/>
        </w:rPr>
        <w:t xml:space="preserve"> </w:t>
      </w:r>
      <w:r>
        <w:rPr>
          <w:rFonts w:ascii="Times New Roman" w:eastAsiaTheme="minorHAnsi" w:hAnsi="Times New Roman"/>
          <w:noProof/>
          <w:color w:val="000000" w:themeColor="text1"/>
          <w:sz w:val="24"/>
          <w:szCs w:val="24"/>
        </w:rPr>
        <w:t>The</w:t>
      </w:r>
      <w:r w:rsidRPr="001E3C9B">
        <w:rPr>
          <w:rFonts w:ascii="Times New Roman" w:eastAsiaTheme="minorHAnsi" w:hAnsi="Times New Roman"/>
          <w:noProof/>
          <w:color w:val="000000" w:themeColor="text1"/>
          <w:sz w:val="24"/>
          <w:szCs w:val="24"/>
        </w:rPr>
        <w:t xml:space="preserve"> </w:t>
      </w:r>
      <w:r w:rsidR="001B42ED" w:rsidRPr="001E3C9B">
        <w:rPr>
          <w:rFonts w:ascii="Times New Roman" w:eastAsiaTheme="minorHAnsi" w:hAnsi="Times New Roman"/>
          <w:noProof/>
          <w:color w:val="000000" w:themeColor="text1"/>
          <w:sz w:val="24"/>
          <w:szCs w:val="24"/>
        </w:rPr>
        <w:t xml:space="preserve">development and potential future contribution to a sustainable energy system </w:t>
      </w:r>
      <w:r>
        <w:rPr>
          <w:rFonts w:ascii="Times New Roman" w:eastAsiaTheme="minorHAnsi" w:hAnsi="Times New Roman"/>
          <w:noProof/>
          <w:color w:val="000000" w:themeColor="text1"/>
          <w:sz w:val="24"/>
          <w:szCs w:val="24"/>
        </w:rPr>
        <w:t xml:space="preserve">of these technologies </w:t>
      </w:r>
      <w:r w:rsidR="00E5270C" w:rsidRPr="001E3C9B">
        <w:rPr>
          <w:rFonts w:ascii="Times New Roman" w:eastAsiaTheme="minorHAnsi" w:hAnsi="Times New Roman"/>
          <w:noProof/>
          <w:color w:val="000000" w:themeColor="text1"/>
          <w:sz w:val="24"/>
          <w:szCs w:val="24"/>
        </w:rPr>
        <w:t>(in those Member States that decide</w:t>
      </w:r>
      <w:r w:rsidR="009E072F">
        <w:rPr>
          <w:rFonts w:ascii="Times New Roman" w:eastAsiaTheme="minorHAnsi" w:hAnsi="Times New Roman"/>
          <w:noProof/>
          <w:color w:val="000000" w:themeColor="text1"/>
          <w:sz w:val="24"/>
          <w:szCs w:val="24"/>
        </w:rPr>
        <w:t xml:space="preserve"> to use them</w:t>
      </w:r>
      <w:r w:rsidR="00E5270C" w:rsidRPr="001E3C9B">
        <w:rPr>
          <w:rFonts w:ascii="Times New Roman" w:eastAsiaTheme="minorHAnsi" w:hAnsi="Times New Roman"/>
          <w:noProof/>
          <w:color w:val="000000" w:themeColor="text1"/>
          <w:sz w:val="24"/>
          <w:szCs w:val="24"/>
        </w:rPr>
        <w:t xml:space="preserve">) </w:t>
      </w:r>
      <w:r w:rsidR="001B42ED" w:rsidRPr="001E3C9B">
        <w:rPr>
          <w:rFonts w:ascii="Times New Roman" w:eastAsiaTheme="minorHAnsi" w:hAnsi="Times New Roman"/>
          <w:noProof/>
          <w:color w:val="000000" w:themeColor="text1"/>
          <w:sz w:val="24"/>
          <w:szCs w:val="24"/>
        </w:rPr>
        <w:t xml:space="preserve">have an impact on EU policies. In this context, </w:t>
      </w:r>
      <w:r w:rsidR="007F0077" w:rsidRPr="001E3C9B">
        <w:rPr>
          <w:rFonts w:ascii="Times New Roman" w:eastAsiaTheme="minorHAnsi" w:hAnsi="Times New Roman"/>
          <w:noProof/>
          <w:color w:val="000000" w:themeColor="text1"/>
          <w:sz w:val="24"/>
          <w:szCs w:val="24"/>
          <w:lang w:val="mt-MT"/>
        </w:rPr>
        <w:t xml:space="preserve">the </w:t>
      </w:r>
      <w:r w:rsidR="001B42ED" w:rsidRPr="001E3C9B">
        <w:rPr>
          <w:rFonts w:ascii="Times New Roman" w:eastAsiaTheme="minorHAnsi" w:hAnsi="Times New Roman"/>
          <w:noProof/>
          <w:color w:val="000000" w:themeColor="text1"/>
          <w:sz w:val="24"/>
          <w:szCs w:val="24"/>
        </w:rPr>
        <w:t xml:space="preserve">JRC is also Euratom’s implementing agent </w:t>
      </w:r>
      <w:r w:rsidR="007F0077" w:rsidRPr="001E3C9B">
        <w:rPr>
          <w:rFonts w:ascii="Times New Roman" w:eastAsiaTheme="minorHAnsi" w:hAnsi="Times New Roman"/>
          <w:noProof/>
          <w:color w:val="000000" w:themeColor="text1"/>
          <w:sz w:val="24"/>
          <w:szCs w:val="24"/>
          <w:lang w:val="mt-MT"/>
        </w:rPr>
        <w:t>on</w:t>
      </w:r>
      <w:r w:rsidR="001B42ED" w:rsidRPr="001E3C9B">
        <w:rPr>
          <w:rFonts w:ascii="Times New Roman" w:eastAsiaTheme="minorHAnsi" w:hAnsi="Times New Roman"/>
          <w:noProof/>
          <w:color w:val="000000" w:themeColor="text1"/>
          <w:sz w:val="24"/>
          <w:szCs w:val="24"/>
        </w:rPr>
        <w:t xml:space="preserve"> the Generation IV International Forum. </w:t>
      </w:r>
    </w:p>
    <w:p w14:paraId="4D4E4A2F" w14:textId="4FA9A6C1" w:rsidR="001B42ED" w:rsidRPr="001E3C9B" w:rsidRDefault="007F0077" w:rsidP="001B42ED">
      <w:pPr>
        <w:pStyle w:val="Body"/>
        <w:spacing w:before="0" w:after="120"/>
        <w:rPr>
          <w:rFonts w:ascii="Times New Roman" w:eastAsiaTheme="minorHAnsi" w:hAnsi="Times New Roman"/>
          <w:noProof/>
          <w:color w:val="000000" w:themeColor="text1"/>
          <w:sz w:val="24"/>
          <w:szCs w:val="24"/>
        </w:rPr>
      </w:pPr>
      <w:r w:rsidRPr="001E3C9B">
        <w:rPr>
          <w:rFonts w:ascii="Times New Roman" w:eastAsiaTheme="minorHAnsi" w:hAnsi="Times New Roman"/>
          <w:noProof/>
          <w:color w:val="000000" w:themeColor="text1"/>
          <w:sz w:val="24"/>
          <w:szCs w:val="24"/>
          <w:lang w:val="mt-MT"/>
        </w:rPr>
        <w:t>D</w:t>
      </w:r>
      <w:r w:rsidR="001B42ED" w:rsidRPr="001E3C9B">
        <w:rPr>
          <w:rFonts w:ascii="Times New Roman" w:eastAsiaTheme="minorHAnsi" w:hAnsi="Times New Roman"/>
          <w:noProof/>
          <w:color w:val="000000" w:themeColor="text1"/>
          <w:sz w:val="24"/>
          <w:szCs w:val="24"/>
        </w:rPr>
        <w:t xml:space="preserve">irect actions in the area of </w:t>
      </w:r>
      <w:r w:rsidR="001B42ED" w:rsidRPr="00854965">
        <w:rPr>
          <w:rFonts w:ascii="Times New Roman" w:eastAsiaTheme="minorHAnsi" w:hAnsi="Times New Roman"/>
          <w:noProof/>
          <w:color w:val="000000" w:themeColor="text1"/>
          <w:sz w:val="24"/>
          <w:szCs w:val="24"/>
        </w:rPr>
        <w:t>radioactive</w:t>
      </w:r>
      <w:r w:rsidR="00E86DB0">
        <w:rPr>
          <w:rFonts w:ascii="Times New Roman" w:eastAsiaTheme="minorHAnsi" w:hAnsi="Times New Roman"/>
          <w:noProof/>
          <w:color w:val="000000" w:themeColor="text1"/>
          <w:sz w:val="24"/>
          <w:szCs w:val="24"/>
        </w:rPr>
        <w:t>-</w:t>
      </w:r>
      <w:r w:rsidR="001B42ED" w:rsidRPr="00854965">
        <w:rPr>
          <w:rFonts w:ascii="Times New Roman" w:eastAsiaTheme="minorHAnsi" w:hAnsi="Times New Roman"/>
          <w:noProof/>
          <w:color w:val="000000" w:themeColor="text1"/>
          <w:sz w:val="24"/>
          <w:szCs w:val="24"/>
        </w:rPr>
        <w:t>waste management</w:t>
      </w:r>
      <w:r w:rsidR="001B42ED" w:rsidRPr="001E3C9B">
        <w:rPr>
          <w:rFonts w:ascii="Times New Roman" w:eastAsiaTheme="minorHAnsi" w:hAnsi="Times New Roman"/>
          <w:noProof/>
          <w:color w:val="000000" w:themeColor="text1"/>
          <w:sz w:val="24"/>
          <w:szCs w:val="24"/>
        </w:rPr>
        <w:t xml:space="preserve"> covered scientific and technical aspects relevant to a sound </w:t>
      </w:r>
      <w:r w:rsidR="00E86DB0">
        <w:rPr>
          <w:rFonts w:ascii="Times New Roman" w:eastAsiaTheme="minorHAnsi" w:hAnsi="Times New Roman"/>
          <w:noProof/>
          <w:color w:val="000000" w:themeColor="text1"/>
          <w:sz w:val="24"/>
          <w:szCs w:val="24"/>
        </w:rPr>
        <w:t xml:space="preserve">strategy for </w:t>
      </w:r>
      <w:r w:rsidR="00B503C3">
        <w:rPr>
          <w:rFonts w:ascii="Times New Roman" w:eastAsiaTheme="minorHAnsi" w:hAnsi="Times New Roman"/>
          <w:noProof/>
          <w:color w:val="000000" w:themeColor="text1"/>
          <w:sz w:val="24"/>
          <w:szCs w:val="24"/>
        </w:rPr>
        <w:t xml:space="preserve">radioactive </w:t>
      </w:r>
      <w:r w:rsidR="00E86DB0">
        <w:rPr>
          <w:rFonts w:ascii="Times New Roman" w:eastAsiaTheme="minorHAnsi" w:hAnsi="Times New Roman"/>
          <w:noProof/>
          <w:color w:val="000000" w:themeColor="text1"/>
          <w:sz w:val="24"/>
          <w:szCs w:val="24"/>
        </w:rPr>
        <w:t>-</w:t>
      </w:r>
      <w:r w:rsidR="001B42ED" w:rsidRPr="001E3C9B">
        <w:rPr>
          <w:rFonts w:ascii="Times New Roman" w:eastAsiaTheme="minorHAnsi" w:hAnsi="Times New Roman"/>
          <w:noProof/>
          <w:color w:val="000000" w:themeColor="text1"/>
          <w:sz w:val="24"/>
          <w:szCs w:val="24"/>
        </w:rPr>
        <w:t>waste</w:t>
      </w:r>
      <w:r w:rsidR="00E86DB0">
        <w:rPr>
          <w:rFonts w:ascii="Times New Roman" w:eastAsiaTheme="minorHAnsi" w:hAnsi="Times New Roman"/>
          <w:noProof/>
          <w:color w:val="000000" w:themeColor="text1"/>
          <w:sz w:val="24"/>
          <w:szCs w:val="24"/>
        </w:rPr>
        <w:t xml:space="preserve"> </w:t>
      </w:r>
      <w:r w:rsidR="001B42ED" w:rsidRPr="001E3C9B">
        <w:rPr>
          <w:rFonts w:ascii="Times New Roman" w:eastAsiaTheme="minorHAnsi" w:hAnsi="Times New Roman"/>
          <w:noProof/>
          <w:color w:val="000000" w:themeColor="text1"/>
          <w:sz w:val="24"/>
          <w:szCs w:val="24"/>
        </w:rPr>
        <w:t>management</w:t>
      </w:r>
      <w:r w:rsidR="00C07895">
        <w:rPr>
          <w:rFonts w:ascii="Times New Roman" w:eastAsiaTheme="minorHAnsi" w:hAnsi="Times New Roman"/>
          <w:noProof/>
          <w:color w:val="000000" w:themeColor="text1"/>
          <w:sz w:val="24"/>
          <w:szCs w:val="24"/>
        </w:rPr>
        <w:t>. The direct actions also</w:t>
      </w:r>
      <w:r w:rsidR="001B42ED" w:rsidRPr="001E3C9B">
        <w:rPr>
          <w:rFonts w:ascii="Times New Roman" w:eastAsiaTheme="minorHAnsi" w:hAnsi="Times New Roman"/>
          <w:noProof/>
          <w:color w:val="000000" w:themeColor="text1"/>
          <w:sz w:val="24"/>
          <w:szCs w:val="24"/>
        </w:rPr>
        <w:t xml:space="preserve"> support</w:t>
      </w:r>
      <w:r w:rsidR="00C07895">
        <w:rPr>
          <w:rFonts w:ascii="Times New Roman" w:eastAsiaTheme="minorHAnsi" w:hAnsi="Times New Roman"/>
          <w:noProof/>
          <w:color w:val="000000" w:themeColor="text1"/>
          <w:sz w:val="24"/>
          <w:szCs w:val="24"/>
        </w:rPr>
        <w:t>ed</w:t>
      </w:r>
      <w:r w:rsidR="001B42ED" w:rsidRPr="001E3C9B">
        <w:rPr>
          <w:rFonts w:ascii="Times New Roman" w:eastAsiaTheme="minorHAnsi" w:hAnsi="Times New Roman"/>
          <w:noProof/>
          <w:color w:val="000000" w:themeColor="text1"/>
          <w:sz w:val="24"/>
          <w:szCs w:val="24"/>
        </w:rPr>
        <w:t xml:space="preserve"> the development of regulatory and licensing procedures </w:t>
      </w:r>
      <w:r w:rsidR="00C07895">
        <w:rPr>
          <w:rFonts w:ascii="Times New Roman" w:eastAsiaTheme="minorHAnsi" w:hAnsi="Times New Roman"/>
          <w:noProof/>
          <w:color w:val="000000" w:themeColor="text1"/>
          <w:sz w:val="24"/>
          <w:szCs w:val="24"/>
        </w:rPr>
        <w:t xml:space="preserve">for the </w:t>
      </w:r>
      <w:r w:rsidR="001B42ED" w:rsidRPr="001E3C9B">
        <w:rPr>
          <w:rFonts w:ascii="Times New Roman" w:eastAsiaTheme="minorHAnsi" w:hAnsi="Times New Roman"/>
          <w:noProof/>
          <w:color w:val="000000" w:themeColor="text1"/>
          <w:sz w:val="24"/>
          <w:szCs w:val="24"/>
        </w:rPr>
        <w:t xml:space="preserve">geological disposal of </w:t>
      </w:r>
      <w:r w:rsidR="00020161">
        <w:rPr>
          <w:rFonts w:ascii="Times New Roman" w:eastAsiaTheme="minorHAnsi" w:hAnsi="Times New Roman"/>
          <w:noProof/>
          <w:color w:val="000000" w:themeColor="text1"/>
          <w:sz w:val="24"/>
          <w:szCs w:val="24"/>
        </w:rPr>
        <w:t xml:space="preserve">spent fuel and high-level radioactive waste. </w:t>
      </w:r>
      <w:r w:rsidR="00AB0AF4">
        <w:rPr>
          <w:rFonts w:ascii="Times New Roman" w:eastAsiaTheme="minorHAnsi" w:hAnsi="Times New Roman"/>
          <w:noProof/>
          <w:color w:val="000000" w:themeColor="text1"/>
          <w:sz w:val="24"/>
          <w:szCs w:val="24"/>
        </w:rPr>
        <w:t xml:space="preserve">Research outputs stemmed from investigating </w:t>
      </w:r>
      <w:r w:rsidR="008A457F">
        <w:rPr>
          <w:rFonts w:ascii="Times New Roman" w:eastAsiaTheme="minorHAnsi" w:hAnsi="Times New Roman"/>
          <w:noProof/>
          <w:color w:val="000000" w:themeColor="text1"/>
          <w:sz w:val="24"/>
          <w:szCs w:val="24"/>
        </w:rPr>
        <w:t>the</w:t>
      </w:r>
      <w:r w:rsidR="00AB0AF4">
        <w:rPr>
          <w:rFonts w:ascii="Times New Roman" w:eastAsiaTheme="minorHAnsi" w:hAnsi="Times New Roman"/>
          <w:noProof/>
          <w:color w:val="000000" w:themeColor="text1"/>
          <w:sz w:val="24"/>
          <w:szCs w:val="24"/>
        </w:rPr>
        <w:t xml:space="preserve"> characteristics</w:t>
      </w:r>
      <w:r w:rsidR="008A457F">
        <w:rPr>
          <w:rFonts w:ascii="Times New Roman" w:eastAsiaTheme="minorHAnsi" w:hAnsi="Times New Roman"/>
          <w:noProof/>
          <w:color w:val="000000" w:themeColor="text1"/>
          <w:sz w:val="24"/>
          <w:szCs w:val="24"/>
        </w:rPr>
        <w:t xml:space="preserve"> of spent fuel</w:t>
      </w:r>
      <w:r w:rsidR="00AB0AF4">
        <w:rPr>
          <w:rFonts w:ascii="Times New Roman" w:eastAsiaTheme="minorHAnsi" w:hAnsi="Times New Roman"/>
          <w:noProof/>
          <w:color w:val="000000" w:themeColor="text1"/>
          <w:sz w:val="24"/>
          <w:szCs w:val="24"/>
        </w:rPr>
        <w:t xml:space="preserve">, as well as the properties and behaviour of spent fuel rods during storage. </w:t>
      </w:r>
    </w:p>
    <w:p w14:paraId="3B0BA5CE" w14:textId="3ADC2F73" w:rsidR="00AB0AF4" w:rsidRPr="001E3C9B" w:rsidRDefault="00AB0AF4" w:rsidP="00AB0AF4">
      <w:pPr>
        <w:pStyle w:val="Body"/>
        <w:spacing w:before="0" w:after="120"/>
        <w:rPr>
          <w:rFonts w:ascii="Times New Roman" w:eastAsiaTheme="minorHAnsi" w:hAnsi="Times New Roman"/>
          <w:b/>
          <w:bCs/>
          <w:noProof/>
          <w:color w:val="000000" w:themeColor="text1"/>
          <w:sz w:val="24"/>
          <w:szCs w:val="24"/>
        </w:rPr>
      </w:pPr>
      <w:r w:rsidRPr="001E3C9B">
        <w:rPr>
          <w:rFonts w:ascii="Times New Roman" w:eastAsiaTheme="minorHAnsi" w:hAnsi="Times New Roman"/>
          <w:b/>
          <w:bCs/>
          <w:noProof/>
          <w:color w:val="000000" w:themeColor="text1"/>
          <w:sz w:val="24"/>
          <w:szCs w:val="24"/>
        </w:rPr>
        <w:t>Objective 2</w:t>
      </w:r>
      <w:r w:rsidR="005020D2">
        <w:rPr>
          <w:rFonts w:ascii="Times New Roman" w:eastAsiaTheme="minorHAnsi" w:hAnsi="Times New Roman"/>
          <w:b/>
          <w:bCs/>
          <w:noProof/>
          <w:color w:val="000000" w:themeColor="text1"/>
          <w:sz w:val="24"/>
          <w:szCs w:val="24"/>
        </w:rPr>
        <w:t>:</w:t>
      </w:r>
      <w:r w:rsidRPr="001E3C9B">
        <w:rPr>
          <w:rFonts w:ascii="Times New Roman" w:eastAsiaTheme="minorHAnsi" w:hAnsi="Times New Roman"/>
          <w:b/>
          <w:bCs/>
          <w:noProof/>
          <w:color w:val="000000" w:themeColor="text1"/>
          <w:sz w:val="24"/>
          <w:szCs w:val="24"/>
        </w:rPr>
        <w:t xml:space="preserve"> Improving nuclear security (including safeguards, non-proliferation, forensics and illicit trafficking)</w:t>
      </w:r>
    </w:p>
    <w:p w14:paraId="242740CA" w14:textId="5D060ECE" w:rsidR="00AB0AF4" w:rsidRPr="00A62D3C" w:rsidRDefault="00AB0AF4" w:rsidP="00AB0AF4">
      <w:pPr>
        <w:pStyle w:val="Body"/>
        <w:spacing w:before="0" w:after="120"/>
        <w:rPr>
          <w:rFonts w:ascii="Times New Roman" w:eastAsiaTheme="minorHAnsi" w:hAnsi="Times New Roman"/>
          <w:noProof/>
          <w:color w:val="000000" w:themeColor="text1"/>
          <w:sz w:val="24"/>
          <w:szCs w:val="24"/>
        </w:rPr>
      </w:pPr>
      <w:r w:rsidRPr="00A62D3C">
        <w:rPr>
          <w:rFonts w:ascii="Times New Roman" w:eastAsiaTheme="minorHAnsi" w:hAnsi="Times New Roman"/>
          <w:noProof/>
          <w:color w:val="000000" w:themeColor="text1"/>
          <w:sz w:val="24"/>
          <w:szCs w:val="24"/>
        </w:rPr>
        <w:t xml:space="preserve">For </w:t>
      </w:r>
      <w:r w:rsidRPr="00854965">
        <w:rPr>
          <w:rFonts w:ascii="Times New Roman" w:eastAsiaTheme="minorHAnsi" w:hAnsi="Times New Roman"/>
          <w:noProof/>
          <w:color w:val="000000" w:themeColor="text1"/>
          <w:sz w:val="24"/>
          <w:szCs w:val="24"/>
        </w:rPr>
        <w:t>nuclear safeguards and non-proliferation</w:t>
      </w:r>
      <w:r w:rsidRPr="00A62D3C">
        <w:rPr>
          <w:rFonts w:ascii="Times New Roman" w:eastAsiaTheme="minorHAnsi" w:hAnsi="Times New Roman"/>
          <w:noProof/>
          <w:color w:val="000000" w:themeColor="text1"/>
          <w:sz w:val="24"/>
          <w:szCs w:val="24"/>
        </w:rPr>
        <w:t xml:space="preserve">, the JRC </w:t>
      </w:r>
      <w:r w:rsidR="00F150F6">
        <w:rPr>
          <w:rFonts w:ascii="Times New Roman" w:eastAsiaTheme="minorHAnsi" w:hAnsi="Times New Roman"/>
          <w:noProof/>
          <w:color w:val="000000" w:themeColor="text1"/>
          <w:sz w:val="24"/>
          <w:szCs w:val="24"/>
        </w:rPr>
        <w:t>helped</w:t>
      </w:r>
      <w:r w:rsidR="00F150F6" w:rsidRPr="00A62D3C">
        <w:rPr>
          <w:rFonts w:ascii="Times New Roman" w:eastAsiaTheme="minorHAnsi" w:hAnsi="Times New Roman"/>
          <w:noProof/>
          <w:color w:val="000000" w:themeColor="text1"/>
          <w:sz w:val="24"/>
          <w:szCs w:val="24"/>
        </w:rPr>
        <w:t xml:space="preserve"> </w:t>
      </w:r>
      <w:r w:rsidRPr="00A62D3C">
        <w:rPr>
          <w:rFonts w:ascii="Times New Roman" w:eastAsiaTheme="minorHAnsi" w:hAnsi="Times New Roman"/>
          <w:noProof/>
          <w:color w:val="000000" w:themeColor="text1"/>
          <w:sz w:val="24"/>
          <w:szCs w:val="24"/>
        </w:rPr>
        <w:t>to develop and support safeguard technologies through R&amp;D, equipment development</w:t>
      </w:r>
      <w:r w:rsidR="00F150F6">
        <w:rPr>
          <w:rFonts w:ascii="Times New Roman" w:eastAsiaTheme="minorHAnsi" w:hAnsi="Times New Roman"/>
          <w:noProof/>
          <w:color w:val="000000" w:themeColor="text1"/>
          <w:sz w:val="24"/>
          <w:szCs w:val="24"/>
        </w:rPr>
        <w:t>,</w:t>
      </w:r>
      <w:r w:rsidRPr="00A62D3C">
        <w:rPr>
          <w:rFonts w:ascii="Times New Roman" w:eastAsiaTheme="minorHAnsi" w:hAnsi="Times New Roman"/>
          <w:noProof/>
          <w:color w:val="000000" w:themeColor="text1"/>
          <w:sz w:val="24"/>
          <w:szCs w:val="24"/>
        </w:rPr>
        <w:t xml:space="preserve"> and training</w:t>
      </w:r>
      <w:r w:rsidR="00B503C3">
        <w:rPr>
          <w:rFonts w:ascii="Times New Roman" w:eastAsiaTheme="minorHAnsi" w:hAnsi="Times New Roman"/>
          <w:noProof/>
          <w:color w:val="000000" w:themeColor="text1"/>
          <w:sz w:val="24"/>
          <w:szCs w:val="24"/>
        </w:rPr>
        <w:t>s</w:t>
      </w:r>
      <w:r w:rsidRPr="00A62D3C">
        <w:rPr>
          <w:rFonts w:ascii="Times New Roman" w:eastAsiaTheme="minorHAnsi" w:hAnsi="Times New Roman"/>
          <w:noProof/>
          <w:color w:val="000000" w:themeColor="text1"/>
          <w:sz w:val="24"/>
          <w:szCs w:val="24"/>
        </w:rPr>
        <w:t xml:space="preserve"> for Euratom inspectors to ensure the effective implementation of the Euratom </w:t>
      </w:r>
      <w:r w:rsidR="006012E8">
        <w:rPr>
          <w:rFonts w:ascii="Times New Roman" w:eastAsiaTheme="minorHAnsi" w:hAnsi="Times New Roman"/>
          <w:noProof/>
          <w:color w:val="000000" w:themeColor="text1"/>
          <w:sz w:val="24"/>
          <w:szCs w:val="24"/>
        </w:rPr>
        <w:t>s</w:t>
      </w:r>
      <w:r w:rsidR="00836E28" w:rsidRPr="00A62D3C">
        <w:rPr>
          <w:rFonts w:ascii="Times New Roman" w:eastAsiaTheme="minorHAnsi" w:hAnsi="Times New Roman"/>
          <w:noProof/>
          <w:color w:val="000000" w:themeColor="text1"/>
          <w:sz w:val="24"/>
          <w:szCs w:val="24"/>
        </w:rPr>
        <w:t xml:space="preserve">afeguards </w:t>
      </w:r>
      <w:r w:rsidRPr="00A62D3C">
        <w:rPr>
          <w:rFonts w:ascii="Times New Roman" w:eastAsiaTheme="minorHAnsi" w:hAnsi="Times New Roman"/>
          <w:noProof/>
          <w:color w:val="000000" w:themeColor="text1"/>
          <w:sz w:val="24"/>
          <w:szCs w:val="24"/>
        </w:rPr>
        <w:t xml:space="preserve">regime. Such technical support was also provided to </w:t>
      </w:r>
      <w:r w:rsidR="00F150F6">
        <w:rPr>
          <w:rFonts w:ascii="Times New Roman" w:eastAsiaTheme="minorHAnsi" w:hAnsi="Times New Roman"/>
          <w:noProof/>
          <w:color w:val="000000" w:themeColor="text1"/>
          <w:sz w:val="24"/>
          <w:szCs w:val="24"/>
        </w:rPr>
        <w:t xml:space="preserve">both </w:t>
      </w:r>
      <w:r w:rsidRPr="00A62D3C">
        <w:rPr>
          <w:rFonts w:ascii="Times New Roman" w:eastAsiaTheme="minorHAnsi" w:hAnsi="Times New Roman"/>
          <w:noProof/>
          <w:color w:val="000000" w:themeColor="text1"/>
          <w:sz w:val="24"/>
          <w:szCs w:val="24"/>
        </w:rPr>
        <w:t xml:space="preserve">the </w:t>
      </w:r>
      <w:r w:rsidR="00C60CE2">
        <w:rPr>
          <w:rFonts w:ascii="Times New Roman" w:eastAsiaTheme="minorHAnsi" w:hAnsi="Times New Roman"/>
          <w:noProof/>
          <w:color w:val="000000" w:themeColor="text1"/>
          <w:sz w:val="24"/>
          <w:szCs w:val="24"/>
        </w:rPr>
        <w:t>International Atomic Energy Agency (</w:t>
      </w:r>
      <w:r w:rsidRPr="00A62D3C">
        <w:rPr>
          <w:rFonts w:ascii="Times New Roman" w:eastAsiaTheme="minorHAnsi" w:hAnsi="Times New Roman"/>
          <w:noProof/>
          <w:color w:val="000000" w:themeColor="text1"/>
          <w:sz w:val="24"/>
          <w:szCs w:val="24"/>
        </w:rPr>
        <w:t>IAEA</w:t>
      </w:r>
      <w:r w:rsidR="00C60CE2">
        <w:rPr>
          <w:rFonts w:ascii="Times New Roman" w:eastAsiaTheme="minorHAnsi" w:hAnsi="Times New Roman"/>
          <w:noProof/>
          <w:color w:val="000000" w:themeColor="text1"/>
          <w:sz w:val="24"/>
          <w:szCs w:val="24"/>
        </w:rPr>
        <w:t>)</w:t>
      </w:r>
      <w:r w:rsidRPr="00A62D3C">
        <w:rPr>
          <w:rFonts w:ascii="Times New Roman" w:eastAsiaTheme="minorHAnsi" w:hAnsi="Times New Roman"/>
          <w:noProof/>
          <w:color w:val="000000" w:themeColor="text1"/>
          <w:sz w:val="24"/>
          <w:szCs w:val="24"/>
        </w:rPr>
        <w:t xml:space="preserve"> through the European Commission’s </w:t>
      </w:r>
      <w:r w:rsidR="00020161">
        <w:rPr>
          <w:rFonts w:ascii="Times New Roman" w:eastAsiaTheme="minorHAnsi" w:hAnsi="Times New Roman"/>
          <w:noProof/>
          <w:color w:val="000000" w:themeColor="text1"/>
          <w:sz w:val="24"/>
          <w:szCs w:val="24"/>
        </w:rPr>
        <w:t>S</w:t>
      </w:r>
      <w:r w:rsidRPr="00A62D3C">
        <w:rPr>
          <w:rFonts w:ascii="Times New Roman" w:eastAsiaTheme="minorHAnsi" w:hAnsi="Times New Roman"/>
          <w:noProof/>
          <w:color w:val="000000" w:themeColor="text1"/>
          <w:sz w:val="24"/>
          <w:szCs w:val="24"/>
        </w:rPr>
        <w:t xml:space="preserve">upport </w:t>
      </w:r>
      <w:r w:rsidR="00020161">
        <w:rPr>
          <w:rFonts w:ascii="Times New Roman" w:eastAsiaTheme="minorHAnsi" w:hAnsi="Times New Roman"/>
          <w:noProof/>
          <w:color w:val="000000" w:themeColor="text1"/>
          <w:sz w:val="24"/>
          <w:szCs w:val="24"/>
        </w:rPr>
        <w:t>P</w:t>
      </w:r>
      <w:r w:rsidRPr="00A62D3C">
        <w:rPr>
          <w:rFonts w:ascii="Times New Roman" w:eastAsiaTheme="minorHAnsi" w:hAnsi="Times New Roman"/>
          <w:noProof/>
          <w:color w:val="000000" w:themeColor="text1"/>
          <w:sz w:val="24"/>
          <w:szCs w:val="24"/>
        </w:rPr>
        <w:t xml:space="preserve">rogramme and to other stakeholders in order to </w:t>
      </w:r>
      <w:r w:rsidR="00F150F6">
        <w:rPr>
          <w:rFonts w:ascii="Times New Roman" w:eastAsiaTheme="minorHAnsi" w:hAnsi="Times New Roman"/>
          <w:noProof/>
          <w:color w:val="000000" w:themeColor="text1"/>
          <w:sz w:val="24"/>
          <w:szCs w:val="24"/>
        </w:rPr>
        <w:t>strengthen</w:t>
      </w:r>
      <w:r w:rsidR="00F150F6" w:rsidRPr="00A62D3C">
        <w:rPr>
          <w:rFonts w:ascii="Times New Roman" w:eastAsiaTheme="minorHAnsi" w:hAnsi="Times New Roman"/>
          <w:noProof/>
          <w:color w:val="000000" w:themeColor="text1"/>
          <w:sz w:val="24"/>
          <w:szCs w:val="24"/>
        </w:rPr>
        <w:t xml:space="preserve"> </w:t>
      </w:r>
      <w:r w:rsidRPr="00A62D3C">
        <w:rPr>
          <w:rFonts w:ascii="Times New Roman" w:eastAsiaTheme="minorHAnsi" w:hAnsi="Times New Roman"/>
          <w:noProof/>
          <w:color w:val="000000" w:themeColor="text1"/>
          <w:sz w:val="24"/>
          <w:szCs w:val="24"/>
        </w:rPr>
        <w:t xml:space="preserve">the international safeguards regime. Other research activities </w:t>
      </w:r>
      <w:r w:rsidR="00ED5091">
        <w:rPr>
          <w:rFonts w:ascii="Times New Roman" w:eastAsiaTheme="minorHAnsi" w:hAnsi="Times New Roman"/>
          <w:noProof/>
          <w:color w:val="000000" w:themeColor="text1"/>
          <w:sz w:val="24"/>
          <w:szCs w:val="24"/>
        </w:rPr>
        <w:t>(</w:t>
      </w:r>
      <w:r w:rsidRPr="00A62D3C">
        <w:rPr>
          <w:rFonts w:ascii="Times New Roman" w:eastAsiaTheme="minorHAnsi" w:hAnsi="Times New Roman"/>
          <w:noProof/>
          <w:color w:val="000000" w:themeColor="text1"/>
          <w:sz w:val="24"/>
          <w:szCs w:val="24"/>
        </w:rPr>
        <w:t>such as information collection, analysis</w:t>
      </w:r>
      <w:r w:rsidR="00F150F6">
        <w:rPr>
          <w:rFonts w:ascii="Times New Roman" w:eastAsiaTheme="minorHAnsi" w:hAnsi="Times New Roman"/>
          <w:noProof/>
          <w:color w:val="000000" w:themeColor="text1"/>
          <w:sz w:val="24"/>
          <w:szCs w:val="24"/>
        </w:rPr>
        <w:t>,</w:t>
      </w:r>
      <w:r w:rsidRPr="00A62D3C">
        <w:rPr>
          <w:rFonts w:ascii="Times New Roman" w:eastAsiaTheme="minorHAnsi" w:hAnsi="Times New Roman"/>
          <w:noProof/>
          <w:color w:val="000000" w:themeColor="text1"/>
          <w:sz w:val="24"/>
          <w:szCs w:val="24"/>
        </w:rPr>
        <w:t xml:space="preserve"> and studies on dual-use goods</w:t>
      </w:r>
      <w:r w:rsidR="00ED5091">
        <w:rPr>
          <w:rFonts w:ascii="Times New Roman" w:eastAsiaTheme="minorHAnsi" w:hAnsi="Times New Roman"/>
          <w:noProof/>
          <w:color w:val="000000" w:themeColor="text1"/>
          <w:sz w:val="24"/>
          <w:szCs w:val="24"/>
        </w:rPr>
        <w:t>)</w:t>
      </w:r>
      <w:r w:rsidRPr="00A62D3C">
        <w:rPr>
          <w:rFonts w:ascii="Times New Roman" w:eastAsiaTheme="minorHAnsi" w:hAnsi="Times New Roman"/>
          <w:noProof/>
          <w:color w:val="000000" w:themeColor="text1"/>
          <w:sz w:val="24"/>
          <w:szCs w:val="24"/>
        </w:rPr>
        <w:t xml:space="preserve"> aimed to strengthen the EU</w:t>
      </w:r>
      <w:r w:rsidR="00F150F6">
        <w:rPr>
          <w:rFonts w:ascii="Times New Roman" w:eastAsiaTheme="minorHAnsi" w:hAnsi="Times New Roman"/>
          <w:noProof/>
          <w:color w:val="000000" w:themeColor="text1"/>
          <w:sz w:val="24"/>
          <w:szCs w:val="24"/>
        </w:rPr>
        <w:t>’s</w:t>
      </w:r>
      <w:r w:rsidRPr="00A62D3C">
        <w:rPr>
          <w:rFonts w:ascii="Times New Roman" w:eastAsiaTheme="minorHAnsi" w:hAnsi="Times New Roman"/>
          <w:noProof/>
          <w:color w:val="000000" w:themeColor="text1"/>
          <w:sz w:val="24"/>
          <w:szCs w:val="24"/>
        </w:rPr>
        <w:t xml:space="preserve"> nuclear non-proliferation regime.</w:t>
      </w:r>
      <w:r>
        <w:rPr>
          <w:rFonts w:ascii="Times New Roman" w:eastAsiaTheme="minorHAnsi" w:hAnsi="Times New Roman"/>
          <w:noProof/>
          <w:color w:val="000000" w:themeColor="text1"/>
          <w:sz w:val="24"/>
          <w:szCs w:val="24"/>
        </w:rPr>
        <w:t xml:space="preserve"> </w:t>
      </w:r>
      <w:r w:rsidRPr="00A62D3C">
        <w:rPr>
          <w:rFonts w:ascii="Times New Roman" w:eastAsiaTheme="minorHAnsi" w:hAnsi="Times New Roman"/>
          <w:noProof/>
          <w:color w:val="000000" w:themeColor="text1"/>
          <w:sz w:val="24"/>
          <w:szCs w:val="24"/>
        </w:rPr>
        <w:t>Nuclear security is a field in high demand amongst EU Member States</w:t>
      </w:r>
      <w:r w:rsidR="00ED5091">
        <w:rPr>
          <w:rFonts w:ascii="Times New Roman" w:eastAsiaTheme="minorHAnsi" w:hAnsi="Times New Roman"/>
          <w:noProof/>
          <w:color w:val="000000" w:themeColor="text1"/>
          <w:sz w:val="24"/>
          <w:szCs w:val="24"/>
        </w:rPr>
        <w:t>,</w:t>
      </w:r>
      <w:r w:rsidRPr="00A62D3C">
        <w:rPr>
          <w:rFonts w:ascii="Times New Roman" w:eastAsiaTheme="minorHAnsi" w:hAnsi="Times New Roman"/>
          <w:noProof/>
          <w:color w:val="000000" w:themeColor="text1"/>
          <w:sz w:val="24"/>
          <w:szCs w:val="24"/>
        </w:rPr>
        <w:t xml:space="preserve"> and the JRC’s expertise in this area has focused on</w:t>
      </w:r>
      <w:r w:rsidR="00ED5091">
        <w:rPr>
          <w:rFonts w:ascii="Times New Roman" w:eastAsiaTheme="minorHAnsi" w:hAnsi="Times New Roman"/>
          <w:noProof/>
          <w:color w:val="000000" w:themeColor="text1"/>
          <w:sz w:val="24"/>
          <w:szCs w:val="24"/>
        </w:rPr>
        <w:t>: (i)</w:t>
      </w:r>
      <w:r w:rsidRPr="00A62D3C">
        <w:rPr>
          <w:rFonts w:ascii="Times New Roman" w:eastAsiaTheme="minorHAnsi" w:hAnsi="Times New Roman"/>
          <w:noProof/>
          <w:color w:val="000000" w:themeColor="text1"/>
          <w:sz w:val="24"/>
          <w:szCs w:val="24"/>
        </w:rPr>
        <w:t xml:space="preserve"> the detection </w:t>
      </w:r>
      <w:r w:rsidR="00F150F6">
        <w:rPr>
          <w:rFonts w:ascii="Times New Roman" w:eastAsiaTheme="minorHAnsi" w:hAnsi="Times New Roman"/>
          <w:noProof/>
          <w:color w:val="000000" w:themeColor="text1"/>
          <w:sz w:val="24"/>
          <w:szCs w:val="24"/>
        </w:rPr>
        <w:t xml:space="preserve">of – </w:t>
      </w:r>
      <w:r w:rsidRPr="00A62D3C">
        <w:rPr>
          <w:rFonts w:ascii="Times New Roman" w:eastAsiaTheme="minorHAnsi" w:hAnsi="Times New Roman"/>
          <w:noProof/>
          <w:color w:val="000000" w:themeColor="text1"/>
          <w:sz w:val="24"/>
          <w:szCs w:val="24"/>
        </w:rPr>
        <w:t>and response to</w:t>
      </w:r>
      <w:r w:rsidR="00F150F6">
        <w:rPr>
          <w:rFonts w:ascii="Times New Roman" w:eastAsiaTheme="minorHAnsi" w:hAnsi="Times New Roman"/>
          <w:noProof/>
          <w:color w:val="000000" w:themeColor="text1"/>
          <w:sz w:val="24"/>
          <w:szCs w:val="24"/>
        </w:rPr>
        <w:t xml:space="preserve"> –</w:t>
      </w:r>
      <w:r w:rsidRPr="00A62D3C">
        <w:rPr>
          <w:rFonts w:ascii="Times New Roman" w:eastAsiaTheme="minorHAnsi" w:hAnsi="Times New Roman"/>
          <w:noProof/>
          <w:color w:val="000000" w:themeColor="text1"/>
          <w:sz w:val="24"/>
          <w:szCs w:val="24"/>
        </w:rPr>
        <w:t xml:space="preserve"> illicit trafficking of nuclear and other radioactive materials</w:t>
      </w:r>
      <w:r w:rsidR="00ED5091">
        <w:rPr>
          <w:rFonts w:ascii="Times New Roman" w:eastAsiaTheme="minorHAnsi" w:hAnsi="Times New Roman"/>
          <w:noProof/>
          <w:color w:val="000000" w:themeColor="text1"/>
          <w:sz w:val="24"/>
          <w:szCs w:val="24"/>
        </w:rPr>
        <w:t>;</w:t>
      </w:r>
      <w:r w:rsidRPr="00A62D3C">
        <w:rPr>
          <w:rFonts w:ascii="Times New Roman" w:eastAsiaTheme="minorHAnsi" w:hAnsi="Times New Roman"/>
          <w:noProof/>
          <w:color w:val="000000" w:themeColor="text1"/>
          <w:sz w:val="24"/>
          <w:szCs w:val="24"/>
        </w:rPr>
        <w:t xml:space="preserve"> and </w:t>
      </w:r>
      <w:r w:rsidR="00ED5091">
        <w:rPr>
          <w:rFonts w:ascii="Times New Roman" w:eastAsiaTheme="minorHAnsi" w:hAnsi="Times New Roman"/>
          <w:noProof/>
          <w:color w:val="000000" w:themeColor="text1"/>
          <w:sz w:val="24"/>
          <w:szCs w:val="24"/>
        </w:rPr>
        <w:t xml:space="preserve">(ii) </w:t>
      </w:r>
      <w:r w:rsidRPr="00A62D3C">
        <w:rPr>
          <w:rFonts w:ascii="Times New Roman" w:eastAsiaTheme="minorHAnsi" w:hAnsi="Times New Roman"/>
          <w:noProof/>
          <w:color w:val="000000" w:themeColor="text1"/>
          <w:sz w:val="24"/>
          <w:szCs w:val="24"/>
        </w:rPr>
        <w:t xml:space="preserve">capacity-building activities. </w:t>
      </w:r>
    </w:p>
    <w:p w14:paraId="4F80C51D" w14:textId="6BD97582" w:rsidR="001B42ED" w:rsidRPr="001E3C9B" w:rsidRDefault="00AB0AF4" w:rsidP="001B42ED">
      <w:pPr>
        <w:pStyle w:val="Body"/>
        <w:spacing w:before="0" w:after="120"/>
        <w:rPr>
          <w:rFonts w:ascii="Times New Roman" w:eastAsiaTheme="minorHAnsi" w:hAnsi="Times New Roman"/>
          <w:b/>
          <w:bCs/>
          <w:noProof/>
          <w:color w:val="000000" w:themeColor="text1"/>
          <w:sz w:val="24"/>
          <w:szCs w:val="24"/>
        </w:rPr>
      </w:pPr>
      <w:r w:rsidRPr="001E3C9B">
        <w:rPr>
          <w:rFonts w:ascii="Times New Roman" w:eastAsiaTheme="minorHAnsi" w:hAnsi="Times New Roman"/>
          <w:b/>
          <w:bCs/>
          <w:noProof/>
          <w:color w:val="000000" w:themeColor="text1"/>
          <w:sz w:val="24"/>
          <w:szCs w:val="24"/>
        </w:rPr>
        <w:t>Objective 3</w:t>
      </w:r>
      <w:r w:rsidR="005020D2">
        <w:rPr>
          <w:rFonts w:ascii="Times New Roman" w:eastAsiaTheme="minorHAnsi" w:hAnsi="Times New Roman"/>
          <w:b/>
          <w:bCs/>
          <w:noProof/>
          <w:color w:val="000000" w:themeColor="text1"/>
          <w:sz w:val="24"/>
          <w:szCs w:val="24"/>
        </w:rPr>
        <w:t>:</w:t>
      </w:r>
      <w:r w:rsidRPr="001E3C9B">
        <w:rPr>
          <w:rFonts w:ascii="Times New Roman" w:eastAsiaTheme="minorHAnsi" w:hAnsi="Times New Roman"/>
          <w:b/>
          <w:bCs/>
          <w:noProof/>
          <w:color w:val="000000" w:themeColor="text1"/>
          <w:sz w:val="24"/>
          <w:szCs w:val="24"/>
        </w:rPr>
        <w:t xml:space="preserve"> Increasing excellence in the nuclear science base for standardisation</w:t>
      </w:r>
    </w:p>
    <w:p w14:paraId="3C650274" w14:textId="228AF63C" w:rsidR="00A1670D" w:rsidRDefault="00A1670D" w:rsidP="001B42ED">
      <w:pPr>
        <w:pStyle w:val="Body"/>
        <w:spacing w:before="0" w:after="120"/>
        <w:rPr>
          <w:rFonts w:ascii="Times New Roman" w:eastAsiaTheme="minorHAnsi" w:hAnsi="Times New Roman"/>
          <w:noProof/>
          <w:color w:val="000000" w:themeColor="text1"/>
          <w:sz w:val="24"/>
          <w:szCs w:val="24"/>
        </w:rPr>
      </w:pPr>
      <w:r w:rsidRPr="00BE5EC7">
        <w:rPr>
          <w:rFonts w:ascii="Times New Roman" w:eastAsiaTheme="minorHAnsi" w:hAnsi="Times New Roman"/>
          <w:noProof/>
          <w:color w:val="000000" w:themeColor="text1"/>
          <w:sz w:val="24"/>
          <w:szCs w:val="24"/>
        </w:rPr>
        <w:t xml:space="preserve">In the field of </w:t>
      </w:r>
      <w:r w:rsidRPr="00854965">
        <w:rPr>
          <w:rFonts w:ascii="Times New Roman" w:eastAsiaTheme="minorHAnsi" w:hAnsi="Times New Roman"/>
          <w:noProof/>
          <w:color w:val="000000" w:themeColor="text1"/>
          <w:sz w:val="24"/>
          <w:szCs w:val="24"/>
        </w:rPr>
        <w:t>environmental monitoring and radiation protection</w:t>
      </w:r>
      <w:r w:rsidRPr="00BE5EC7">
        <w:rPr>
          <w:rFonts w:ascii="Times New Roman" w:eastAsiaTheme="minorHAnsi" w:hAnsi="Times New Roman"/>
          <w:noProof/>
          <w:color w:val="000000" w:themeColor="text1"/>
          <w:sz w:val="24"/>
          <w:szCs w:val="24"/>
        </w:rPr>
        <w:t>, research has aimed at harmoni</w:t>
      </w:r>
      <w:r w:rsidRPr="00BE5EC7">
        <w:rPr>
          <w:rFonts w:ascii="Times New Roman" w:eastAsiaTheme="minorHAnsi" w:hAnsi="Times New Roman"/>
          <w:noProof/>
          <w:color w:val="000000" w:themeColor="text1"/>
          <w:sz w:val="24"/>
          <w:szCs w:val="24"/>
          <w:lang w:val="mt-MT"/>
        </w:rPr>
        <w:t>s</w:t>
      </w:r>
      <w:r w:rsidRPr="00BE5EC7">
        <w:rPr>
          <w:rFonts w:ascii="Times New Roman" w:eastAsiaTheme="minorHAnsi" w:hAnsi="Times New Roman"/>
          <w:noProof/>
          <w:color w:val="000000" w:themeColor="text1"/>
          <w:sz w:val="24"/>
          <w:szCs w:val="24"/>
        </w:rPr>
        <w:t xml:space="preserve">ing the radioactivity measurements performed by national laboratories through various activities, including comparison exercises across laboratories to train staff across EU Member States. </w:t>
      </w:r>
      <w:r w:rsidR="00AB0AF4">
        <w:rPr>
          <w:rFonts w:ascii="Times New Roman" w:eastAsiaTheme="minorHAnsi" w:hAnsi="Times New Roman"/>
          <w:noProof/>
          <w:color w:val="000000" w:themeColor="text1"/>
          <w:sz w:val="24"/>
          <w:szCs w:val="24"/>
        </w:rPr>
        <w:t>T</w:t>
      </w:r>
      <w:r w:rsidR="00AB0AF4" w:rsidRPr="002A36AA">
        <w:rPr>
          <w:rFonts w:ascii="Times New Roman" w:eastAsiaTheme="minorHAnsi" w:hAnsi="Times New Roman"/>
          <w:noProof/>
          <w:color w:val="000000" w:themeColor="text1"/>
          <w:sz w:val="24"/>
          <w:szCs w:val="24"/>
        </w:rPr>
        <w:t xml:space="preserve">he JRC’s </w:t>
      </w:r>
      <w:r w:rsidR="00AB0AF4" w:rsidRPr="001E3C9B">
        <w:rPr>
          <w:rFonts w:ascii="Times New Roman" w:eastAsiaTheme="minorHAnsi" w:hAnsi="Times New Roman"/>
          <w:noProof/>
          <w:color w:val="000000" w:themeColor="text1"/>
          <w:sz w:val="24"/>
          <w:szCs w:val="24"/>
        </w:rPr>
        <w:t>state-of-the-art experimental nuclear facilities</w:t>
      </w:r>
      <w:r w:rsidR="00AB0AF4" w:rsidRPr="002A36AA">
        <w:rPr>
          <w:rFonts w:ascii="Times New Roman" w:eastAsiaTheme="minorHAnsi" w:hAnsi="Times New Roman"/>
          <w:noProof/>
          <w:color w:val="000000" w:themeColor="text1"/>
          <w:sz w:val="24"/>
          <w:szCs w:val="24"/>
        </w:rPr>
        <w:t xml:space="preserve"> enabled the production of</w:t>
      </w:r>
      <w:r w:rsidR="005020D2">
        <w:rPr>
          <w:rFonts w:ascii="Times New Roman" w:eastAsiaTheme="minorHAnsi" w:hAnsi="Times New Roman"/>
          <w:noProof/>
          <w:color w:val="000000" w:themeColor="text1"/>
          <w:sz w:val="24"/>
          <w:szCs w:val="24"/>
        </w:rPr>
        <w:t>: (i)</w:t>
      </w:r>
      <w:r w:rsidR="00AB0AF4" w:rsidRPr="002A36AA">
        <w:rPr>
          <w:rFonts w:ascii="Times New Roman" w:eastAsiaTheme="minorHAnsi" w:hAnsi="Times New Roman"/>
          <w:noProof/>
          <w:color w:val="000000" w:themeColor="text1"/>
          <w:sz w:val="24"/>
          <w:szCs w:val="24"/>
        </w:rPr>
        <w:t xml:space="preserve"> nuclear data</w:t>
      </w:r>
      <w:r w:rsidR="005020D2">
        <w:rPr>
          <w:rFonts w:ascii="Times New Roman" w:eastAsiaTheme="minorHAnsi" w:hAnsi="Times New Roman"/>
          <w:noProof/>
          <w:color w:val="000000" w:themeColor="text1"/>
          <w:sz w:val="24"/>
          <w:szCs w:val="24"/>
        </w:rPr>
        <w:t>; (ii)</w:t>
      </w:r>
      <w:r w:rsidR="00AB0AF4" w:rsidRPr="002A36AA">
        <w:rPr>
          <w:rFonts w:ascii="Times New Roman" w:eastAsiaTheme="minorHAnsi" w:hAnsi="Times New Roman"/>
          <w:noProof/>
          <w:color w:val="000000" w:themeColor="text1"/>
          <w:sz w:val="24"/>
          <w:szCs w:val="24"/>
        </w:rPr>
        <w:t xml:space="preserve"> reference materials measurement</w:t>
      </w:r>
      <w:r w:rsidR="00B503C3">
        <w:rPr>
          <w:rFonts w:ascii="Times New Roman" w:eastAsiaTheme="minorHAnsi" w:hAnsi="Times New Roman"/>
          <w:noProof/>
          <w:color w:val="000000" w:themeColor="text1"/>
          <w:sz w:val="24"/>
          <w:szCs w:val="24"/>
        </w:rPr>
        <w:t>s</w:t>
      </w:r>
      <w:r w:rsidR="005020D2">
        <w:rPr>
          <w:rFonts w:ascii="Times New Roman" w:eastAsiaTheme="minorHAnsi" w:hAnsi="Times New Roman"/>
          <w:noProof/>
          <w:color w:val="000000" w:themeColor="text1"/>
          <w:sz w:val="24"/>
          <w:szCs w:val="24"/>
        </w:rPr>
        <w:t>;</w:t>
      </w:r>
      <w:r w:rsidR="00AB0AF4" w:rsidRPr="002A36AA">
        <w:rPr>
          <w:rFonts w:ascii="Times New Roman" w:eastAsiaTheme="minorHAnsi" w:hAnsi="Times New Roman"/>
          <w:noProof/>
          <w:color w:val="000000" w:themeColor="text1"/>
          <w:sz w:val="24"/>
          <w:szCs w:val="24"/>
        </w:rPr>
        <w:t xml:space="preserve"> and </w:t>
      </w:r>
      <w:r w:rsidR="005020D2">
        <w:rPr>
          <w:rFonts w:ascii="Times New Roman" w:eastAsiaTheme="minorHAnsi" w:hAnsi="Times New Roman"/>
          <w:noProof/>
          <w:color w:val="000000" w:themeColor="text1"/>
          <w:sz w:val="24"/>
          <w:szCs w:val="24"/>
        </w:rPr>
        <w:t>(i</w:t>
      </w:r>
      <w:r w:rsidR="00D45902">
        <w:rPr>
          <w:rFonts w:ascii="Times New Roman" w:eastAsiaTheme="minorHAnsi" w:hAnsi="Times New Roman"/>
          <w:noProof/>
          <w:color w:val="000000" w:themeColor="text1"/>
          <w:sz w:val="24"/>
          <w:szCs w:val="24"/>
        </w:rPr>
        <w:t>ii</w:t>
      </w:r>
      <w:r w:rsidR="005020D2">
        <w:rPr>
          <w:rFonts w:ascii="Times New Roman" w:eastAsiaTheme="minorHAnsi" w:hAnsi="Times New Roman"/>
          <w:noProof/>
          <w:color w:val="000000" w:themeColor="text1"/>
          <w:sz w:val="24"/>
          <w:szCs w:val="24"/>
        </w:rPr>
        <w:t xml:space="preserve">) </w:t>
      </w:r>
      <w:r w:rsidR="00AB0AF4" w:rsidRPr="002A36AA">
        <w:rPr>
          <w:rFonts w:ascii="Times New Roman" w:eastAsiaTheme="minorHAnsi" w:hAnsi="Times New Roman"/>
          <w:noProof/>
          <w:color w:val="000000" w:themeColor="text1"/>
          <w:sz w:val="24"/>
          <w:szCs w:val="24"/>
        </w:rPr>
        <w:t>conformity tools</w:t>
      </w:r>
      <w:r w:rsidR="005020D2">
        <w:rPr>
          <w:rFonts w:ascii="Times New Roman" w:eastAsiaTheme="minorHAnsi" w:hAnsi="Times New Roman"/>
          <w:noProof/>
          <w:color w:val="000000" w:themeColor="text1"/>
          <w:sz w:val="24"/>
          <w:szCs w:val="24"/>
        </w:rPr>
        <w:t>. These helped</w:t>
      </w:r>
      <w:r>
        <w:rPr>
          <w:rFonts w:ascii="Times New Roman" w:eastAsiaTheme="minorHAnsi" w:hAnsi="Times New Roman"/>
          <w:noProof/>
          <w:color w:val="000000" w:themeColor="text1"/>
          <w:sz w:val="24"/>
          <w:szCs w:val="24"/>
        </w:rPr>
        <w:t xml:space="preserve"> to keep nuclear data up-to-date and available</w:t>
      </w:r>
      <w:r w:rsidR="00ED5091">
        <w:rPr>
          <w:rFonts w:ascii="Times New Roman" w:eastAsiaTheme="minorHAnsi" w:hAnsi="Times New Roman"/>
          <w:noProof/>
          <w:color w:val="000000" w:themeColor="text1"/>
          <w:sz w:val="24"/>
          <w:szCs w:val="24"/>
        </w:rPr>
        <w:t>,</w:t>
      </w:r>
      <w:r>
        <w:rPr>
          <w:rFonts w:ascii="Times New Roman" w:eastAsiaTheme="minorHAnsi" w:hAnsi="Times New Roman"/>
          <w:noProof/>
          <w:color w:val="000000" w:themeColor="text1"/>
          <w:sz w:val="24"/>
          <w:szCs w:val="24"/>
        </w:rPr>
        <w:t xml:space="preserve"> directly contributing to international reference</w:t>
      </w:r>
      <w:r w:rsidR="00ED5091">
        <w:rPr>
          <w:rFonts w:ascii="Times New Roman" w:eastAsiaTheme="minorHAnsi" w:hAnsi="Times New Roman"/>
          <w:noProof/>
          <w:color w:val="000000" w:themeColor="text1"/>
          <w:sz w:val="24"/>
          <w:szCs w:val="24"/>
        </w:rPr>
        <w:t>-</w:t>
      </w:r>
      <w:r>
        <w:rPr>
          <w:rFonts w:ascii="Times New Roman" w:eastAsiaTheme="minorHAnsi" w:hAnsi="Times New Roman"/>
          <w:noProof/>
          <w:color w:val="000000" w:themeColor="text1"/>
          <w:sz w:val="24"/>
          <w:szCs w:val="24"/>
        </w:rPr>
        <w:t>data libraries.</w:t>
      </w:r>
    </w:p>
    <w:p w14:paraId="56629A9C" w14:textId="77777777" w:rsidR="005020D2" w:rsidRDefault="00AB0AF4" w:rsidP="001B42ED">
      <w:pPr>
        <w:pStyle w:val="Body"/>
        <w:spacing w:before="0" w:after="120"/>
        <w:rPr>
          <w:rFonts w:ascii="Times New Roman" w:eastAsiaTheme="minorHAnsi" w:hAnsi="Times New Roman"/>
          <w:b/>
          <w:bCs/>
          <w:noProof/>
          <w:color w:val="000000" w:themeColor="text1"/>
          <w:sz w:val="24"/>
          <w:szCs w:val="24"/>
        </w:rPr>
      </w:pPr>
      <w:r w:rsidRPr="001E3C9B">
        <w:rPr>
          <w:rFonts w:ascii="Times New Roman" w:eastAsiaTheme="minorHAnsi" w:hAnsi="Times New Roman"/>
          <w:b/>
          <w:bCs/>
          <w:noProof/>
          <w:color w:val="000000" w:themeColor="text1"/>
          <w:sz w:val="24"/>
          <w:szCs w:val="24"/>
        </w:rPr>
        <w:t>Objective 4</w:t>
      </w:r>
      <w:r w:rsidR="005020D2">
        <w:rPr>
          <w:rFonts w:ascii="Times New Roman" w:eastAsiaTheme="minorHAnsi" w:hAnsi="Times New Roman"/>
          <w:b/>
          <w:bCs/>
          <w:noProof/>
          <w:color w:val="000000" w:themeColor="text1"/>
          <w:sz w:val="24"/>
          <w:szCs w:val="24"/>
        </w:rPr>
        <w:t>:</w:t>
      </w:r>
      <w:r w:rsidRPr="001E3C9B">
        <w:rPr>
          <w:rFonts w:ascii="Times New Roman" w:eastAsiaTheme="minorHAnsi" w:hAnsi="Times New Roman"/>
          <w:b/>
          <w:bCs/>
          <w:noProof/>
          <w:color w:val="000000" w:themeColor="text1"/>
          <w:sz w:val="24"/>
          <w:szCs w:val="24"/>
        </w:rPr>
        <w:t xml:space="preserve"> Fostering knowledge management, education and training</w:t>
      </w:r>
    </w:p>
    <w:p w14:paraId="1ACE694F" w14:textId="4957C141" w:rsidR="001B42ED" w:rsidRPr="001E3C9B" w:rsidRDefault="001B42ED" w:rsidP="001B42ED">
      <w:pPr>
        <w:pStyle w:val="Body"/>
        <w:spacing w:before="0" w:after="120"/>
        <w:rPr>
          <w:rFonts w:ascii="Times New Roman" w:eastAsiaTheme="minorHAnsi" w:hAnsi="Times New Roman"/>
          <w:noProof/>
          <w:color w:val="000000" w:themeColor="text1"/>
          <w:sz w:val="24"/>
          <w:szCs w:val="24"/>
        </w:rPr>
      </w:pPr>
      <w:r w:rsidRPr="001E3C9B">
        <w:rPr>
          <w:rFonts w:ascii="Times New Roman" w:eastAsiaTheme="minorHAnsi" w:hAnsi="Times New Roman"/>
          <w:noProof/>
          <w:color w:val="000000" w:themeColor="text1"/>
          <w:sz w:val="24"/>
          <w:szCs w:val="24"/>
        </w:rPr>
        <w:t xml:space="preserve">The research infrastructure was made accessible to external users from EU Member States via the </w:t>
      </w:r>
      <w:r w:rsidR="00E86DB0">
        <w:rPr>
          <w:rFonts w:ascii="Times New Roman" w:eastAsiaTheme="minorHAnsi" w:hAnsi="Times New Roman"/>
          <w:noProof/>
          <w:color w:val="000000" w:themeColor="text1"/>
          <w:sz w:val="24"/>
          <w:szCs w:val="24"/>
        </w:rPr>
        <w:t>o</w:t>
      </w:r>
      <w:r w:rsidRPr="00854965">
        <w:rPr>
          <w:rFonts w:ascii="Times New Roman" w:eastAsiaTheme="minorHAnsi" w:hAnsi="Times New Roman"/>
          <w:noProof/>
          <w:color w:val="000000" w:themeColor="text1"/>
          <w:sz w:val="24"/>
          <w:szCs w:val="24"/>
        </w:rPr>
        <w:t>pen</w:t>
      </w:r>
      <w:r w:rsidR="00E86DB0">
        <w:rPr>
          <w:rFonts w:ascii="Times New Roman" w:eastAsiaTheme="minorHAnsi" w:hAnsi="Times New Roman"/>
          <w:noProof/>
          <w:color w:val="000000" w:themeColor="text1"/>
          <w:sz w:val="24"/>
          <w:szCs w:val="24"/>
        </w:rPr>
        <w:t>-a</w:t>
      </w:r>
      <w:r w:rsidRPr="00854965">
        <w:rPr>
          <w:rFonts w:ascii="Times New Roman" w:eastAsiaTheme="minorHAnsi" w:hAnsi="Times New Roman"/>
          <w:noProof/>
          <w:color w:val="000000" w:themeColor="text1"/>
          <w:sz w:val="24"/>
          <w:szCs w:val="24"/>
        </w:rPr>
        <w:t>ccess programme</w:t>
      </w:r>
      <w:r w:rsidRPr="001E3C9B">
        <w:rPr>
          <w:rFonts w:ascii="Times New Roman" w:eastAsiaTheme="minorHAnsi" w:hAnsi="Times New Roman"/>
          <w:noProof/>
          <w:color w:val="000000" w:themeColor="text1"/>
          <w:sz w:val="24"/>
          <w:szCs w:val="24"/>
        </w:rPr>
        <w:t>, as a way to complement national research and optimi</w:t>
      </w:r>
      <w:r w:rsidR="00693BDF" w:rsidRPr="001E3C9B">
        <w:rPr>
          <w:rFonts w:ascii="Times New Roman" w:eastAsiaTheme="minorHAnsi" w:hAnsi="Times New Roman"/>
          <w:noProof/>
          <w:color w:val="000000" w:themeColor="text1"/>
          <w:sz w:val="24"/>
          <w:szCs w:val="24"/>
        </w:rPr>
        <w:t>s</w:t>
      </w:r>
      <w:r w:rsidRPr="001E3C9B">
        <w:rPr>
          <w:rFonts w:ascii="Times New Roman" w:eastAsiaTheme="minorHAnsi" w:hAnsi="Times New Roman"/>
          <w:noProof/>
          <w:color w:val="000000" w:themeColor="text1"/>
          <w:sz w:val="24"/>
          <w:szCs w:val="24"/>
        </w:rPr>
        <w:t xml:space="preserve">e the use of highly specialised infrastructure within Euratom. This </w:t>
      </w:r>
      <w:r w:rsidR="00AB0AF4">
        <w:rPr>
          <w:rFonts w:ascii="Times New Roman" w:eastAsiaTheme="minorHAnsi" w:hAnsi="Times New Roman"/>
          <w:noProof/>
          <w:color w:val="000000" w:themeColor="text1"/>
          <w:sz w:val="24"/>
          <w:szCs w:val="24"/>
        </w:rPr>
        <w:t>enabled</w:t>
      </w:r>
      <w:r w:rsidR="00AB0AF4" w:rsidRPr="001E3C9B">
        <w:rPr>
          <w:rFonts w:ascii="Times New Roman" w:eastAsiaTheme="minorHAnsi" w:hAnsi="Times New Roman"/>
          <w:noProof/>
          <w:color w:val="000000" w:themeColor="text1"/>
          <w:sz w:val="24"/>
          <w:szCs w:val="24"/>
        </w:rPr>
        <w:t xml:space="preserve"> </w:t>
      </w:r>
      <w:r w:rsidRPr="001E3C9B">
        <w:rPr>
          <w:rFonts w:ascii="Times New Roman" w:eastAsiaTheme="minorHAnsi" w:hAnsi="Times New Roman"/>
          <w:noProof/>
          <w:color w:val="000000" w:themeColor="text1"/>
          <w:sz w:val="24"/>
          <w:szCs w:val="24"/>
        </w:rPr>
        <w:t>the JRC to continue playing a key role in knowledge management</w:t>
      </w:r>
      <w:r w:rsidR="00ED5091">
        <w:rPr>
          <w:rFonts w:ascii="Times New Roman" w:eastAsiaTheme="minorHAnsi" w:hAnsi="Times New Roman"/>
          <w:noProof/>
          <w:color w:val="000000" w:themeColor="text1"/>
          <w:sz w:val="24"/>
          <w:szCs w:val="24"/>
        </w:rPr>
        <w:t xml:space="preserve">, </w:t>
      </w:r>
      <w:r w:rsidRPr="001E3C9B">
        <w:rPr>
          <w:rFonts w:ascii="Times New Roman" w:eastAsiaTheme="minorHAnsi" w:hAnsi="Times New Roman"/>
          <w:noProof/>
          <w:color w:val="000000" w:themeColor="text1"/>
          <w:sz w:val="24"/>
          <w:szCs w:val="24"/>
        </w:rPr>
        <w:t>education and training</w:t>
      </w:r>
      <w:r w:rsidR="005020D2">
        <w:rPr>
          <w:rFonts w:ascii="Times New Roman" w:eastAsiaTheme="minorHAnsi" w:hAnsi="Times New Roman"/>
          <w:noProof/>
          <w:color w:val="000000" w:themeColor="text1"/>
          <w:sz w:val="24"/>
          <w:szCs w:val="24"/>
        </w:rPr>
        <w:t xml:space="preserve">. </w:t>
      </w:r>
      <w:r w:rsidR="004C4CCD">
        <w:rPr>
          <w:rFonts w:ascii="Times New Roman" w:eastAsiaTheme="minorHAnsi" w:hAnsi="Times New Roman"/>
          <w:noProof/>
          <w:color w:val="000000" w:themeColor="text1"/>
          <w:sz w:val="24"/>
          <w:szCs w:val="24"/>
        </w:rPr>
        <w:t xml:space="preserve">The JRC also promoted knowledge and training through </w:t>
      </w:r>
      <w:r w:rsidRPr="001E3C9B">
        <w:rPr>
          <w:rFonts w:ascii="Times New Roman" w:eastAsiaTheme="minorHAnsi" w:hAnsi="Times New Roman"/>
          <w:noProof/>
          <w:color w:val="000000" w:themeColor="text1"/>
          <w:sz w:val="24"/>
          <w:szCs w:val="24"/>
        </w:rPr>
        <w:t>various courses and training</w:t>
      </w:r>
      <w:r w:rsidR="00D45902">
        <w:rPr>
          <w:rFonts w:ascii="Times New Roman" w:eastAsiaTheme="minorHAnsi" w:hAnsi="Times New Roman"/>
          <w:noProof/>
          <w:color w:val="000000" w:themeColor="text1"/>
          <w:sz w:val="24"/>
          <w:szCs w:val="24"/>
        </w:rPr>
        <w:t>s</w:t>
      </w:r>
      <w:r w:rsidRPr="001E3C9B">
        <w:rPr>
          <w:rFonts w:ascii="Times New Roman" w:eastAsiaTheme="minorHAnsi" w:hAnsi="Times New Roman"/>
          <w:noProof/>
          <w:color w:val="000000" w:themeColor="text1"/>
          <w:sz w:val="24"/>
          <w:szCs w:val="24"/>
        </w:rPr>
        <w:t xml:space="preserve">. </w:t>
      </w:r>
    </w:p>
    <w:p w14:paraId="54820AB7" w14:textId="2B54557C" w:rsidR="00AB0AF4" w:rsidRPr="001E3C9B" w:rsidRDefault="00AB0AF4" w:rsidP="00A1670D">
      <w:pPr>
        <w:pStyle w:val="Body"/>
        <w:spacing w:before="0" w:after="120"/>
        <w:rPr>
          <w:rFonts w:ascii="Times New Roman" w:eastAsiaTheme="minorHAnsi" w:hAnsi="Times New Roman"/>
          <w:b/>
          <w:bCs/>
          <w:noProof/>
          <w:color w:val="000000" w:themeColor="text1"/>
          <w:sz w:val="24"/>
          <w:szCs w:val="24"/>
        </w:rPr>
      </w:pPr>
      <w:r w:rsidRPr="001E3C9B">
        <w:rPr>
          <w:rFonts w:ascii="Times New Roman" w:eastAsiaTheme="minorHAnsi" w:hAnsi="Times New Roman"/>
          <w:b/>
          <w:bCs/>
          <w:noProof/>
          <w:color w:val="000000" w:themeColor="text1"/>
          <w:sz w:val="24"/>
          <w:szCs w:val="24"/>
        </w:rPr>
        <w:t>Objective 5</w:t>
      </w:r>
      <w:r w:rsidR="000F703C">
        <w:rPr>
          <w:rFonts w:ascii="Times New Roman" w:eastAsiaTheme="minorHAnsi" w:hAnsi="Times New Roman"/>
          <w:b/>
          <w:bCs/>
          <w:noProof/>
          <w:color w:val="000000" w:themeColor="text1"/>
          <w:sz w:val="24"/>
          <w:szCs w:val="24"/>
        </w:rPr>
        <w:t>:</w:t>
      </w:r>
      <w:r w:rsidRPr="001E3C9B">
        <w:rPr>
          <w:rFonts w:ascii="Times New Roman" w:eastAsiaTheme="minorHAnsi" w:hAnsi="Times New Roman"/>
          <w:b/>
          <w:bCs/>
          <w:noProof/>
          <w:color w:val="000000" w:themeColor="text1"/>
          <w:sz w:val="24"/>
          <w:szCs w:val="24"/>
        </w:rPr>
        <w:t xml:space="preserve"> Supporting </w:t>
      </w:r>
      <w:r w:rsidR="000F703C">
        <w:rPr>
          <w:rFonts w:ascii="Times New Roman" w:eastAsiaTheme="minorHAnsi" w:hAnsi="Times New Roman"/>
          <w:b/>
          <w:bCs/>
          <w:noProof/>
          <w:color w:val="000000" w:themeColor="text1"/>
          <w:sz w:val="24"/>
          <w:szCs w:val="24"/>
        </w:rPr>
        <w:t>EU</w:t>
      </w:r>
      <w:r w:rsidR="000F703C" w:rsidRPr="001E3C9B">
        <w:rPr>
          <w:rFonts w:ascii="Times New Roman" w:eastAsiaTheme="minorHAnsi" w:hAnsi="Times New Roman"/>
          <w:b/>
          <w:bCs/>
          <w:noProof/>
          <w:color w:val="000000" w:themeColor="text1"/>
          <w:sz w:val="24"/>
          <w:szCs w:val="24"/>
        </w:rPr>
        <w:t xml:space="preserve"> </w:t>
      </w:r>
      <w:r w:rsidRPr="001E3C9B">
        <w:rPr>
          <w:rFonts w:ascii="Times New Roman" w:eastAsiaTheme="minorHAnsi" w:hAnsi="Times New Roman"/>
          <w:b/>
          <w:bCs/>
          <w:noProof/>
          <w:color w:val="000000" w:themeColor="text1"/>
          <w:sz w:val="24"/>
          <w:szCs w:val="24"/>
        </w:rPr>
        <w:t>policy on nuclear safety and security</w:t>
      </w:r>
    </w:p>
    <w:p w14:paraId="729DC7CD" w14:textId="452F8822" w:rsidR="00A1670D" w:rsidRDefault="00D60DFA" w:rsidP="00A1670D">
      <w:pPr>
        <w:pStyle w:val="Body"/>
        <w:spacing w:before="0" w:after="120"/>
        <w:rPr>
          <w:rFonts w:ascii="Times New Roman" w:eastAsiaTheme="minorHAnsi" w:hAnsi="Times New Roman"/>
          <w:noProof/>
          <w:color w:val="000000" w:themeColor="text1"/>
          <w:sz w:val="24"/>
          <w:szCs w:val="24"/>
        </w:rPr>
      </w:pPr>
      <w:r>
        <w:rPr>
          <w:rFonts w:ascii="Times New Roman" w:eastAsiaTheme="minorHAnsi" w:hAnsi="Times New Roman"/>
          <w:noProof/>
          <w:color w:val="000000" w:themeColor="text1"/>
          <w:sz w:val="24"/>
          <w:szCs w:val="24"/>
        </w:rPr>
        <w:t xml:space="preserve">The </w:t>
      </w:r>
      <w:r w:rsidR="00AF7701">
        <w:rPr>
          <w:rFonts w:ascii="Times New Roman" w:eastAsiaTheme="minorHAnsi" w:hAnsi="Times New Roman"/>
          <w:noProof/>
          <w:color w:val="000000" w:themeColor="text1"/>
          <w:sz w:val="24"/>
          <w:szCs w:val="24"/>
        </w:rPr>
        <w:t>JRC’s t</w:t>
      </w:r>
      <w:r w:rsidR="00A1670D" w:rsidRPr="00795074">
        <w:rPr>
          <w:rFonts w:ascii="Times New Roman" w:eastAsiaTheme="minorHAnsi" w:hAnsi="Times New Roman"/>
          <w:noProof/>
          <w:color w:val="000000" w:themeColor="text1"/>
          <w:sz w:val="24"/>
          <w:szCs w:val="24"/>
        </w:rPr>
        <w:t xml:space="preserve">echnical expertise </w:t>
      </w:r>
      <w:r w:rsidR="00BE0D9D">
        <w:rPr>
          <w:rFonts w:ascii="Times New Roman" w:eastAsiaTheme="minorHAnsi" w:hAnsi="Times New Roman"/>
          <w:noProof/>
          <w:color w:val="000000" w:themeColor="text1"/>
          <w:sz w:val="24"/>
          <w:szCs w:val="24"/>
        </w:rPr>
        <w:t xml:space="preserve">helped </w:t>
      </w:r>
      <w:r w:rsidR="00A1670D" w:rsidRPr="00795074">
        <w:rPr>
          <w:rFonts w:ascii="Times New Roman" w:eastAsiaTheme="minorHAnsi" w:hAnsi="Times New Roman"/>
          <w:noProof/>
          <w:color w:val="000000" w:themeColor="text1"/>
          <w:sz w:val="24"/>
          <w:szCs w:val="24"/>
        </w:rPr>
        <w:t>support</w:t>
      </w:r>
      <w:r w:rsidR="00BE0D9D">
        <w:rPr>
          <w:rFonts w:ascii="Times New Roman" w:eastAsiaTheme="minorHAnsi" w:hAnsi="Times New Roman"/>
          <w:noProof/>
          <w:color w:val="000000" w:themeColor="text1"/>
          <w:sz w:val="24"/>
          <w:szCs w:val="24"/>
        </w:rPr>
        <w:t xml:space="preserve"> a variety of activities in nuclear safety and security. F</w:t>
      </w:r>
      <w:r w:rsidR="00AE70BD">
        <w:rPr>
          <w:rFonts w:ascii="Times New Roman" w:eastAsiaTheme="minorHAnsi" w:hAnsi="Times New Roman"/>
          <w:noProof/>
          <w:color w:val="000000" w:themeColor="text1"/>
          <w:sz w:val="24"/>
          <w:szCs w:val="24"/>
        </w:rPr>
        <w:t>or example</w:t>
      </w:r>
      <w:r w:rsidR="00BE0D9D">
        <w:rPr>
          <w:rFonts w:ascii="Times New Roman" w:eastAsiaTheme="minorHAnsi" w:hAnsi="Times New Roman"/>
          <w:noProof/>
          <w:color w:val="000000" w:themeColor="text1"/>
          <w:sz w:val="24"/>
          <w:szCs w:val="24"/>
        </w:rPr>
        <w:t>, the JRC supported</w:t>
      </w:r>
      <w:r w:rsidR="00A1670D" w:rsidRPr="00795074">
        <w:rPr>
          <w:rFonts w:ascii="Times New Roman" w:eastAsiaTheme="minorHAnsi" w:hAnsi="Times New Roman"/>
          <w:noProof/>
          <w:color w:val="000000" w:themeColor="text1"/>
          <w:sz w:val="24"/>
          <w:szCs w:val="24"/>
        </w:rPr>
        <w:t xml:space="preserve"> the implementation of the Directive on the safe management of </w:t>
      </w:r>
      <w:r w:rsidR="00B503C3">
        <w:rPr>
          <w:rFonts w:ascii="Times New Roman" w:eastAsiaTheme="minorHAnsi" w:hAnsi="Times New Roman"/>
          <w:noProof/>
          <w:color w:val="000000" w:themeColor="text1"/>
          <w:sz w:val="24"/>
          <w:szCs w:val="24"/>
        </w:rPr>
        <w:t>radioactive</w:t>
      </w:r>
      <w:r w:rsidR="00B503C3" w:rsidRPr="00795074">
        <w:rPr>
          <w:rFonts w:ascii="Times New Roman" w:eastAsiaTheme="minorHAnsi" w:hAnsi="Times New Roman"/>
          <w:noProof/>
          <w:color w:val="000000" w:themeColor="text1"/>
          <w:sz w:val="24"/>
          <w:szCs w:val="24"/>
        </w:rPr>
        <w:t xml:space="preserve"> </w:t>
      </w:r>
      <w:r w:rsidR="00A1670D" w:rsidRPr="00795074">
        <w:rPr>
          <w:rFonts w:ascii="Times New Roman" w:eastAsiaTheme="minorHAnsi" w:hAnsi="Times New Roman"/>
          <w:noProof/>
          <w:color w:val="000000" w:themeColor="text1"/>
          <w:sz w:val="24"/>
          <w:szCs w:val="24"/>
        </w:rPr>
        <w:t>waste and spent fuel</w:t>
      </w:r>
      <w:r w:rsidR="00B503C3">
        <w:rPr>
          <w:rFonts w:ascii="Times New Roman" w:eastAsiaTheme="minorHAnsi" w:hAnsi="Times New Roman"/>
          <w:noProof/>
          <w:color w:val="000000" w:themeColor="text1"/>
          <w:sz w:val="24"/>
          <w:szCs w:val="24"/>
        </w:rPr>
        <w:t xml:space="preserve">, </w:t>
      </w:r>
      <w:r w:rsidR="00C01800">
        <w:rPr>
          <w:rFonts w:ascii="Times New Roman" w:eastAsiaTheme="minorHAnsi" w:hAnsi="Times New Roman"/>
          <w:noProof/>
          <w:color w:val="000000" w:themeColor="text1"/>
          <w:sz w:val="24"/>
          <w:szCs w:val="24"/>
        </w:rPr>
        <w:t>by</w:t>
      </w:r>
      <w:r w:rsidR="00C01800" w:rsidRPr="00795074">
        <w:rPr>
          <w:rFonts w:ascii="Times New Roman" w:eastAsiaTheme="minorHAnsi" w:hAnsi="Times New Roman"/>
          <w:noProof/>
          <w:color w:val="000000" w:themeColor="text1"/>
          <w:sz w:val="24"/>
          <w:szCs w:val="24"/>
        </w:rPr>
        <w:t xml:space="preserve"> </w:t>
      </w:r>
      <w:r w:rsidR="00A1670D" w:rsidRPr="00795074">
        <w:rPr>
          <w:rFonts w:ascii="Times New Roman" w:eastAsiaTheme="minorHAnsi" w:hAnsi="Times New Roman"/>
          <w:noProof/>
          <w:color w:val="000000" w:themeColor="text1"/>
          <w:sz w:val="24"/>
          <w:szCs w:val="24"/>
        </w:rPr>
        <w:t>reviewing national programmes and periodic national reports</w:t>
      </w:r>
      <w:r w:rsidR="00B503C3">
        <w:rPr>
          <w:rFonts w:ascii="Times New Roman" w:eastAsiaTheme="minorHAnsi" w:hAnsi="Times New Roman"/>
          <w:noProof/>
          <w:color w:val="000000" w:themeColor="text1"/>
          <w:sz w:val="24"/>
          <w:szCs w:val="24"/>
        </w:rPr>
        <w:t xml:space="preserve">. The JRC also </w:t>
      </w:r>
      <w:r w:rsidR="00AE70BD">
        <w:rPr>
          <w:rFonts w:ascii="Times New Roman" w:eastAsiaTheme="minorHAnsi" w:hAnsi="Times New Roman"/>
          <w:noProof/>
          <w:color w:val="000000" w:themeColor="text1"/>
          <w:sz w:val="24"/>
          <w:szCs w:val="24"/>
        </w:rPr>
        <w:t>support</w:t>
      </w:r>
      <w:r w:rsidR="00B503C3">
        <w:rPr>
          <w:rFonts w:ascii="Times New Roman" w:eastAsiaTheme="minorHAnsi" w:hAnsi="Times New Roman"/>
          <w:noProof/>
          <w:color w:val="000000" w:themeColor="text1"/>
          <w:sz w:val="24"/>
          <w:szCs w:val="24"/>
        </w:rPr>
        <w:t>ed</w:t>
      </w:r>
      <w:r w:rsidR="00AE70BD">
        <w:rPr>
          <w:rFonts w:ascii="Times New Roman" w:eastAsiaTheme="minorHAnsi" w:hAnsi="Times New Roman"/>
          <w:noProof/>
          <w:color w:val="000000" w:themeColor="text1"/>
          <w:sz w:val="24"/>
          <w:szCs w:val="24"/>
        </w:rPr>
        <w:t xml:space="preserve"> </w:t>
      </w:r>
      <w:r w:rsidR="00BE0D9D">
        <w:rPr>
          <w:rFonts w:ascii="Times New Roman" w:eastAsiaTheme="minorHAnsi" w:hAnsi="Times New Roman"/>
          <w:noProof/>
          <w:color w:val="000000" w:themeColor="text1"/>
          <w:sz w:val="24"/>
          <w:szCs w:val="24"/>
        </w:rPr>
        <w:t xml:space="preserve">the implementation of safeguards in the EU </w:t>
      </w:r>
      <w:r>
        <w:rPr>
          <w:rFonts w:ascii="Times New Roman" w:eastAsiaTheme="minorHAnsi" w:hAnsi="Times New Roman"/>
          <w:noProof/>
          <w:color w:val="000000" w:themeColor="text1"/>
          <w:sz w:val="24"/>
          <w:szCs w:val="24"/>
        </w:rPr>
        <w:t>a</w:t>
      </w:r>
      <w:r w:rsidR="00BF43F5">
        <w:rPr>
          <w:rFonts w:ascii="Times New Roman" w:eastAsiaTheme="minorHAnsi" w:hAnsi="Times New Roman"/>
          <w:noProof/>
          <w:color w:val="000000" w:themeColor="text1"/>
          <w:sz w:val="24"/>
          <w:szCs w:val="24"/>
        </w:rPr>
        <w:t xml:space="preserve">s part of the legal obligation derived from </w:t>
      </w:r>
      <w:r w:rsidR="00B82B2C">
        <w:rPr>
          <w:rFonts w:ascii="Times New Roman" w:eastAsiaTheme="minorHAnsi" w:hAnsi="Times New Roman"/>
          <w:noProof/>
          <w:color w:val="000000" w:themeColor="text1"/>
          <w:sz w:val="24"/>
          <w:szCs w:val="24"/>
        </w:rPr>
        <w:t>Chapter</w:t>
      </w:r>
      <w:r w:rsidR="00BE0D9D">
        <w:rPr>
          <w:rFonts w:ascii="Times New Roman" w:eastAsiaTheme="minorHAnsi" w:hAnsi="Times New Roman"/>
          <w:noProof/>
          <w:color w:val="000000" w:themeColor="text1"/>
          <w:sz w:val="24"/>
          <w:szCs w:val="24"/>
        </w:rPr>
        <w:t xml:space="preserve"> </w:t>
      </w:r>
      <w:r w:rsidR="00BF43F5">
        <w:rPr>
          <w:rFonts w:ascii="Times New Roman" w:eastAsiaTheme="minorHAnsi" w:hAnsi="Times New Roman"/>
          <w:noProof/>
          <w:color w:val="000000" w:themeColor="text1"/>
          <w:sz w:val="24"/>
          <w:szCs w:val="24"/>
        </w:rPr>
        <w:t>7 of the Euratom Treaty</w:t>
      </w:r>
      <w:r>
        <w:rPr>
          <w:rFonts w:ascii="Times New Roman" w:eastAsiaTheme="minorHAnsi" w:hAnsi="Times New Roman"/>
          <w:noProof/>
          <w:color w:val="000000" w:themeColor="text1"/>
          <w:sz w:val="24"/>
          <w:szCs w:val="24"/>
        </w:rPr>
        <w:t>.</w:t>
      </w:r>
      <w:r w:rsidR="00BF43F5">
        <w:rPr>
          <w:rFonts w:ascii="Times New Roman" w:eastAsiaTheme="minorHAnsi" w:hAnsi="Times New Roman"/>
          <w:noProof/>
          <w:color w:val="000000" w:themeColor="text1"/>
          <w:sz w:val="24"/>
          <w:szCs w:val="24"/>
        </w:rPr>
        <w:t xml:space="preserve"> </w:t>
      </w:r>
      <w:r>
        <w:rPr>
          <w:rFonts w:ascii="Times New Roman" w:eastAsiaTheme="minorHAnsi" w:hAnsi="Times New Roman"/>
          <w:noProof/>
          <w:color w:val="000000" w:themeColor="text1"/>
          <w:sz w:val="24"/>
          <w:szCs w:val="24"/>
        </w:rPr>
        <w:t>T</w:t>
      </w:r>
      <w:r w:rsidR="00BF43F5">
        <w:rPr>
          <w:rFonts w:ascii="Times New Roman" w:eastAsiaTheme="minorHAnsi" w:hAnsi="Times New Roman"/>
          <w:noProof/>
          <w:color w:val="000000" w:themeColor="text1"/>
          <w:sz w:val="24"/>
          <w:szCs w:val="24"/>
        </w:rPr>
        <w:t xml:space="preserve">he JRC </w:t>
      </w:r>
      <w:r w:rsidR="00BE0D9D">
        <w:rPr>
          <w:rFonts w:ascii="Times New Roman" w:eastAsiaTheme="minorHAnsi" w:hAnsi="Times New Roman"/>
          <w:noProof/>
          <w:color w:val="000000" w:themeColor="text1"/>
          <w:sz w:val="24"/>
          <w:szCs w:val="24"/>
        </w:rPr>
        <w:t>carr</w:t>
      </w:r>
      <w:r w:rsidR="00B503C3">
        <w:rPr>
          <w:rFonts w:ascii="Times New Roman" w:eastAsiaTheme="minorHAnsi" w:hAnsi="Times New Roman"/>
          <w:noProof/>
          <w:color w:val="000000" w:themeColor="text1"/>
          <w:sz w:val="24"/>
          <w:szCs w:val="24"/>
        </w:rPr>
        <w:t>ied</w:t>
      </w:r>
      <w:r w:rsidR="00BE0D9D">
        <w:rPr>
          <w:rFonts w:ascii="Times New Roman" w:eastAsiaTheme="minorHAnsi" w:hAnsi="Times New Roman"/>
          <w:noProof/>
          <w:color w:val="000000" w:themeColor="text1"/>
          <w:sz w:val="24"/>
          <w:szCs w:val="24"/>
        </w:rPr>
        <w:t xml:space="preserve"> out</w:t>
      </w:r>
      <w:r w:rsidR="00BF43F5">
        <w:rPr>
          <w:rFonts w:ascii="Times New Roman" w:eastAsiaTheme="minorHAnsi" w:hAnsi="Times New Roman"/>
          <w:noProof/>
          <w:color w:val="000000" w:themeColor="text1"/>
          <w:sz w:val="24"/>
          <w:szCs w:val="24"/>
        </w:rPr>
        <w:t xml:space="preserve"> dedicated activities </w:t>
      </w:r>
      <w:r w:rsidR="00C01800">
        <w:rPr>
          <w:rFonts w:ascii="Times New Roman" w:eastAsiaTheme="minorHAnsi" w:hAnsi="Times New Roman"/>
          <w:noProof/>
          <w:color w:val="000000" w:themeColor="text1"/>
          <w:sz w:val="24"/>
          <w:szCs w:val="24"/>
        </w:rPr>
        <w:t xml:space="preserve">to </w:t>
      </w:r>
      <w:r w:rsidR="00BF43F5">
        <w:rPr>
          <w:rFonts w:ascii="Times New Roman" w:eastAsiaTheme="minorHAnsi" w:hAnsi="Times New Roman"/>
          <w:noProof/>
          <w:color w:val="000000" w:themeColor="text1"/>
          <w:sz w:val="24"/>
          <w:szCs w:val="24"/>
        </w:rPr>
        <w:t>develop concepts, tools and methodologies directly supporting EU policy in this area.</w:t>
      </w:r>
      <w:r>
        <w:rPr>
          <w:rFonts w:ascii="Times New Roman" w:eastAsiaTheme="minorHAnsi" w:hAnsi="Times New Roman"/>
          <w:noProof/>
          <w:color w:val="000000" w:themeColor="text1"/>
          <w:sz w:val="24"/>
          <w:szCs w:val="24"/>
        </w:rPr>
        <w:t xml:space="preserve"> </w:t>
      </w:r>
      <w:r w:rsidR="00A1670D">
        <w:rPr>
          <w:rFonts w:ascii="Times New Roman" w:eastAsiaTheme="minorHAnsi" w:hAnsi="Times New Roman"/>
          <w:noProof/>
          <w:color w:val="000000" w:themeColor="text1"/>
          <w:sz w:val="24"/>
          <w:szCs w:val="24"/>
        </w:rPr>
        <w:t xml:space="preserve">Improving nuclear safety outside of the EU has also been achieved through the Instrument for Nuclear Safety Cooperation, </w:t>
      </w:r>
      <w:r w:rsidR="00BE0D9D">
        <w:rPr>
          <w:rFonts w:ascii="Times New Roman" w:eastAsiaTheme="minorHAnsi" w:hAnsi="Times New Roman"/>
          <w:noProof/>
          <w:color w:val="000000" w:themeColor="text1"/>
          <w:sz w:val="24"/>
          <w:szCs w:val="24"/>
        </w:rPr>
        <w:t xml:space="preserve">the </w:t>
      </w:r>
      <w:r w:rsidR="00A1670D">
        <w:rPr>
          <w:rFonts w:ascii="Times New Roman" w:eastAsiaTheme="minorHAnsi" w:hAnsi="Times New Roman"/>
          <w:noProof/>
          <w:color w:val="000000" w:themeColor="text1"/>
          <w:sz w:val="24"/>
          <w:szCs w:val="24"/>
        </w:rPr>
        <w:t>effective implementation</w:t>
      </w:r>
      <w:r w:rsidR="00BE0D9D">
        <w:rPr>
          <w:rFonts w:ascii="Times New Roman" w:eastAsiaTheme="minorHAnsi" w:hAnsi="Times New Roman"/>
          <w:noProof/>
          <w:color w:val="000000" w:themeColor="text1"/>
          <w:sz w:val="24"/>
          <w:szCs w:val="24"/>
        </w:rPr>
        <w:t xml:space="preserve"> of which</w:t>
      </w:r>
      <w:r w:rsidR="00A1670D">
        <w:rPr>
          <w:rFonts w:ascii="Times New Roman" w:eastAsiaTheme="minorHAnsi" w:hAnsi="Times New Roman"/>
          <w:noProof/>
          <w:color w:val="000000" w:themeColor="text1"/>
          <w:sz w:val="24"/>
          <w:szCs w:val="24"/>
        </w:rPr>
        <w:t xml:space="preserve"> is supported by the JRC. </w:t>
      </w:r>
    </w:p>
    <w:p w14:paraId="5A0096CD" w14:textId="76FCA455" w:rsidR="00A433F8" w:rsidRPr="00601741" w:rsidRDefault="00BF43F5">
      <w:pPr>
        <w:pStyle w:val="Body"/>
        <w:spacing w:before="0" w:after="120"/>
        <w:rPr>
          <w:rFonts w:ascii="Times New Roman" w:eastAsiaTheme="minorHAnsi" w:hAnsi="Times New Roman"/>
          <w:noProof/>
          <w:color w:val="000000" w:themeColor="text1"/>
          <w:sz w:val="24"/>
          <w:szCs w:val="24"/>
        </w:rPr>
      </w:pPr>
      <w:r>
        <w:rPr>
          <w:rFonts w:ascii="Times New Roman" w:eastAsiaTheme="minorHAnsi" w:hAnsi="Times New Roman"/>
          <w:noProof/>
          <w:color w:val="000000" w:themeColor="text1"/>
          <w:sz w:val="24"/>
          <w:szCs w:val="24"/>
        </w:rPr>
        <w:t xml:space="preserve">In the area of nuclear security and CBRN risks, the JRC has supported Commission programmes in </w:t>
      </w:r>
      <w:r w:rsidR="00BE0D9D">
        <w:rPr>
          <w:rFonts w:ascii="Times New Roman" w:eastAsiaTheme="minorHAnsi" w:hAnsi="Times New Roman"/>
          <w:noProof/>
          <w:color w:val="000000" w:themeColor="text1"/>
          <w:sz w:val="24"/>
          <w:szCs w:val="24"/>
        </w:rPr>
        <w:t xml:space="preserve">non-EU </w:t>
      </w:r>
      <w:r>
        <w:rPr>
          <w:rFonts w:ascii="Times New Roman" w:eastAsiaTheme="minorHAnsi" w:hAnsi="Times New Roman"/>
          <w:noProof/>
          <w:color w:val="000000" w:themeColor="text1"/>
          <w:sz w:val="24"/>
          <w:szCs w:val="24"/>
        </w:rPr>
        <w:t>countries through the Instrument contributing to Stability and Peace.</w:t>
      </w:r>
    </w:p>
    <w:p w14:paraId="63A62870" w14:textId="0CB19880" w:rsidR="00A433F8" w:rsidRDefault="00802D92">
      <w:pPr>
        <w:pStyle w:val="Heading2"/>
        <w:spacing w:before="0" w:after="120"/>
        <w:rPr>
          <w:rFonts w:ascii="Times New Roman" w:hAnsi="Times New Roman" w:cs="Times New Roman"/>
          <w:noProof/>
          <w:color w:val="000000" w:themeColor="text1"/>
        </w:rPr>
      </w:pPr>
      <w:r>
        <w:rPr>
          <w:rFonts w:ascii="Times New Roman" w:hAnsi="Times New Roman" w:cs="Times New Roman"/>
          <w:noProof/>
          <w:color w:val="000000" w:themeColor="text1"/>
        </w:rPr>
        <w:t>Programme efficiency</w:t>
      </w:r>
    </w:p>
    <w:p w14:paraId="64D3D4D4" w14:textId="105AFED2" w:rsidR="000B0127" w:rsidRPr="001E3C9B" w:rsidRDefault="000B0127" w:rsidP="000B0127">
      <w:pPr>
        <w:spacing w:after="120"/>
        <w:jc w:val="both"/>
        <w:rPr>
          <w:rFonts w:ascii="Times New Roman" w:hAnsi="Times New Roman" w:cs="Times New Roman"/>
          <w:i/>
          <w:iCs/>
          <w:noProof/>
          <w:color w:val="000000" w:themeColor="text1"/>
          <w:sz w:val="24"/>
          <w:szCs w:val="24"/>
          <w:lang w:val="mt-MT"/>
        </w:rPr>
      </w:pPr>
      <w:r w:rsidRPr="001E3C9B">
        <w:rPr>
          <w:rFonts w:ascii="Times New Roman" w:hAnsi="Times New Roman" w:cs="Times New Roman"/>
          <w:i/>
          <w:iCs/>
          <w:noProof/>
          <w:color w:val="000000" w:themeColor="text1"/>
          <w:sz w:val="24"/>
          <w:szCs w:val="24"/>
          <w:lang w:val="mt-MT"/>
        </w:rPr>
        <w:t>Indirect actions</w:t>
      </w:r>
    </w:p>
    <w:p w14:paraId="6170AD76" w14:textId="11A4498C" w:rsidR="000B0127" w:rsidRPr="001E3C9B" w:rsidRDefault="000B0127" w:rsidP="000B0127">
      <w:pPr>
        <w:spacing w:after="120"/>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lang w:val="mt-MT"/>
        </w:rPr>
        <w:t>O</w:t>
      </w:r>
      <w:r w:rsidRPr="001E3C9B">
        <w:rPr>
          <w:rFonts w:ascii="Times New Roman" w:hAnsi="Times New Roman" w:cs="Times New Roman"/>
          <w:noProof/>
          <w:color w:val="000000" w:themeColor="text1"/>
          <w:sz w:val="24"/>
          <w:szCs w:val="24"/>
        </w:rPr>
        <w:t>verall</w:t>
      </w:r>
      <w:r w:rsidRPr="001E3C9B">
        <w:rPr>
          <w:rFonts w:ascii="Times New Roman" w:hAnsi="Times New Roman" w:cs="Times New Roman"/>
          <w:noProof/>
          <w:color w:val="000000" w:themeColor="text1"/>
          <w:sz w:val="24"/>
          <w:szCs w:val="24"/>
          <w:lang w:val="mt-MT"/>
        </w:rPr>
        <w:t>,</w:t>
      </w:r>
      <w:r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lang w:val="mt-MT"/>
        </w:rPr>
        <w:t>t</w:t>
      </w:r>
      <w:r w:rsidRPr="001E3C9B">
        <w:rPr>
          <w:rFonts w:ascii="Times New Roman" w:hAnsi="Times New Roman" w:cs="Times New Roman"/>
          <w:noProof/>
          <w:color w:val="000000" w:themeColor="text1"/>
          <w:sz w:val="24"/>
          <w:szCs w:val="24"/>
        </w:rPr>
        <w:t xml:space="preserve">he </w:t>
      </w:r>
      <w:r w:rsidRPr="00C7423D">
        <w:rPr>
          <w:rFonts w:ascii="Times New Roman" w:hAnsi="Times New Roman" w:cs="Times New Roman"/>
          <w:i/>
          <w:noProof/>
          <w:color w:val="000000" w:themeColor="text1"/>
          <w:sz w:val="24"/>
          <w:szCs w:val="24"/>
        </w:rPr>
        <w:t>ex</w:t>
      </w:r>
      <w:r w:rsidR="001C76E1" w:rsidRPr="00C7423D">
        <w:rPr>
          <w:rFonts w:ascii="Times New Roman" w:hAnsi="Times New Roman" w:cs="Times New Roman"/>
          <w:i/>
          <w:noProof/>
          <w:color w:val="000000" w:themeColor="text1"/>
          <w:sz w:val="24"/>
          <w:szCs w:val="24"/>
        </w:rPr>
        <w:t xml:space="preserve"> </w:t>
      </w:r>
      <w:r w:rsidRPr="00C7423D">
        <w:rPr>
          <w:rFonts w:ascii="Times New Roman" w:hAnsi="Times New Roman" w:cs="Times New Roman"/>
          <w:i/>
          <w:noProof/>
          <w:color w:val="000000" w:themeColor="text1"/>
          <w:sz w:val="24"/>
          <w:szCs w:val="24"/>
        </w:rPr>
        <w:t>post</w:t>
      </w:r>
      <w:r w:rsidRPr="001E3C9B">
        <w:rPr>
          <w:rFonts w:ascii="Times New Roman" w:hAnsi="Times New Roman" w:cs="Times New Roman"/>
          <w:noProof/>
          <w:color w:val="000000" w:themeColor="text1"/>
          <w:sz w:val="24"/>
          <w:szCs w:val="24"/>
        </w:rPr>
        <w:t xml:space="preserve"> evaluation shows a </w:t>
      </w:r>
      <w:r w:rsidRPr="001E3C9B">
        <w:rPr>
          <w:rFonts w:ascii="Times New Roman" w:hAnsi="Times New Roman" w:cs="Times New Roman"/>
          <w:noProof/>
          <w:color w:val="000000" w:themeColor="text1"/>
          <w:sz w:val="24"/>
          <w:szCs w:val="24"/>
          <w:lang w:val="mt-MT"/>
        </w:rPr>
        <w:t>high</w:t>
      </w:r>
      <w:r w:rsidRPr="001E3C9B">
        <w:rPr>
          <w:rFonts w:ascii="Times New Roman" w:hAnsi="Times New Roman" w:cs="Times New Roman"/>
          <w:noProof/>
          <w:color w:val="000000" w:themeColor="text1"/>
          <w:sz w:val="24"/>
          <w:szCs w:val="24"/>
        </w:rPr>
        <w:t xml:space="preserve"> level of efficiency in </w:t>
      </w:r>
      <w:r w:rsidR="00F73E5D">
        <w:rPr>
          <w:rFonts w:ascii="Times New Roman" w:hAnsi="Times New Roman" w:cs="Times New Roman"/>
          <w:noProof/>
          <w:color w:val="000000" w:themeColor="text1"/>
          <w:sz w:val="24"/>
          <w:szCs w:val="24"/>
        </w:rPr>
        <w:t xml:space="preserve">both </w:t>
      </w:r>
      <w:r w:rsidRPr="001E3C9B">
        <w:rPr>
          <w:rFonts w:ascii="Times New Roman" w:hAnsi="Times New Roman" w:cs="Times New Roman"/>
          <w:noProof/>
          <w:color w:val="000000" w:themeColor="text1"/>
          <w:sz w:val="24"/>
          <w:szCs w:val="24"/>
        </w:rPr>
        <w:t xml:space="preserve">the Commission’s </w:t>
      </w:r>
      <w:r w:rsidR="00F73E5D">
        <w:rPr>
          <w:rFonts w:ascii="Times New Roman" w:hAnsi="Times New Roman" w:cs="Times New Roman"/>
          <w:noProof/>
          <w:color w:val="000000" w:themeColor="text1"/>
          <w:sz w:val="24"/>
          <w:szCs w:val="24"/>
        </w:rPr>
        <w:t xml:space="preserve">own </w:t>
      </w:r>
      <w:r w:rsidRPr="001E3C9B">
        <w:rPr>
          <w:rFonts w:ascii="Times New Roman" w:hAnsi="Times New Roman" w:cs="Times New Roman"/>
          <w:noProof/>
          <w:color w:val="000000" w:themeColor="text1"/>
          <w:sz w:val="24"/>
          <w:szCs w:val="24"/>
        </w:rPr>
        <w:t xml:space="preserve">management (e.g. grant management and proposal evaluation for indirect actions) and </w:t>
      </w:r>
      <w:r w:rsidR="00F73E5D">
        <w:rPr>
          <w:rFonts w:ascii="Times New Roman" w:hAnsi="Times New Roman" w:cs="Times New Roman"/>
          <w:noProof/>
          <w:color w:val="000000" w:themeColor="text1"/>
          <w:sz w:val="24"/>
          <w:szCs w:val="24"/>
        </w:rPr>
        <w:t xml:space="preserve">implementation by </w:t>
      </w:r>
      <w:r w:rsidRPr="001E3C9B">
        <w:rPr>
          <w:rFonts w:ascii="Times New Roman" w:hAnsi="Times New Roman" w:cs="Times New Roman"/>
          <w:noProof/>
          <w:color w:val="000000" w:themeColor="text1"/>
          <w:sz w:val="24"/>
          <w:szCs w:val="24"/>
        </w:rPr>
        <w:t>research consortia. The Commission kep</w:t>
      </w:r>
      <w:r w:rsidR="005F7962" w:rsidRPr="001E3C9B">
        <w:rPr>
          <w:rFonts w:ascii="Times New Roman" w:hAnsi="Times New Roman" w:cs="Times New Roman"/>
          <w:noProof/>
          <w:color w:val="000000" w:themeColor="text1"/>
          <w:sz w:val="24"/>
          <w:szCs w:val="24"/>
        </w:rPr>
        <w:t>t</w:t>
      </w:r>
      <w:r w:rsidRPr="001E3C9B">
        <w:rPr>
          <w:rFonts w:ascii="Times New Roman" w:hAnsi="Times New Roman" w:cs="Times New Roman"/>
          <w:noProof/>
          <w:color w:val="000000" w:themeColor="text1"/>
          <w:sz w:val="24"/>
          <w:szCs w:val="24"/>
        </w:rPr>
        <w:t xml:space="preserve"> its own </w:t>
      </w:r>
      <w:r w:rsidRPr="00854965">
        <w:rPr>
          <w:rFonts w:ascii="Times New Roman" w:hAnsi="Times New Roman" w:cs="Times New Roman"/>
          <w:noProof/>
          <w:color w:val="000000" w:themeColor="text1"/>
          <w:sz w:val="24"/>
          <w:szCs w:val="24"/>
        </w:rPr>
        <w:t xml:space="preserve">administrative expenditure for indirect actions </w:t>
      </w:r>
      <w:r w:rsidR="00794EE7" w:rsidRPr="00854965">
        <w:rPr>
          <w:rFonts w:ascii="Times New Roman" w:hAnsi="Times New Roman" w:cs="Times New Roman"/>
          <w:noProof/>
          <w:color w:val="000000" w:themeColor="text1"/>
          <w:sz w:val="24"/>
          <w:szCs w:val="24"/>
        </w:rPr>
        <w:t xml:space="preserve">well </w:t>
      </w:r>
      <w:r w:rsidRPr="00854965">
        <w:rPr>
          <w:rFonts w:ascii="Times New Roman" w:hAnsi="Times New Roman" w:cs="Times New Roman"/>
          <w:noProof/>
          <w:color w:val="000000" w:themeColor="text1"/>
          <w:sz w:val="24"/>
          <w:szCs w:val="24"/>
        </w:rPr>
        <w:t xml:space="preserve">below the average of </w:t>
      </w:r>
      <w:r w:rsidR="00DB2A9C" w:rsidRPr="00854965">
        <w:rPr>
          <w:rFonts w:ascii="Times New Roman" w:hAnsi="Times New Roman" w:cs="Times New Roman"/>
          <w:noProof/>
          <w:color w:val="000000" w:themeColor="text1"/>
          <w:sz w:val="24"/>
          <w:szCs w:val="24"/>
        </w:rPr>
        <w:t>6</w:t>
      </w:r>
      <w:r w:rsidR="00794EE7" w:rsidRPr="00854965">
        <w:rPr>
          <w:rFonts w:ascii="Times New Roman" w:hAnsi="Times New Roman" w:cs="Times New Roman"/>
          <w:noProof/>
          <w:color w:val="000000" w:themeColor="text1"/>
          <w:sz w:val="24"/>
          <w:szCs w:val="24"/>
        </w:rPr>
        <w:t>.5</w:t>
      </w:r>
      <w:r w:rsidRPr="00854965">
        <w:rPr>
          <w:rFonts w:ascii="Times New Roman" w:hAnsi="Times New Roman" w:cs="Times New Roman"/>
          <w:noProof/>
          <w:color w:val="000000" w:themeColor="text1"/>
          <w:sz w:val="24"/>
          <w:szCs w:val="24"/>
        </w:rPr>
        <w:t>% of the operational budget</w:t>
      </w:r>
      <w:r w:rsidRPr="001E3C9B">
        <w:rPr>
          <w:rFonts w:ascii="Times New Roman" w:hAnsi="Times New Roman" w:cs="Times New Roman"/>
          <w:noProof/>
          <w:color w:val="000000" w:themeColor="text1"/>
          <w:sz w:val="24"/>
          <w:szCs w:val="24"/>
        </w:rPr>
        <w:t xml:space="preserve"> for 2014-2020. Simplification measures introduced </w:t>
      </w:r>
      <w:r w:rsidRPr="001E3C9B">
        <w:rPr>
          <w:rFonts w:ascii="Times New Roman" w:hAnsi="Times New Roman" w:cs="Times New Roman"/>
          <w:noProof/>
          <w:color w:val="000000" w:themeColor="text1"/>
          <w:sz w:val="24"/>
          <w:szCs w:val="24"/>
          <w:lang w:val="mt-MT"/>
        </w:rPr>
        <w:t>from</w:t>
      </w:r>
      <w:r w:rsidRPr="001E3C9B">
        <w:rPr>
          <w:rFonts w:ascii="Times New Roman" w:hAnsi="Times New Roman" w:cs="Times New Roman"/>
          <w:noProof/>
          <w:color w:val="000000" w:themeColor="text1"/>
          <w:sz w:val="24"/>
          <w:szCs w:val="24"/>
        </w:rPr>
        <w:t xml:space="preserve"> the start of Horizon 2020 </w:t>
      </w:r>
      <w:r w:rsidRPr="001E3C9B">
        <w:rPr>
          <w:rFonts w:ascii="Times New Roman" w:hAnsi="Times New Roman" w:cs="Times New Roman"/>
          <w:noProof/>
          <w:color w:val="000000" w:themeColor="text1"/>
          <w:sz w:val="24"/>
          <w:szCs w:val="24"/>
          <w:lang w:val="mt-MT"/>
        </w:rPr>
        <w:t xml:space="preserve">and </w:t>
      </w:r>
      <w:r w:rsidRPr="001E3C9B">
        <w:rPr>
          <w:rFonts w:ascii="Times New Roman" w:hAnsi="Times New Roman" w:cs="Times New Roman"/>
          <w:noProof/>
          <w:color w:val="000000" w:themeColor="text1"/>
          <w:sz w:val="24"/>
          <w:szCs w:val="24"/>
        </w:rPr>
        <w:t xml:space="preserve">the </w:t>
      </w:r>
      <w:r w:rsidRPr="001E3C9B">
        <w:rPr>
          <w:rFonts w:ascii="Times New Roman" w:hAnsi="Times New Roman" w:cs="Times New Roman"/>
          <w:noProof/>
          <w:color w:val="000000" w:themeColor="text1"/>
          <w:sz w:val="24"/>
          <w:szCs w:val="24"/>
          <w:lang w:val="mt-MT"/>
        </w:rPr>
        <w:t>P</w:t>
      </w:r>
      <w:r w:rsidRPr="001E3C9B">
        <w:rPr>
          <w:rFonts w:ascii="Times New Roman" w:hAnsi="Times New Roman" w:cs="Times New Roman"/>
          <w:noProof/>
          <w:color w:val="000000" w:themeColor="text1"/>
          <w:sz w:val="24"/>
          <w:szCs w:val="24"/>
        </w:rPr>
        <w:t xml:space="preserve">rogramme have greatly improved efficiency, </w:t>
      </w:r>
      <w:r w:rsidR="00F73E5D">
        <w:rPr>
          <w:rFonts w:ascii="Times New Roman" w:hAnsi="Times New Roman" w:cs="Times New Roman"/>
          <w:noProof/>
          <w:color w:val="000000" w:themeColor="text1"/>
          <w:sz w:val="24"/>
          <w:szCs w:val="24"/>
        </w:rPr>
        <w:t>in particular</w:t>
      </w:r>
      <w:r w:rsidR="00F73E5D"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for the time-to-grant</w:t>
      </w:r>
      <w:r w:rsidR="005F7962" w:rsidRPr="001E3C9B">
        <w:rPr>
          <w:rFonts w:ascii="Times New Roman" w:hAnsi="Times New Roman" w:cs="Times New Roman"/>
          <w:noProof/>
          <w:color w:val="000000" w:themeColor="text1"/>
          <w:sz w:val="24"/>
          <w:szCs w:val="24"/>
        </w:rPr>
        <w:t xml:space="preserve"> metric</w:t>
      </w:r>
      <w:r w:rsidRPr="001E3C9B">
        <w:rPr>
          <w:rFonts w:ascii="Times New Roman" w:hAnsi="Times New Roman" w:cs="Times New Roman"/>
          <w:noProof/>
          <w:color w:val="000000" w:themeColor="text1"/>
          <w:sz w:val="24"/>
          <w:szCs w:val="24"/>
        </w:rPr>
        <w:t xml:space="preserve">. </w:t>
      </w:r>
    </w:p>
    <w:p w14:paraId="3ABB6F58" w14:textId="400A105A" w:rsidR="000B0127" w:rsidRPr="001E3C9B" w:rsidRDefault="000B0127" w:rsidP="000B0127">
      <w:pPr>
        <w:spacing w:after="120"/>
        <w:jc w:val="both"/>
        <w:rPr>
          <w:rFonts w:ascii="Times New Roman" w:hAnsi="Times New Roman" w:cs="Times New Roman"/>
          <w:b/>
          <w:bCs/>
          <w:noProof/>
          <w:color w:val="000000" w:themeColor="text1"/>
          <w:sz w:val="24"/>
          <w:szCs w:val="24"/>
        </w:rPr>
      </w:pPr>
      <w:r w:rsidRPr="001E3C9B">
        <w:rPr>
          <w:rFonts w:ascii="Times New Roman" w:hAnsi="Times New Roman" w:cs="Times New Roman"/>
          <w:noProof/>
          <w:color w:val="000000" w:themeColor="text1"/>
          <w:sz w:val="24"/>
          <w:szCs w:val="24"/>
          <w:lang w:val="mt-MT"/>
        </w:rPr>
        <w:t>By 2020</w:t>
      </w:r>
      <w:r w:rsidR="005F7962" w:rsidRPr="001E3C9B">
        <w:rPr>
          <w:rFonts w:ascii="Times New Roman" w:hAnsi="Times New Roman" w:cs="Times New Roman"/>
          <w:noProof/>
          <w:color w:val="000000" w:themeColor="text1"/>
          <w:sz w:val="24"/>
          <w:szCs w:val="24"/>
          <w:lang w:val="mt-MT"/>
        </w:rPr>
        <w:t>,</w:t>
      </w:r>
      <w:r w:rsidRPr="001E3C9B">
        <w:rPr>
          <w:rFonts w:ascii="Times New Roman" w:hAnsi="Times New Roman" w:cs="Times New Roman"/>
          <w:noProof/>
          <w:color w:val="000000" w:themeColor="text1"/>
          <w:sz w:val="24"/>
          <w:szCs w:val="24"/>
          <w:lang w:val="mt-MT"/>
        </w:rPr>
        <w:t xml:space="preserve"> f</w:t>
      </w:r>
      <w:r w:rsidRPr="001E3C9B">
        <w:rPr>
          <w:rFonts w:ascii="Times New Roman" w:hAnsi="Times New Roman" w:cs="Times New Roman"/>
          <w:noProof/>
          <w:color w:val="000000" w:themeColor="text1"/>
          <w:sz w:val="24"/>
          <w:szCs w:val="24"/>
        </w:rPr>
        <w:t>ive</w:t>
      </w:r>
      <w:r w:rsidRPr="001E3C9B">
        <w:rPr>
          <w:rFonts w:ascii="Times New Roman" w:hAnsi="Times New Roman" w:cs="Times New Roman"/>
          <w:noProof/>
          <w:color w:val="000000" w:themeColor="text1"/>
          <w:sz w:val="24"/>
          <w:szCs w:val="24"/>
          <w:lang w:val="mt-MT"/>
        </w:rPr>
        <w:t xml:space="preserve"> </w:t>
      </w:r>
      <w:r w:rsidRPr="001E3C9B">
        <w:rPr>
          <w:rFonts w:ascii="Times New Roman" w:hAnsi="Times New Roman" w:cs="Times New Roman"/>
          <w:noProof/>
          <w:color w:val="000000" w:themeColor="text1"/>
          <w:sz w:val="24"/>
          <w:szCs w:val="24"/>
        </w:rPr>
        <w:t>calls</w:t>
      </w:r>
      <w:r w:rsidRPr="001E3C9B">
        <w:rPr>
          <w:rFonts w:ascii="Times New Roman" w:hAnsi="Times New Roman" w:cs="Times New Roman"/>
          <w:noProof/>
          <w:color w:val="000000" w:themeColor="text1"/>
          <w:sz w:val="24"/>
          <w:szCs w:val="24"/>
          <w:lang w:val="mt-MT"/>
        </w:rPr>
        <w:t xml:space="preserve"> had been published under the Programme and, by the time the</w:t>
      </w:r>
      <w:r w:rsidR="00F73E5D">
        <w:rPr>
          <w:rFonts w:ascii="Times New Roman" w:hAnsi="Times New Roman" w:cs="Times New Roman"/>
          <w:noProof/>
          <w:color w:val="000000" w:themeColor="text1"/>
          <w:sz w:val="24"/>
          <w:szCs w:val="24"/>
          <w:lang w:val="mt-MT"/>
        </w:rPr>
        <w:t>se calls were</w:t>
      </w:r>
      <w:r w:rsidRPr="001E3C9B">
        <w:rPr>
          <w:rFonts w:ascii="Times New Roman" w:hAnsi="Times New Roman" w:cs="Times New Roman"/>
          <w:noProof/>
          <w:color w:val="000000" w:themeColor="text1"/>
          <w:sz w:val="24"/>
          <w:szCs w:val="24"/>
          <w:lang w:val="mt-MT"/>
        </w:rPr>
        <w:t xml:space="preserve"> were closed, </w:t>
      </w:r>
      <w:r w:rsidRPr="00854965">
        <w:rPr>
          <w:rFonts w:ascii="Times New Roman" w:hAnsi="Times New Roman" w:cs="Times New Roman"/>
          <w:noProof/>
          <w:color w:val="000000" w:themeColor="text1"/>
          <w:sz w:val="24"/>
          <w:szCs w:val="24"/>
        </w:rPr>
        <w:t>254</w:t>
      </w:r>
      <w:r w:rsidRPr="00854965">
        <w:rPr>
          <w:rFonts w:ascii="Times New Roman" w:hAnsi="Times New Roman" w:cs="Times New Roman"/>
          <w:noProof/>
          <w:color w:val="000000" w:themeColor="text1"/>
          <w:sz w:val="24"/>
          <w:szCs w:val="24"/>
          <w:lang w:val="mt-MT"/>
        </w:rPr>
        <w:t xml:space="preserve"> </w:t>
      </w:r>
      <w:r w:rsidRPr="00854965">
        <w:rPr>
          <w:rFonts w:ascii="Times New Roman" w:hAnsi="Times New Roman" w:cs="Times New Roman"/>
          <w:noProof/>
          <w:color w:val="000000" w:themeColor="text1"/>
          <w:sz w:val="24"/>
          <w:szCs w:val="24"/>
        </w:rPr>
        <w:t>eligible</w:t>
      </w:r>
      <w:r w:rsidRPr="00854965">
        <w:rPr>
          <w:rFonts w:ascii="Times New Roman" w:hAnsi="Times New Roman" w:cs="Times New Roman"/>
          <w:noProof/>
          <w:color w:val="000000" w:themeColor="text1"/>
          <w:sz w:val="24"/>
          <w:szCs w:val="24"/>
          <w:lang w:val="mt-MT"/>
        </w:rPr>
        <w:t xml:space="preserve"> </w:t>
      </w:r>
      <w:r w:rsidRPr="00854965">
        <w:rPr>
          <w:rFonts w:ascii="Times New Roman" w:hAnsi="Times New Roman" w:cs="Times New Roman"/>
          <w:noProof/>
          <w:color w:val="000000" w:themeColor="text1"/>
          <w:sz w:val="24"/>
          <w:szCs w:val="24"/>
        </w:rPr>
        <w:t>proposals</w:t>
      </w:r>
      <w:r w:rsidRPr="00854965">
        <w:rPr>
          <w:rFonts w:ascii="Times New Roman" w:hAnsi="Times New Roman" w:cs="Times New Roman"/>
          <w:noProof/>
          <w:color w:val="000000" w:themeColor="text1"/>
          <w:sz w:val="24"/>
          <w:szCs w:val="24"/>
          <w:lang w:val="mt-MT"/>
        </w:rPr>
        <w:t xml:space="preserve"> </w:t>
      </w:r>
      <w:r w:rsidR="00F73E5D">
        <w:rPr>
          <w:rFonts w:ascii="Times New Roman" w:hAnsi="Times New Roman" w:cs="Times New Roman"/>
          <w:noProof/>
          <w:color w:val="000000" w:themeColor="text1"/>
          <w:sz w:val="24"/>
          <w:szCs w:val="24"/>
          <w:lang w:val="mt-MT"/>
        </w:rPr>
        <w:t xml:space="preserve">had been </w:t>
      </w:r>
      <w:r w:rsidRPr="00854965">
        <w:rPr>
          <w:rFonts w:ascii="Times New Roman" w:hAnsi="Times New Roman" w:cs="Times New Roman"/>
          <w:noProof/>
          <w:color w:val="000000" w:themeColor="text1"/>
          <w:sz w:val="24"/>
          <w:szCs w:val="24"/>
        </w:rPr>
        <w:t>submitted,</w:t>
      </w:r>
      <w:r w:rsidRPr="00854965">
        <w:rPr>
          <w:rFonts w:ascii="Times New Roman" w:hAnsi="Times New Roman" w:cs="Times New Roman"/>
          <w:noProof/>
          <w:color w:val="000000" w:themeColor="text1"/>
          <w:sz w:val="24"/>
          <w:szCs w:val="24"/>
          <w:lang w:val="mt-MT"/>
        </w:rPr>
        <w:t xml:space="preserve"> </w:t>
      </w:r>
      <w:r w:rsidRPr="00854965">
        <w:rPr>
          <w:rFonts w:ascii="Times New Roman" w:hAnsi="Times New Roman" w:cs="Times New Roman"/>
          <w:noProof/>
          <w:color w:val="000000" w:themeColor="text1"/>
          <w:sz w:val="24"/>
          <w:szCs w:val="24"/>
        </w:rPr>
        <w:t>requesting a total financial contribution of EUR 726 million. Of these</w:t>
      </w:r>
      <w:r w:rsidR="00F73E5D">
        <w:rPr>
          <w:rFonts w:ascii="Times New Roman" w:hAnsi="Times New Roman" w:cs="Times New Roman"/>
          <w:noProof/>
          <w:color w:val="000000" w:themeColor="text1"/>
          <w:sz w:val="24"/>
          <w:szCs w:val="24"/>
        </w:rPr>
        <w:t xml:space="preserve"> eligible proposals</w:t>
      </w:r>
      <w:r w:rsidRPr="00854965">
        <w:rPr>
          <w:rFonts w:ascii="Times New Roman" w:hAnsi="Times New Roman" w:cs="Times New Roman"/>
          <w:noProof/>
          <w:color w:val="000000" w:themeColor="text1"/>
          <w:sz w:val="24"/>
          <w:szCs w:val="24"/>
        </w:rPr>
        <w:t>, 98 were selected for funding, with a Euratom contribution of EUR 41</w:t>
      </w:r>
      <w:r w:rsidR="002A62E5">
        <w:rPr>
          <w:rFonts w:ascii="Times New Roman" w:hAnsi="Times New Roman" w:cs="Times New Roman"/>
          <w:noProof/>
          <w:color w:val="000000" w:themeColor="text1"/>
          <w:sz w:val="24"/>
          <w:szCs w:val="24"/>
        </w:rPr>
        <w:t>5</w:t>
      </w:r>
      <w:r w:rsidRPr="00854965">
        <w:rPr>
          <w:rFonts w:ascii="Times New Roman" w:hAnsi="Times New Roman" w:cs="Times New Roman"/>
          <w:noProof/>
          <w:color w:val="000000" w:themeColor="text1"/>
          <w:sz w:val="24"/>
          <w:szCs w:val="24"/>
        </w:rPr>
        <w:t xml:space="preserve"> million.</w:t>
      </w:r>
    </w:p>
    <w:p w14:paraId="43AB56E3" w14:textId="4833DBA8" w:rsidR="000B0127" w:rsidRPr="00854965" w:rsidRDefault="000B0127" w:rsidP="000B0127">
      <w:pPr>
        <w:spacing w:after="120"/>
        <w:jc w:val="both"/>
        <w:rPr>
          <w:rFonts w:ascii="Times New Roman" w:hAnsi="Times New Roman" w:cs="Times New Roman"/>
          <w:noProof/>
          <w:color w:val="000000" w:themeColor="text1"/>
          <w:sz w:val="24"/>
          <w:szCs w:val="24"/>
        </w:rPr>
      </w:pPr>
      <w:r w:rsidRPr="00854965">
        <w:rPr>
          <w:rFonts w:ascii="Times New Roman" w:hAnsi="Times New Roman" w:cs="Times New Roman"/>
          <w:noProof/>
          <w:color w:val="000000" w:themeColor="text1"/>
          <w:sz w:val="24"/>
          <w:szCs w:val="24"/>
        </w:rPr>
        <w:t xml:space="preserve">The average </w:t>
      </w:r>
      <w:r w:rsidR="005F7962" w:rsidRPr="00854965">
        <w:rPr>
          <w:rFonts w:ascii="Times New Roman" w:hAnsi="Times New Roman" w:cs="Times New Roman"/>
          <w:noProof/>
          <w:color w:val="000000" w:themeColor="text1"/>
          <w:sz w:val="24"/>
          <w:szCs w:val="24"/>
        </w:rPr>
        <w:t>t</w:t>
      </w:r>
      <w:r w:rsidR="004C2DB1" w:rsidRPr="00854965">
        <w:rPr>
          <w:rFonts w:ascii="Times New Roman" w:hAnsi="Times New Roman" w:cs="Times New Roman"/>
          <w:noProof/>
          <w:color w:val="000000" w:themeColor="text1"/>
          <w:sz w:val="24"/>
          <w:szCs w:val="24"/>
        </w:rPr>
        <w:t>ime</w:t>
      </w:r>
      <w:r w:rsidR="005F7962" w:rsidRPr="00854965">
        <w:rPr>
          <w:rFonts w:ascii="Times New Roman" w:hAnsi="Times New Roman" w:cs="Times New Roman"/>
          <w:noProof/>
          <w:color w:val="000000" w:themeColor="text1"/>
          <w:sz w:val="24"/>
          <w:szCs w:val="24"/>
        </w:rPr>
        <w:t>-</w:t>
      </w:r>
      <w:r w:rsidR="004C2DB1" w:rsidRPr="00854965">
        <w:rPr>
          <w:rFonts w:ascii="Times New Roman" w:hAnsi="Times New Roman" w:cs="Times New Roman"/>
          <w:noProof/>
          <w:color w:val="000000" w:themeColor="text1"/>
          <w:sz w:val="24"/>
          <w:szCs w:val="24"/>
        </w:rPr>
        <w:t>to</w:t>
      </w:r>
      <w:r w:rsidR="005F7962" w:rsidRPr="00854965">
        <w:rPr>
          <w:rFonts w:ascii="Times New Roman" w:hAnsi="Times New Roman" w:cs="Times New Roman"/>
          <w:noProof/>
          <w:color w:val="000000" w:themeColor="text1"/>
          <w:sz w:val="24"/>
          <w:szCs w:val="24"/>
        </w:rPr>
        <w:t>-g</w:t>
      </w:r>
      <w:r w:rsidR="004C2DB1" w:rsidRPr="00854965">
        <w:rPr>
          <w:rFonts w:ascii="Times New Roman" w:hAnsi="Times New Roman" w:cs="Times New Roman"/>
          <w:noProof/>
          <w:color w:val="000000" w:themeColor="text1"/>
          <w:sz w:val="24"/>
          <w:szCs w:val="24"/>
        </w:rPr>
        <w:t>rant</w:t>
      </w:r>
      <w:r w:rsidRPr="00854965">
        <w:rPr>
          <w:rFonts w:ascii="Times New Roman" w:hAnsi="Times New Roman" w:cs="Times New Roman"/>
          <w:noProof/>
          <w:color w:val="000000" w:themeColor="text1"/>
          <w:sz w:val="24"/>
          <w:szCs w:val="24"/>
        </w:rPr>
        <w:t xml:space="preserve"> for the </w:t>
      </w:r>
      <w:r w:rsidRPr="00854965">
        <w:rPr>
          <w:rFonts w:ascii="Times New Roman" w:hAnsi="Times New Roman" w:cs="Times New Roman"/>
          <w:noProof/>
          <w:color w:val="000000" w:themeColor="text1"/>
          <w:sz w:val="24"/>
          <w:szCs w:val="24"/>
          <w:lang w:val="mt-MT"/>
        </w:rPr>
        <w:t>Programme</w:t>
      </w:r>
      <w:r w:rsidRPr="00854965">
        <w:rPr>
          <w:rFonts w:ascii="Times New Roman" w:hAnsi="Times New Roman" w:cs="Times New Roman"/>
          <w:noProof/>
          <w:color w:val="000000" w:themeColor="text1"/>
          <w:sz w:val="24"/>
          <w:szCs w:val="24"/>
        </w:rPr>
        <w:t xml:space="preserve"> </w:t>
      </w:r>
      <w:r w:rsidRPr="00854965">
        <w:rPr>
          <w:rFonts w:ascii="Times New Roman" w:hAnsi="Times New Roman" w:cs="Times New Roman"/>
          <w:noProof/>
          <w:color w:val="000000" w:themeColor="text1"/>
          <w:sz w:val="24"/>
          <w:szCs w:val="24"/>
          <w:lang w:val="mt-MT"/>
        </w:rPr>
        <w:t xml:space="preserve">was </w:t>
      </w:r>
      <w:r w:rsidR="00120767" w:rsidRPr="00854965">
        <w:rPr>
          <w:rFonts w:ascii="Times New Roman" w:hAnsi="Times New Roman" w:cs="Times New Roman"/>
          <w:noProof/>
          <w:color w:val="000000" w:themeColor="text1"/>
          <w:sz w:val="24"/>
          <w:szCs w:val="24"/>
          <w:lang w:val="mt-MT"/>
        </w:rPr>
        <w:t xml:space="preserve">238 </w:t>
      </w:r>
      <w:r w:rsidRPr="00854965">
        <w:rPr>
          <w:rFonts w:ascii="Times New Roman" w:hAnsi="Times New Roman" w:cs="Times New Roman"/>
          <w:noProof/>
          <w:color w:val="000000" w:themeColor="text1"/>
          <w:sz w:val="24"/>
          <w:szCs w:val="24"/>
        </w:rPr>
        <w:t>days</w:t>
      </w:r>
      <w:r w:rsidRPr="00854965">
        <w:rPr>
          <w:rFonts w:ascii="Times New Roman" w:hAnsi="Times New Roman" w:cs="Times New Roman"/>
          <w:noProof/>
          <w:color w:val="000000" w:themeColor="text1"/>
          <w:sz w:val="24"/>
          <w:szCs w:val="24"/>
          <w:lang w:val="mt-MT"/>
        </w:rPr>
        <w:t xml:space="preserve"> (from </w:t>
      </w:r>
      <w:r w:rsidRPr="00854965">
        <w:rPr>
          <w:rFonts w:ascii="Times New Roman" w:hAnsi="Times New Roman" w:cs="Times New Roman"/>
          <w:noProof/>
          <w:color w:val="000000" w:themeColor="text1"/>
          <w:sz w:val="24"/>
          <w:szCs w:val="24"/>
        </w:rPr>
        <w:t>31</w:t>
      </w:r>
      <w:r w:rsidR="00120767" w:rsidRPr="00854965">
        <w:rPr>
          <w:rFonts w:ascii="Times New Roman" w:hAnsi="Times New Roman" w:cs="Times New Roman"/>
          <w:noProof/>
          <w:color w:val="000000" w:themeColor="text1"/>
          <w:sz w:val="24"/>
          <w:szCs w:val="24"/>
        </w:rPr>
        <w:t>3</w:t>
      </w:r>
      <w:r w:rsidRPr="00854965">
        <w:rPr>
          <w:rFonts w:ascii="Times New Roman" w:hAnsi="Times New Roman" w:cs="Times New Roman"/>
          <w:noProof/>
          <w:color w:val="000000" w:themeColor="text1"/>
          <w:sz w:val="24"/>
          <w:szCs w:val="24"/>
        </w:rPr>
        <w:t xml:space="preserve"> days</w:t>
      </w:r>
      <w:r w:rsidRPr="00854965">
        <w:rPr>
          <w:rFonts w:ascii="Times New Roman" w:hAnsi="Times New Roman" w:cs="Times New Roman"/>
          <w:noProof/>
          <w:color w:val="000000" w:themeColor="text1"/>
          <w:sz w:val="24"/>
          <w:szCs w:val="24"/>
          <w:lang w:val="mt-MT"/>
        </w:rPr>
        <w:t xml:space="preserve"> for the Euratom </w:t>
      </w:r>
      <w:r w:rsidR="00D5539E">
        <w:rPr>
          <w:rFonts w:ascii="Times New Roman" w:hAnsi="Times New Roman" w:cs="Times New Roman"/>
          <w:noProof/>
          <w:color w:val="000000" w:themeColor="text1"/>
          <w:sz w:val="24"/>
          <w:szCs w:val="24"/>
          <w:lang w:val="mt-MT"/>
        </w:rPr>
        <w:t>p</w:t>
      </w:r>
      <w:r w:rsidRPr="00854965">
        <w:rPr>
          <w:rFonts w:ascii="Times New Roman" w:hAnsi="Times New Roman" w:cs="Times New Roman"/>
          <w:noProof/>
          <w:color w:val="000000" w:themeColor="text1"/>
          <w:sz w:val="24"/>
          <w:szCs w:val="24"/>
          <w:lang w:val="mt-MT"/>
        </w:rPr>
        <w:t>rogramme 2007-2013)</w:t>
      </w:r>
      <w:r w:rsidRPr="00854965">
        <w:rPr>
          <w:rFonts w:ascii="Times New Roman" w:hAnsi="Times New Roman" w:cs="Times New Roman"/>
          <w:noProof/>
          <w:color w:val="000000" w:themeColor="text1"/>
          <w:sz w:val="24"/>
          <w:szCs w:val="24"/>
        </w:rPr>
        <w:t>.</w:t>
      </w:r>
    </w:p>
    <w:p w14:paraId="1F312D17" w14:textId="087EA370" w:rsidR="000B0127" w:rsidRPr="001E3C9B" w:rsidRDefault="005F7962" w:rsidP="000B0127">
      <w:pPr>
        <w:spacing w:after="120"/>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A</w:t>
      </w:r>
      <w:r w:rsidR="000B0127" w:rsidRPr="001E3C9B">
        <w:rPr>
          <w:rFonts w:ascii="Times New Roman" w:hAnsi="Times New Roman" w:cs="Times New Roman"/>
          <w:noProof/>
          <w:color w:val="000000" w:themeColor="text1"/>
          <w:sz w:val="24"/>
          <w:szCs w:val="24"/>
        </w:rPr>
        <w:t xml:space="preserve">nalysis of the efficiency of the EJPs in fusion research, radiation protection and radioactive waste, in particular </w:t>
      </w:r>
      <w:r w:rsidR="00F73E5D">
        <w:rPr>
          <w:rFonts w:ascii="Times New Roman" w:hAnsi="Times New Roman" w:cs="Times New Roman"/>
          <w:noProof/>
          <w:color w:val="000000" w:themeColor="text1"/>
          <w:sz w:val="24"/>
          <w:szCs w:val="24"/>
        </w:rPr>
        <w:t>in the areas of</w:t>
      </w:r>
      <w:r w:rsidR="00F73E5D" w:rsidRPr="001E3C9B">
        <w:rPr>
          <w:rFonts w:ascii="Times New Roman" w:hAnsi="Times New Roman" w:cs="Times New Roman"/>
          <w:noProof/>
          <w:color w:val="000000" w:themeColor="text1"/>
          <w:sz w:val="24"/>
          <w:szCs w:val="24"/>
        </w:rPr>
        <w:t xml:space="preserve"> </w:t>
      </w:r>
      <w:r w:rsidR="000B0127" w:rsidRPr="001E3C9B">
        <w:rPr>
          <w:rFonts w:ascii="Times New Roman" w:hAnsi="Times New Roman" w:cs="Times New Roman"/>
          <w:noProof/>
          <w:color w:val="000000" w:themeColor="text1"/>
          <w:sz w:val="24"/>
          <w:szCs w:val="24"/>
        </w:rPr>
        <w:t xml:space="preserve">management and governance, is </w:t>
      </w:r>
      <w:r w:rsidR="00F73E5D">
        <w:rPr>
          <w:rFonts w:ascii="Times New Roman" w:hAnsi="Times New Roman" w:cs="Times New Roman"/>
          <w:noProof/>
          <w:color w:val="000000" w:themeColor="text1"/>
          <w:sz w:val="24"/>
          <w:szCs w:val="24"/>
        </w:rPr>
        <w:t xml:space="preserve">especially </w:t>
      </w:r>
      <w:r w:rsidR="000B0127" w:rsidRPr="001E3C9B">
        <w:rPr>
          <w:rFonts w:ascii="Times New Roman" w:hAnsi="Times New Roman" w:cs="Times New Roman"/>
          <w:noProof/>
          <w:color w:val="000000" w:themeColor="text1"/>
          <w:sz w:val="24"/>
          <w:szCs w:val="24"/>
        </w:rPr>
        <w:t xml:space="preserve">important </w:t>
      </w:r>
      <w:r w:rsidR="005F2B22" w:rsidRPr="001E3C9B">
        <w:rPr>
          <w:rFonts w:ascii="Times New Roman" w:hAnsi="Times New Roman" w:cs="Times New Roman"/>
          <w:noProof/>
          <w:color w:val="000000" w:themeColor="text1"/>
          <w:sz w:val="24"/>
          <w:szCs w:val="24"/>
        </w:rPr>
        <w:t>as these</w:t>
      </w:r>
      <w:r w:rsidR="000B0127" w:rsidRPr="001E3C9B">
        <w:rPr>
          <w:rFonts w:ascii="Times New Roman" w:hAnsi="Times New Roman" w:cs="Times New Roman"/>
          <w:noProof/>
          <w:color w:val="000000" w:themeColor="text1"/>
          <w:sz w:val="24"/>
          <w:szCs w:val="24"/>
        </w:rPr>
        <w:t xml:space="preserve"> instrument</w:t>
      </w:r>
      <w:r w:rsidR="005F2B22" w:rsidRPr="001E3C9B">
        <w:rPr>
          <w:rFonts w:ascii="Times New Roman" w:hAnsi="Times New Roman" w:cs="Times New Roman"/>
          <w:noProof/>
          <w:color w:val="000000" w:themeColor="text1"/>
          <w:sz w:val="24"/>
          <w:szCs w:val="24"/>
        </w:rPr>
        <w:t>s</w:t>
      </w:r>
      <w:r w:rsidR="000B0127" w:rsidRPr="001E3C9B">
        <w:rPr>
          <w:rFonts w:ascii="Times New Roman" w:hAnsi="Times New Roman" w:cs="Times New Roman"/>
          <w:noProof/>
          <w:color w:val="000000" w:themeColor="text1"/>
          <w:sz w:val="24"/>
          <w:szCs w:val="24"/>
        </w:rPr>
        <w:t xml:space="preserve"> account for 75% of the budget for indirect actions.</w:t>
      </w:r>
    </w:p>
    <w:p w14:paraId="3C9B910A" w14:textId="62693B84" w:rsidR="000B0127" w:rsidRPr="001E3C9B" w:rsidRDefault="000B0127" w:rsidP="000B0127">
      <w:pPr>
        <w:spacing w:after="120"/>
        <w:jc w:val="both"/>
        <w:rPr>
          <w:rFonts w:ascii="Times New Roman" w:hAnsi="Times New Roman" w:cs="Times New Roman"/>
          <w:noProof/>
          <w:color w:val="000000" w:themeColor="text1"/>
          <w:sz w:val="24"/>
          <w:szCs w:val="24"/>
        </w:rPr>
      </w:pPr>
      <w:r w:rsidRPr="001E3C9B">
        <w:rPr>
          <w:rFonts w:ascii="Times New Roman" w:hAnsi="Times New Roman" w:cs="Times New Roman"/>
          <w:bCs/>
          <w:noProof/>
          <w:color w:val="000000" w:themeColor="text1"/>
          <w:sz w:val="24"/>
          <w:szCs w:val="24"/>
        </w:rPr>
        <w:t xml:space="preserve">The organisational architecture </w:t>
      </w:r>
      <w:r w:rsidR="00F73E5D">
        <w:rPr>
          <w:rFonts w:ascii="Times New Roman" w:hAnsi="Times New Roman" w:cs="Times New Roman"/>
          <w:bCs/>
          <w:noProof/>
          <w:color w:val="000000" w:themeColor="text1"/>
          <w:sz w:val="24"/>
          <w:szCs w:val="24"/>
        </w:rPr>
        <w:t>for</w:t>
      </w:r>
      <w:r w:rsidRPr="001E3C9B">
        <w:rPr>
          <w:rFonts w:ascii="Times New Roman" w:hAnsi="Times New Roman" w:cs="Times New Roman"/>
          <w:bCs/>
          <w:noProof/>
          <w:color w:val="000000" w:themeColor="text1"/>
          <w:sz w:val="24"/>
          <w:szCs w:val="24"/>
        </w:rPr>
        <w:t xml:space="preserve"> fusion research underwent a major restructuring with the launch of the Programme. Fusion research had long been a field apart</w:t>
      </w:r>
      <w:r w:rsidRPr="001E3C9B">
        <w:rPr>
          <w:rFonts w:ascii="Times New Roman" w:hAnsi="Times New Roman" w:cs="Times New Roman"/>
          <w:bCs/>
          <w:noProof/>
          <w:color w:val="000000" w:themeColor="text1"/>
          <w:sz w:val="24"/>
          <w:szCs w:val="24"/>
          <w:lang w:val="mt-MT"/>
        </w:rPr>
        <w:t xml:space="preserve"> </w:t>
      </w:r>
      <w:r w:rsidRPr="001E3C9B">
        <w:rPr>
          <w:rFonts w:ascii="Times New Roman" w:hAnsi="Times New Roman" w:cs="Times New Roman"/>
          <w:bCs/>
          <w:noProof/>
          <w:color w:val="000000" w:themeColor="text1"/>
          <w:sz w:val="24"/>
          <w:szCs w:val="24"/>
        </w:rPr>
        <w:t>due to</w:t>
      </w:r>
      <w:r w:rsidR="004C4C06">
        <w:rPr>
          <w:rFonts w:ascii="Times New Roman" w:hAnsi="Times New Roman" w:cs="Times New Roman"/>
          <w:bCs/>
          <w:noProof/>
          <w:color w:val="000000" w:themeColor="text1"/>
          <w:sz w:val="24"/>
          <w:szCs w:val="24"/>
        </w:rPr>
        <w:t>: (i)</w:t>
      </w:r>
      <w:r w:rsidRPr="001E3C9B">
        <w:rPr>
          <w:rFonts w:ascii="Times New Roman" w:hAnsi="Times New Roman" w:cs="Times New Roman"/>
          <w:bCs/>
          <w:noProof/>
          <w:color w:val="000000" w:themeColor="text1"/>
          <w:sz w:val="24"/>
          <w:szCs w:val="24"/>
        </w:rPr>
        <w:t xml:space="preserve"> the nature and scale of the undertaking</w:t>
      </w:r>
      <w:r w:rsidR="004C4C06">
        <w:rPr>
          <w:rFonts w:ascii="Times New Roman" w:hAnsi="Times New Roman" w:cs="Times New Roman"/>
          <w:bCs/>
          <w:noProof/>
          <w:color w:val="000000" w:themeColor="text1"/>
          <w:sz w:val="24"/>
          <w:szCs w:val="24"/>
          <w:lang w:val="mt-MT"/>
        </w:rPr>
        <w:t>; (ii)</w:t>
      </w:r>
      <w:r w:rsidRPr="001E3C9B">
        <w:rPr>
          <w:rFonts w:ascii="Times New Roman" w:hAnsi="Times New Roman" w:cs="Times New Roman"/>
          <w:bCs/>
          <w:noProof/>
          <w:color w:val="000000" w:themeColor="text1"/>
          <w:sz w:val="24"/>
          <w:szCs w:val="24"/>
        </w:rPr>
        <w:t xml:space="preserve"> the unique mix of instruments used</w:t>
      </w:r>
      <w:r w:rsidR="004C4C06">
        <w:rPr>
          <w:rFonts w:ascii="Times New Roman" w:hAnsi="Times New Roman" w:cs="Times New Roman"/>
          <w:bCs/>
          <w:noProof/>
          <w:color w:val="000000" w:themeColor="text1"/>
          <w:sz w:val="24"/>
          <w:szCs w:val="24"/>
        </w:rPr>
        <w:t>;</w:t>
      </w:r>
      <w:r w:rsidRPr="001E3C9B">
        <w:rPr>
          <w:rFonts w:ascii="Times New Roman" w:hAnsi="Times New Roman" w:cs="Times New Roman"/>
          <w:bCs/>
          <w:noProof/>
          <w:color w:val="000000" w:themeColor="text1"/>
          <w:sz w:val="24"/>
          <w:szCs w:val="24"/>
        </w:rPr>
        <w:t xml:space="preserve"> and </w:t>
      </w:r>
      <w:r w:rsidR="004C4C06">
        <w:rPr>
          <w:rFonts w:ascii="Times New Roman" w:hAnsi="Times New Roman" w:cs="Times New Roman"/>
          <w:bCs/>
          <w:noProof/>
          <w:color w:val="000000" w:themeColor="text1"/>
          <w:sz w:val="24"/>
          <w:szCs w:val="24"/>
        </w:rPr>
        <w:t xml:space="preserve">(iii) </w:t>
      </w:r>
      <w:r w:rsidRPr="001E3C9B">
        <w:rPr>
          <w:rFonts w:ascii="Times New Roman" w:hAnsi="Times New Roman" w:cs="Times New Roman"/>
          <w:bCs/>
          <w:noProof/>
          <w:color w:val="000000" w:themeColor="text1"/>
          <w:sz w:val="24"/>
          <w:szCs w:val="24"/>
        </w:rPr>
        <w:t xml:space="preserve">the </w:t>
      </w:r>
      <w:r w:rsidRPr="001E3C9B">
        <w:rPr>
          <w:rFonts w:ascii="Times New Roman" w:hAnsi="Times New Roman" w:cs="Times New Roman"/>
          <w:bCs/>
          <w:noProof/>
          <w:color w:val="000000" w:themeColor="text1"/>
          <w:sz w:val="24"/>
          <w:szCs w:val="24"/>
          <w:lang w:val="mt-MT"/>
        </w:rPr>
        <w:t xml:space="preserve">Commission’s </w:t>
      </w:r>
      <w:r w:rsidR="005F2B22" w:rsidRPr="001E3C9B">
        <w:rPr>
          <w:rFonts w:ascii="Times New Roman" w:hAnsi="Times New Roman" w:cs="Times New Roman"/>
          <w:bCs/>
          <w:noProof/>
          <w:color w:val="000000" w:themeColor="text1"/>
          <w:sz w:val="24"/>
          <w:szCs w:val="24"/>
          <w:lang w:val="mt-MT"/>
        </w:rPr>
        <w:t>unique</w:t>
      </w:r>
      <w:r w:rsidRPr="001E3C9B">
        <w:rPr>
          <w:rFonts w:ascii="Times New Roman" w:hAnsi="Times New Roman" w:cs="Times New Roman"/>
          <w:bCs/>
          <w:noProof/>
          <w:color w:val="000000" w:themeColor="text1"/>
          <w:sz w:val="24"/>
          <w:szCs w:val="24"/>
        </w:rPr>
        <w:t xml:space="preserve"> coordination role</w:t>
      </w:r>
      <w:r w:rsidRPr="001E3C9B">
        <w:rPr>
          <w:rFonts w:ascii="Times New Roman" w:hAnsi="Times New Roman" w:cs="Times New Roman"/>
          <w:bCs/>
          <w:noProof/>
          <w:color w:val="000000" w:themeColor="text1"/>
          <w:sz w:val="24"/>
          <w:szCs w:val="24"/>
          <w:lang w:val="mt-MT"/>
        </w:rPr>
        <w:t xml:space="preserve"> which, despite gradually diminishing since the 1990s, was still</w:t>
      </w:r>
      <w:r w:rsidRPr="001E3C9B">
        <w:rPr>
          <w:rFonts w:ascii="Times New Roman" w:hAnsi="Times New Roman" w:cs="Times New Roman"/>
          <w:bCs/>
          <w:noProof/>
          <w:color w:val="000000" w:themeColor="text1"/>
          <w:sz w:val="24"/>
          <w:szCs w:val="24"/>
        </w:rPr>
        <w:t xml:space="preserve"> </w:t>
      </w:r>
      <w:r w:rsidRPr="001E3C9B">
        <w:rPr>
          <w:rFonts w:ascii="Times New Roman" w:hAnsi="Times New Roman" w:cs="Times New Roman"/>
          <w:bCs/>
          <w:noProof/>
          <w:color w:val="000000" w:themeColor="text1"/>
          <w:sz w:val="24"/>
          <w:szCs w:val="24"/>
          <w:lang w:val="mt-MT"/>
        </w:rPr>
        <w:t>unlike what happens</w:t>
      </w:r>
      <w:r w:rsidRPr="001E3C9B">
        <w:rPr>
          <w:rFonts w:ascii="Times New Roman" w:hAnsi="Times New Roman" w:cs="Times New Roman"/>
          <w:bCs/>
          <w:noProof/>
          <w:color w:val="000000" w:themeColor="text1"/>
          <w:sz w:val="24"/>
          <w:szCs w:val="24"/>
        </w:rPr>
        <w:t xml:space="preserve"> in other fields</w:t>
      </w:r>
      <w:r w:rsidRPr="001E3C9B">
        <w:rPr>
          <w:rFonts w:ascii="Times New Roman" w:hAnsi="Times New Roman" w:cs="Times New Roman"/>
          <w:bCs/>
          <w:noProof/>
          <w:color w:val="000000" w:themeColor="text1"/>
          <w:sz w:val="24"/>
          <w:szCs w:val="24"/>
          <w:lang w:val="mt-MT"/>
        </w:rPr>
        <w:t>.</w:t>
      </w:r>
      <w:r w:rsidRPr="001E3C9B">
        <w:rPr>
          <w:rFonts w:ascii="Times New Roman" w:hAnsi="Times New Roman" w:cs="Times New Roman"/>
          <w:noProof/>
          <w:color w:val="000000" w:themeColor="text1"/>
          <w:sz w:val="24"/>
          <w:szCs w:val="24"/>
        </w:rPr>
        <w:t xml:space="preserve"> To effectively</w:t>
      </w:r>
      <w:r w:rsidR="004C4C06" w:rsidRPr="004C4C06">
        <w:rPr>
          <w:rFonts w:ascii="Times New Roman" w:hAnsi="Times New Roman" w:cs="Times New Roman"/>
          <w:noProof/>
          <w:color w:val="000000" w:themeColor="text1"/>
          <w:sz w:val="24"/>
          <w:szCs w:val="24"/>
        </w:rPr>
        <w:t xml:space="preserve"> </w:t>
      </w:r>
      <w:r w:rsidR="004C4C06" w:rsidRPr="001E3C9B">
        <w:rPr>
          <w:rFonts w:ascii="Times New Roman" w:hAnsi="Times New Roman" w:cs="Times New Roman"/>
          <w:noProof/>
          <w:color w:val="000000" w:themeColor="text1"/>
          <w:sz w:val="24"/>
          <w:szCs w:val="24"/>
        </w:rPr>
        <w:t>implement</w:t>
      </w:r>
      <w:r w:rsidRPr="001E3C9B">
        <w:rPr>
          <w:rFonts w:ascii="Times New Roman" w:hAnsi="Times New Roman" w:cs="Times New Roman"/>
          <w:noProof/>
          <w:color w:val="000000" w:themeColor="text1"/>
          <w:sz w:val="24"/>
          <w:szCs w:val="24"/>
        </w:rPr>
        <w:t xml:space="preserve"> the </w:t>
      </w:r>
      <w:r w:rsidR="005E19D3" w:rsidRPr="001E3C9B">
        <w:rPr>
          <w:rFonts w:ascii="Times New Roman" w:hAnsi="Times New Roman" w:cs="Times New Roman"/>
          <w:noProof/>
          <w:color w:val="000000" w:themeColor="text1"/>
          <w:sz w:val="24"/>
          <w:szCs w:val="24"/>
        </w:rPr>
        <w:t>2012</w:t>
      </w:r>
      <w:r w:rsidRPr="001E3C9B">
        <w:rPr>
          <w:rFonts w:ascii="Times New Roman" w:hAnsi="Times New Roman" w:cs="Times New Roman"/>
          <w:noProof/>
          <w:color w:val="000000" w:themeColor="text1"/>
          <w:sz w:val="24"/>
          <w:szCs w:val="24"/>
        </w:rPr>
        <w:t xml:space="preserve"> </w:t>
      </w:r>
      <w:r w:rsidR="00B77B1A">
        <w:rPr>
          <w:rFonts w:ascii="Times New Roman" w:hAnsi="Times New Roman" w:cs="Times New Roman"/>
          <w:noProof/>
          <w:color w:val="000000" w:themeColor="text1"/>
          <w:sz w:val="24"/>
          <w:szCs w:val="24"/>
          <w:lang w:val="mt-MT"/>
        </w:rPr>
        <w:t>f</w:t>
      </w:r>
      <w:r w:rsidRPr="001E3C9B">
        <w:rPr>
          <w:rFonts w:ascii="Times New Roman" w:hAnsi="Times New Roman" w:cs="Times New Roman"/>
          <w:noProof/>
          <w:color w:val="000000" w:themeColor="text1"/>
          <w:sz w:val="24"/>
          <w:szCs w:val="24"/>
          <w:lang w:val="mt-MT"/>
        </w:rPr>
        <w:t>usion</w:t>
      </w:r>
      <w:r w:rsidRPr="001E3C9B">
        <w:rPr>
          <w:rFonts w:ascii="Times New Roman" w:hAnsi="Times New Roman" w:cs="Times New Roman"/>
          <w:noProof/>
          <w:color w:val="000000" w:themeColor="text1"/>
          <w:sz w:val="24"/>
          <w:szCs w:val="24"/>
        </w:rPr>
        <w:t xml:space="preserve"> </w:t>
      </w:r>
      <w:r w:rsidR="00B77B1A">
        <w:rPr>
          <w:rFonts w:ascii="Times New Roman" w:hAnsi="Times New Roman" w:cs="Times New Roman"/>
          <w:noProof/>
          <w:color w:val="000000" w:themeColor="text1"/>
          <w:sz w:val="24"/>
          <w:szCs w:val="24"/>
          <w:lang w:val="mt-MT"/>
        </w:rPr>
        <w:t>r</w:t>
      </w:r>
      <w:r w:rsidRPr="001E3C9B">
        <w:rPr>
          <w:rFonts w:ascii="Times New Roman" w:hAnsi="Times New Roman" w:cs="Times New Roman"/>
          <w:noProof/>
          <w:color w:val="000000" w:themeColor="text1"/>
          <w:sz w:val="24"/>
          <w:szCs w:val="24"/>
        </w:rPr>
        <w:t>oadmap</w:t>
      </w:r>
      <w:r w:rsidR="004C4C06">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the organis</w:t>
      </w:r>
      <w:r w:rsidR="00F05D17" w:rsidRPr="001E3C9B">
        <w:rPr>
          <w:rFonts w:ascii="Times New Roman" w:hAnsi="Times New Roman" w:cs="Times New Roman"/>
          <w:noProof/>
          <w:color w:val="000000" w:themeColor="text1"/>
          <w:sz w:val="24"/>
          <w:szCs w:val="24"/>
          <w:lang w:val="mt-MT"/>
        </w:rPr>
        <w:t>at</w:t>
      </w:r>
      <w:r w:rsidRPr="001E3C9B">
        <w:rPr>
          <w:rFonts w:ascii="Times New Roman" w:hAnsi="Times New Roman" w:cs="Times New Roman"/>
          <w:noProof/>
          <w:color w:val="000000" w:themeColor="text1"/>
          <w:sz w:val="24"/>
          <w:szCs w:val="24"/>
        </w:rPr>
        <w:t xml:space="preserve">ion of fusion research </w:t>
      </w:r>
      <w:r w:rsidR="00F05D17" w:rsidRPr="001E3C9B">
        <w:rPr>
          <w:rFonts w:ascii="Times New Roman" w:hAnsi="Times New Roman" w:cs="Times New Roman"/>
          <w:noProof/>
          <w:color w:val="000000" w:themeColor="text1"/>
          <w:sz w:val="24"/>
          <w:szCs w:val="24"/>
          <w:lang w:val="mt-MT"/>
        </w:rPr>
        <w:t xml:space="preserve">supported through the Programme </w:t>
      </w:r>
      <w:r w:rsidR="004C4C06">
        <w:rPr>
          <w:rFonts w:ascii="Times New Roman" w:hAnsi="Times New Roman" w:cs="Times New Roman"/>
          <w:noProof/>
          <w:color w:val="000000" w:themeColor="text1"/>
          <w:sz w:val="24"/>
          <w:szCs w:val="24"/>
          <w:lang w:val="mt-MT"/>
        </w:rPr>
        <w:t>needed</w:t>
      </w:r>
      <w:r w:rsidR="00E33364" w:rsidRPr="001E3C9B">
        <w:rPr>
          <w:rFonts w:ascii="Times New Roman" w:hAnsi="Times New Roman" w:cs="Times New Roman"/>
          <w:noProof/>
          <w:color w:val="000000" w:themeColor="text1"/>
          <w:sz w:val="24"/>
          <w:szCs w:val="24"/>
          <w:lang w:val="mt-MT"/>
        </w:rPr>
        <w:t xml:space="preserve"> </w:t>
      </w:r>
      <w:r w:rsidRPr="001E3C9B">
        <w:rPr>
          <w:rFonts w:ascii="Times New Roman" w:hAnsi="Times New Roman" w:cs="Times New Roman"/>
          <w:noProof/>
          <w:color w:val="000000" w:themeColor="text1"/>
          <w:sz w:val="24"/>
          <w:szCs w:val="24"/>
        </w:rPr>
        <w:t>a new approach</w:t>
      </w:r>
      <w:r w:rsidR="005F2B22" w:rsidRPr="001E3C9B">
        <w:rPr>
          <w:rStyle w:val="FootnoteReference"/>
          <w:rFonts w:ascii="Times New Roman" w:hAnsi="Times New Roman" w:cs="Times New Roman"/>
          <w:noProof/>
          <w:color w:val="000000" w:themeColor="text1"/>
          <w:sz w:val="24"/>
          <w:szCs w:val="24"/>
        </w:rPr>
        <w:footnoteReference w:id="12"/>
      </w:r>
      <w:r w:rsidRPr="001E3C9B">
        <w:rPr>
          <w:rFonts w:ascii="Times New Roman" w:hAnsi="Times New Roman" w:cs="Times New Roman"/>
          <w:noProof/>
          <w:color w:val="000000" w:themeColor="text1"/>
          <w:sz w:val="24"/>
          <w:szCs w:val="24"/>
        </w:rPr>
        <w:t>.</w:t>
      </w:r>
    </w:p>
    <w:p w14:paraId="371803A0" w14:textId="771C990E" w:rsidR="000B0127" w:rsidRPr="001E3C9B" w:rsidRDefault="000B0127" w:rsidP="000B0127">
      <w:pPr>
        <w:spacing w:after="120"/>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 xml:space="preserve">Following an independent evaluation, </w:t>
      </w:r>
      <w:r w:rsidR="00F05D17" w:rsidRPr="001E3C9B">
        <w:rPr>
          <w:rFonts w:ascii="Times New Roman" w:hAnsi="Times New Roman" w:cs="Times New Roman"/>
          <w:noProof/>
          <w:color w:val="000000" w:themeColor="text1"/>
          <w:sz w:val="24"/>
          <w:szCs w:val="24"/>
          <w:lang w:val="mt-MT"/>
        </w:rPr>
        <w:t xml:space="preserve">in 2014 </w:t>
      </w:r>
      <w:r w:rsidRPr="001E3C9B">
        <w:rPr>
          <w:rFonts w:ascii="Times New Roman" w:hAnsi="Times New Roman" w:cs="Times New Roman"/>
          <w:noProof/>
          <w:color w:val="000000" w:themeColor="text1"/>
          <w:sz w:val="24"/>
          <w:szCs w:val="24"/>
        </w:rPr>
        <w:t xml:space="preserve">the Commission awarded a </w:t>
      </w:r>
      <w:r w:rsidR="004C4C06">
        <w:rPr>
          <w:rFonts w:ascii="Times New Roman" w:hAnsi="Times New Roman" w:cs="Times New Roman"/>
          <w:noProof/>
          <w:color w:val="000000" w:themeColor="text1"/>
          <w:sz w:val="24"/>
          <w:szCs w:val="24"/>
          <w:lang w:val="mt-MT"/>
        </w:rPr>
        <w:t>5</w:t>
      </w:r>
      <w:r w:rsidRPr="001E3C9B">
        <w:rPr>
          <w:rFonts w:ascii="Times New Roman" w:hAnsi="Times New Roman" w:cs="Times New Roman"/>
          <w:noProof/>
          <w:color w:val="000000" w:themeColor="text1"/>
          <w:sz w:val="24"/>
          <w:szCs w:val="24"/>
        </w:rPr>
        <w:t>-year grant to the EUROfusion consortium of national fusion laboratories and institutes to implement a</w:t>
      </w:r>
      <w:r w:rsidR="00F05D17" w:rsidRPr="001E3C9B">
        <w:rPr>
          <w:rFonts w:ascii="Times New Roman" w:hAnsi="Times New Roman" w:cs="Times New Roman"/>
          <w:noProof/>
          <w:color w:val="000000" w:themeColor="text1"/>
          <w:sz w:val="24"/>
          <w:szCs w:val="24"/>
          <w:lang w:val="mt-MT"/>
        </w:rPr>
        <w:t>n</w:t>
      </w:r>
      <w:r w:rsidRPr="001E3C9B">
        <w:rPr>
          <w:rFonts w:ascii="Times New Roman" w:hAnsi="Times New Roman" w:cs="Times New Roman"/>
          <w:noProof/>
          <w:color w:val="000000" w:themeColor="text1"/>
          <w:sz w:val="24"/>
          <w:szCs w:val="24"/>
        </w:rPr>
        <w:t xml:space="preserve"> EJP based on the </w:t>
      </w:r>
      <w:r w:rsidR="00B77B1A">
        <w:rPr>
          <w:rFonts w:ascii="Times New Roman" w:hAnsi="Times New Roman" w:cs="Times New Roman"/>
          <w:noProof/>
          <w:color w:val="000000" w:themeColor="text1"/>
          <w:sz w:val="24"/>
          <w:szCs w:val="24"/>
          <w:lang w:val="mt-MT"/>
        </w:rPr>
        <w:t>f</w:t>
      </w:r>
      <w:r w:rsidRPr="001E3C9B">
        <w:rPr>
          <w:rFonts w:ascii="Times New Roman" w:hAnsi="Times New Roman" w:cs="Times New Roman"/>
          <w:noProof/>
          <w:color w:val="000000" w:themeColor="text1"/>
          <w:sz w:val="24"/>
          <w:szCs w:val="24"/>
        </w:rPr>
        <w:t xml:space="preserve">usion </w:t>
      </w:r>
      <w:r w:rsidR="00B77B1A">
        <w:rPr>
          <w:rFonts w:ascii="Times New Roman" w:hAnsi="Times New Roman" w:cs="Times New Roman"/>
          <w:noProof/>
          <w:color w:val="000000" w:themeColor="text1"/>
          <w:sz w:val="24"/>
          <w:szCs w:val="24"/>
          <w:lang w:val="mt-MT"/>
        </w:rPr>
        <w:t>r</w:t>
      </w:r>
      <w:r w:rsidRPr="001E3C9B">
        <w:rPr>
          <w:rFonts w:ascii="Times New Roman" w:hAnsi="Times New Roman" w:cs="Times New Roman"/>
          <w:noProof/>
          <w:color w:val="000000" w:themeColor="text1"/>
          <w:sz w:val="24"/>
          <w:szCs w:val="24"/>
        </w:rPr>
        <w:t>oadmap. In 2019</w:t>
      </w:r>
      <w:r w:rsidR="007268D7" w:rsidRPr="001E3C9B">
        <w:rPr>
          <w:rFonts w:ascii="Times New Roman" w:hAnsi="Times New Roman" w:cs="Times New Roman"/>
          <w:noProof/>
          <w:color w:val="000000" w:themeColor="text1"/>
          <w:sz w:val="24"/>
          <w:szCs w:val="24"/>
          <w:lang w:val="mt-MT"/>
        </w:rPr>
        <w:t xml:space="preserve">, </w:t>
      </w:r>
      <w:r w:rsidR="007268D7" w:rsidRPr="001E3C9B">
        <w:rPr>
          <w:rFonts w:ascii="Times New Roman" w:hAnsi="Times New Roman" w:cs="Times New Roman"/>
          <w:noProof/>
          <w:color w:val="000000" w:themeColor="text1"/>
          <w:sz w:val="24"/>
          <w:szCs w:val="24"/>
        </w:rPr>
        <w:t xml:space="preserve">following </w:t>
      </w:r>
      <w:r w:rsidR="007268D7" w:rsidRPr="001E3C9B">
        <w:rPr>
          <w:rFonts w:ascii="Times New Roman" w:hAnsi="Times New Roman" w:cs="Times New Roman"/>
          <w:noProof/>
          <w:color w:val="000000" w:themeColor="text1"/>
          <w:sz w:val="24"/>
          <w:szCs w:val="24"/>
          <w:lang w:val="mt-MT"/>
        </w:rPr>
        <w:t xml:space="preserve">the </w:t>
      </w:r>
      <w:r w:rsidR="007268D7" w:rsidRPr="001E3C9B">
        <w:rPr>
          <w:rFonts w:ascii="Times New Roman" w:hAnsi="Times New Roman" w:cs="Times New Roman"/>
          <w:noProof/>
          <w:color w:val="000000" w:themeColor="text1"/>
          <w:sz w:val="24"/>
          <w:szCs w:val="24"/>
        </w:rPr>
        <w:t xml:space="preserve">adoption of the Regulation </w:t>
      </w:r>
      <w:r w:rsidR="007268D7" w:rsidRPr="001E3C9B">
        <w:rPr>
          <w:rFonts w:ascii="Times New Roman" w:hAnsi="Times New Roman" w:cs="Times New Roman"/>
          <w:noProof/>
          <w:color w:val="000000" w:themeColor="text1"/>
          <w:sz w:val="24"/>
          <w:szCs w:val="24"/>
          <w:lang w:val="mt-MT"/>
        </w:rPr>
        <w:t xml:space="preserve">establishing </w:t>
      </w:r>
      <w:r w:rsidR="007268D7" w:rsidRPr="001E3C9B">
        <w:rPr>
          <w:rFonts w:ascii="Times New Roman" w:hAnsi="Times New Roman" w:cs="Times New Roman"/>
          <w:noProof/>
          <w:color w:val="000000" w:themeColor="text1"/>
          <w:sz w:val="24"/>
          <w:szCs w:val="24"/>
        </w:rPr>
        <w:t>the Euratom Programme 2019-2020</w:t>
      </w:r>
      <w:r w:rsidR="007268D7" w:rsidRPr="001E3C9B">
        <w:rPr>
          <w:rStyle w:val="FootnoteReference"/>
          <w:rFonts w:ascii="Times New Roman" w:hAnsi="Times New Roman" w:cs="Times New Roman"/>
          <w:noProof/>
          <w:color w:val="000000" w:themeColor="text1"/>
          <w:sz w:val="24"/>
          <w:szCs w:val="24"/>
        </w:rPr>
        <w:footnoteReference w:id="13"/>
      </w:r>
      <w:r w:rsidR="007268D7" w:rsidRPr="001E3C9B">
        <w:rPr>
          <w:rFonts w:ascii="Times New Roman" w:hAnsi="Times New Roman" w:cs="Times New Roman"/>
          <w:noProof/>
          <w:color w:val="000000" w:themeColor="text1"/>
          <w:sz w:val="24"/>
          <w:szCs w:val="24"/>
          <w:lang w:val="mt-MT"/>
        </w:rPr>
        <w:t xml:space="preserve">, </w:t>
      </w:r>
      <w:r w:rsidRPr="001E3C9B">
        <w:rPr>
          <w:rFonts w:ascii="Times New Roman" w:hAnsi="Times New Roman" w:cs="Times New Roman"/>
          <w:noProof/>
          <w:color w:val="000000" w:themeColor="text1"/>
          <w:sz w:val="24"/>
          <w:szCs w:val="24"/>
        </w:rPr>
        <w:t xml:space="preserve">the EUROfusion grant was prolonged until the end of 2022. The total budget contribution from Euratom to the </w:t>
      </w:r>
      <w:r w:rsidR="007268D7" w:rsidRPr="001E3C9B">
        <w:rPr>
          <w:rFonts w:ascii="Times New Roman" w:hAnsi="Times New Roman" w:cs="Times New Roman"/>
          <w:noProof/>
          <w:color w:val="000000" w:themeColor="text1"/>
          <w:sz w:val="24"/>
          <w:szCs w:val="24"/>
          <w:lang w:val="mt-MT"/>
        </w:rPr>
        <w:t>E</w:t>
      </w:r>
      <w:r w:rsidRPr="001E3C9B">
        <w:rPr>
          <w:rFonts w:ascii="Times New Roman" w:hAnsi="Times New Roman" w:cs="Times New Roman"/>
          <w:noProof/>
          <w:color w:val="000000" w:themeColor="text1"/>
          <w:sz w:val="24"/>
          <w:szCs w:val="24"/>
        </w:rPr>
        <w:t>JP was EUR</w:t>
      </w:r>
      <w:r w:rsidR="004C4C06">
        <w:rPr>
          <w:rFonts w:ascii="Times New Roman" w:hAnsi="Times New Roman" w:cs="Times New Roman"/>
          <w:noProof/>
          <w:color w:val="000000" w:themeColor="text1"/>
          <w:sz w:val="24"/>
          <w:szCs w:val="24"/>
        </w:rPr>
        <w:t> </w:t>
      </w:r>
      <w:r w:rsidRPr="001E3C9B">
        <w:rPr>
          <w:rFonts w:ascii="Times New Roman" w:hAnsi="Times New Roman" w:cs="Times New Roman"/>
          <w:noProof/>
          <w:color w:val="000000" w:themeColor="text1"/>
          <w:sz w:val="24"/>
          <w:szCs w:val="24"/>
        </w:rPr>
        <w:t>67</w:t>
      </w:r>
      <w:r w:rsidR="0069249E">
        <w:rPr>
          <w:rFonts w:ascii="Times New Roman" w:hAnsi="Times New Roman" w:cs="Times New Roman"/>
          <w:noProof/>
          <w:color w:val="000000" w:themeColor="text1"/>
          <w:sz w:val="24"/>
          <w:szCs w:val="24"/>
        </w:rPr>
        <w:t>9</w:t>
      </w:r>
      <w:r w:rsidR="004C4C06">
        <w:rPr>
          <w:rFonts w:ascii="Times New Roman" w:hAnsi="Times New Roman" w:cs="Times New Roman"/>
          <w:noProof/>
          <w:color w:val="000000" w:themeColor="text1"/>
          <w:sz w:val="24"/>
          <w:szCs w:val="24"/>
        </w:rPr>
        <w:t> </w:t>
      </w:r>
      <w:r w:rsidRPr="001E3C9B">
        <w:rPr>
          <w:rFonts w:ascii="Times New Roman" w:hAnsi="Times New Roman" w:cs="Times New Roman"/>
          <w:noProof/>
          <w:color w:val="000000" w:themeColor="text1"/>
          <w:sz w:val="24"/>
          <w:szCs w:val="24"/>
        </w:rPr>
        <w:t>million, representing 5</w:t>
      </w:r>
      <w:r w:rsidR="0069249E">
        <w:rPr>
          <w:rFonts w:ascii="Times New Roman" w:hAnsi="Times New Roman" w:cs="Times New Roman"/>
          <w:noProof/>
          <w:color w:val="000000" w:themeColor="text1"/>
          <w:sz w:val="24"/>
          <w:szCs w:val="24"/>
        </w:rPr>
        <w:t>1</w:t>
      </w:r>
      <w:r w:rsidRPr="001E3C9B">
        <w:rPr>
          <w:rFonts w:ascii="Times New Roman" w:hAnsi="Times New Roman" w:cs="Times New Roman"/>
          <w:noProof/>
          <w:color w:val="000000" w:themeColor="text1"/>
          <w:sz w:val="24"/>
          <w:szCs w:val="24"/>
        </w:rPr>
        <w:t xml:space="preserve">% of the </w:t>
      </w:r>
      <w:r w:rsidR="00D60DFA" w:rsidRPr="001E3C9B">
        <w:rPr>
          <w:rFonts w:ascii="Times New Roman" w:hAnsi="Times New Roman" w:cs="Times New Roman"/>
          <w:noProof/>
          <w:color w:val="000000" w:themeColor="text1"/>
          <w:sz w:val="24"/>
          <w:szCs w:val="24"/>
        </w:rPr>
        <w:t>consortium</w:t>
      </w:r>
      <w:r w:rsidR="00D60DFA">
        <w:rPr>
          <w:rFonts w:ascii="Times New Roman" w:hAnsi="Times New Roman" w:cs="Times New Roman"/>
          <w:noProof/>
          <w:color w:val="000000" w:themeColor="text1"/>
          <w:sz w:val="24"/>
          <w:szCs w:val="24"/>
        </w:rPr>
        <w:t>’s</w:t>
      </w:r>
      <w:r w:rsidR="00D60DFA"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total budget. The extension beyond 2020 provide</w:t>
      </w:r>
      <w:r w:rsidR="007268D7" w:rsidRPr="001E3C9B">
        <w:rPr>
          <w:rFonts w:ascii="Times New Roman" w:hAnsi="Times New Roman" w:cs="Times New Roman"/>
          <w:noProof/>
          <w:color w:val="000000" w:themeColor="text1"/>
          <w:sz w:val="24"/>
          <w:szCs w:val="24"/>
          <w:lang w:val="mt-MT"/>
        </w:rPr>
        <w:t>d</w:t>
      </w:r>
      <w:r w:rsidRPr="001E3C9B">
        <w:rPr>
          <w:rFonts w:ascii="Times New Roman" w:hAnsi="Times New Roman" w:cs="Times New Roman"/>
          <w:noProof/>
          <w:color w:val="000000" w:themeColor="text1"/>
          <w:sz w:val="24"/>
          <w:szCs w:val="24"/>
        </w:rPr>
        <w:t xml:space="preserve"> for a smooth transition to a co-funded European </w:t>
      </w:r>
      <w:r w:rsidR="004A2C34">
        <w:rPr>
          <w:rFonts w:ascii="Times New Roman" w:hAnsi="Times New Roman" w:cs="Times New Roman"/>
          <w:noProof/>
          <w:color w:val="000000" w:themeColor="text1"/>
          <w:sz w:val="24"/>
          <w:szCs w:val="24"/>
        </w:rPr>
        <w:t>p</w:t>
      </w:r>
      <w:r w:rsidRPr="001E3C9B">
        <w:rPr>
          <w:rFonts w:ascii="Times New Roman" w:hAnsi="Times New Roman" w:cs="Times New Roman"/>
          <w:noProof/>
          <w:color w:val="000000" w:themeColor="text1"/>
          <w:sz w:val="24"/>
          <w:szCs w:val="24"/>
        </w:rPr>
        <w:t>artnership in fusion research</w:t>
      </w:r>
      <w:r w:rsidR="00831280" w:rsidRPr="001E3C9B">
        <w:rPr>
          <w:rFonts w:ascii="Times New Roman" w:hAnsi="Times New Roman" w:cs="Times New Roman"/>
          <w:noProof/>
          <w:color w:val="000000" w:themeColor="text1"/>
          <w:sz w:val="24"/>
          <w:szCs w:val="24"/>
        </w:rPr>
        <w:t xml:space="preserve"> – EUROfusion – still active today</w:t>
      </w:r>
      <w:r w:rsidRPr="001E3C9B">
        <w:rPr>
          <w:rFonts w:ascii="Times New Roman" w:hAnsi="Times New Roman" w:cs="Times New Roman"/>
          <w:noProof/>
          <w:color w:val="000000" w:themeColor="text1"/>
          <w:sz w:val="24"/>
          <w:szCs w:val="24"/>
        </w:rPr>
        <w:t>.</w:t>
      </w:r>
    </w:p>
    <w:p w14:paraId="2F4FE68B" w14:textId="43123AA8" w:rsidR="000B0127" w:rsidRPr="001E3C9B" w:rsidRDefault="000B0127" w:rsidP="000B0127">
      <w:pPr>
        <w:spacing w:after="120"/>
        <w:jc w:val="both"/>
        <w:rPr>
          <w:rFonts w:ascii="Times New Roman" w:hAnsi="Times New Roman" w:cs="Times New Roman"/>
          <w:bCs/>
          <w:noProof/>
          <w:color w:val="000000" w:themeColor="text1"/>
          <w:sz w:val="24"/>
          <w:szCs w:val="24"/>
        </w:rPr>
      </w:pPr>
      <w:r w:rsidRPr="001E3C9B">
        <w:rPr>
          <w:rFonts w:ascii="Times New Roman" w:hAnsi="Times New Roman" w:cs="Times New Roman"/>
          <w:noProof/>
          <w:color w:val="000000" w:themeColor="text1"/>
          <w:sz w:val="24"/>
          <w:szCs w:val="24"/>
        </w:rPr>
        <w:t xml:space="preserve">The effective </w:t>
      </w:r>
      <w:r w:rsidRPr="00854965">
        <w:rPr>
          <w:rFonts w:ascii="Times New Roman" w:hAnsi="Times New Roman" w:cs="Times New Roman"/>
          <w:noProof/>
          <w:color w:val="000000" w:themeColor="text1"/>
          <w:sz w:val="24"/>
          <w:szCs w:val="24"/>
        </w:rPr>
        <w:t>integration of all national efforts across Europe</w:t>
      </w:r>
      <w:r w:rsidRPr="001E3C9B">
        <w:rPr>
          <w:rFonts w:ascii="Times New Roman" w:hAnsi="Times New Roman" w:cs="Times New Roman"/>
          <w:noProof/>
          <w:color w:val="000000" w:themeColor="text1"/>
          <w:sz w:val="24"/>
          <w:szCs w:val="24"/>
        </w:rPr>
        <w:t xml:space="preserve"> represents a first for EU-</w:t>
      </w:r>
      <w:r w:rsidR="00346248" w:rsidRPr="001E3C9B">
        <w:rPr>
          <w:rFonts w:ascii="Times New Roman" w:hAnsi="Times New Roman" w:cs="Times New Roman"/>
          <w:noProof/>
          <w:color w:val="000000" w:themeColor="text1"/>
          <w:sz w:val="24"/>
          <w:szCs w:val="24"/>
          <w:lang w:val="mt-MT"/>
        </w:rPr>
        <w:t>supported</w:t>
      </w:r>
      <w:r w:rsidRPr="001E3C9B">
        <w:rPr>
          <w:rFonts w:ascii="Times New Roman" w:hAnsi="Times New Roman" w:cs="Times New Roman"/>
          <w:noProof/>
          <w:color w:val="000000" w:themeColor="text1"/>
          <w:sz w:val="24"/>
          <w:szCs w:val="24"/>
        </w:rPr>
        <w:t xml:space="preserve"> research and includes comprehensive research activities in some 33 separate work packages (projects and taskforces)</w:t>
      </w:r>
      <w:r w:rsidR="004C4C06">
        <w:rPr>
          <w:rFonts w:ascii="Times New Roman" w:hAnsi="Times New Roman" w:cs="Times New Roman"/>
          <w:noProof/>
          <w:color w:val="000000" w:themeColor="text1"/>
          <w:sz w:val="24"/>
          <w:szCs w:val="24"/>
        </w:rPr>
        <w:t>. These separate work packages</w:t>
      </w:r>
      <w:r w:rsidRPr="001E3C9B">
        <w:rPr>
          <w:rFonts w:ascii="Times New Roman" w:hAnsi="Times New Roman" w:cs="Times New Roman"/>
          <w:noProof/>
          <w:color w:val="000000" w:themeColor="text1"/>
          <w:sz w:val="24"/>
          <w:szCs w:val="24"/>
        </w:rPr>
        <w:t xml:space="preserve"> cover education and training actions, international cooperation aspects, industrial involvement, centralised programme management</w:t>
      </w:r>
      <w:r w:rsidR="00804E74">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and the efficient use of key resources through a truly transnational access approach to key facilities. Programme and project management </w:t>
      </w:r>
      <w:r w:rsidR="004C4C06">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 xml:space="preserve">and </w:t>
      </w:r>
      <w:r w:rsidR="004C4C06">
        <w:rPr>
          <w:rFonts w:ascii="Times New Roman" w:hAnsi="Times New Roman" w:cs="Times New Roman"/>
          <w:noProof/>
          <w:color w:val="000000" w:themeColor="text1"/>
          <w:sz w:val="24"/>
          <w:szCs w:val="24"/>
        </w:rPr>
        <w:t xml:space="preserve">their </w:t>
      </w:r>
      <w:r w:rsidRPr="001E3C9B">
        <w:rPr>
          <w:rFonts w:ascii="Times New Roman" w:hAnsi="Times New Roman" w:cs="Times New Roman"/>
          <w:noProof/>
          <w:color w:val="000000" w:themeColor="text1"/>
          <w:sz w:val="24"/>
          <w:szCs w:val="24"/>
        </w:rPr>
        <w:t xml:space="preserve">related governance structures </w:t>
      </w:r>
      <w:r w:rsidR="004C4C06">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 xml:space="preserve">have become more transparent, with information </w:t>
      </w:r>
      <w:r w:rsidR="00E672D3">
        <w:rPr>
          <w:rFonts w:ascii="Times New Roman" w:hAnsi="Times New Roman" w:cs="Times New Roman"/>
          <w:noProof/>
          <w:color w:val="000000" w:themeColor="text1"/>
          <w:sz w:val="24"/>
          <w:szCs w:val="24"/>
        </w:rPr>
        <w:t xml:space="preserve">now </w:t>
      </w:r>
      <w:r w:rsidRPr="001E3C9B">
        <w:rPr>
          <w:rFonts w:ascii="Times New Roman" w:hAnsi="Times New Roman" w:cs="Times New Roman"/>
          <w:noProof/>
          <w:color w:val="000000" w:themeColor="text1"/>
          <w:sz w:val="24"/>
          <w:szCs w:val="24"/>
        </w:rPr>
        <w:t>readily available to the Commission</w:t>
      </w:r>
      <w:r w:rsidR="00E672D3">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w:t>
      </w:r>
      <w:r w:rsidR="00E672D3">
        <w:rPr>
          <w:rFonts w:ascii="Times New Roman" w:hAnsi="Times New Roman" w:cs="Times New Roman"/>
          <w:noProof/>
          <w:color w:val="000000" w:themeColor="text1"/>
          <w:sz w:val="24"/>
          <w:szCs w:val="24"/>
        </w:rPr>
        <w:t>which</w:t>
      </w:r>
      <w:r w:rsidR="00E672D3"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retain</w:t>
      </w:r>
      <w:r w:rsidR="00E672D3">
        <w:rPr>
          <w:rFonts w:ascii="Times New Roman" w:hAnsi="Times New Roman" w:cs="Times New Roman"/>
          <w:noProof/>
          <w:color w:val="000000" w:themeColor="text1"/>
          <w:sz w:val="24"/>
          <w:szCs w:val="24"/>
        </w:rPr>
        <w:t>s</w:t>
      </w:r>
      <w:r w:rsidRPr="001E3C9B">
        <w:rPr>
          <w:rFonts w:ascii="Times New Roman" w:hAnsi="Times New Roman" w:cs="Times New Roman"/>
          <w:noProof/>
          <w:color w:val="000000" w:themeColor="text1"/>
          <w:sz w:val="24"/>
          <w:szCs w:val="24"/>
        </w:rPr>
        <w:t xml:space="preserve"> overall monitoring and assessment responsibilities. Evaluation also showed that </w:t>
      </w:r>
      <w:bookmarkStart w:id="4" w:name="_Toc494899799"/>
      <w:r w:rsidR="00E421D0" w:rsidRPr="001E3C9B">
        <w:rPr>
          <w:rFonts w:ascii="Times New Roman" w:hAnsi="Times New Roman" w:cs="Times New Roman"/>
          <w:bCs/>
          <w:noProof/>
          <w:color w:val="000000" w:themeColor="text1"/>
          <w:sz w:val="24"/>
          <w:szCs w:val="24"/>
        </w:rPr>
        <w:t xml:space="preserve">EUROfusion’s </w:t>
      </w:r>
      <w:r w:rsidRPr="001E3C9B">
        <w:rPr>
          <w:rFonts w:ascii="Times New Roman" w:hAnsi="Times New Roman" w:cs="Times New Roman"/>
          <w:bCs/>
          <w:noProof/>
          <w:color w:val="000000" w:themeColor="text1"/>
          <w:sz w:val="24"/>
          <w:szCs w:val="24"/>
        </w:rPr>
        <w:t xml:space="preserve">2014-2020 organisational structure was fit for purpose to continue to implement the </w:t>
      </w:r>
      <w:r w:rsidR="00B77B1A">
        <w:rPr>
          <w:rFonts w:ascii="Times New Roman" w:hAnsi="Times New Roman" w:cs="Times New Roman"/>
          <w:bCs/>
          <w:noProof/>
          <w:color w:val="000000" w:themeColor="text1"/>
          <w:sz w:val="24"/>
          <w:szCs w:val="24"/>
        </w:rPr>
        <w:t>f</w:t>
      </w:r>
      <w:r w:rsidRPr="001E3C9B">
        <w:rPr>
          <w:rFonts w:ascii="Times New Roman" w:hAnsi="Times New Roman" w:cs="Times New Roman"/>
          <w:bCs/>
          <w:noProof/>
          <w:color w:val="000000" w:themeColor="text1"/>
          <w:sz w:val="24"/>
          <w:szCs w:val="24"/>
        </w:rPr>
        <w:t xml:space="preserve">usion </w:t>
      </w:r>
      <w:r w:rsidR="00B77B1A">
        <w:rPr>
          <w:rFonts w:ascii="Times New Roman" w:hAnsi="Times New Roman" w:cs="Times New Roman"/>
          <w:bCs/>
          <w:noProof/>
          <w:color w:val="000000" w:themeColor="text1"/>
          <w:sz w:val="24"/>
          <w:szCs w:val="24"/>
        </w:rPr>
        <w:t>r</w:t>
      </w:r>
      <w:r w:rsidRPr="001E3C9B">
        <w:rPr>
          <w:rFonts w:ascii="Times New Roman" w:hAnsi="Times New Roman" w:cs="Times New Roman"/>
          <w:bCs/>
          <w:noProof/>
          <w:color w:val="000000" w:themeColor="text1"/>
          <w:sz w:val="24"/>
          <w:szCs w:val="24"/>
        </w:rPr>
        <w:t>oadmap into the 2021-2025 programming period</w:t>
      </w:r>
      <w:bookmarkEnd w:id="4"/>
      <w:r w:rsidRPr="001E3C9B">
        <w:rPr>
          <w:rFonts w:ascii="Times New Roman" w:hAnsi="Times New Roman" w:cs="Times New Roman"/>
          <w:bCs/>
          <w:noProof/>
          <w:color w:val="000000" w:themeColor="text1"/>
          <w:sz w:val="24"/>
          <w:szCs w:val="24"/>
        </w:rPr>
        <w:t xml:space="preserve">, assuming that the scope and breadth of the </w:t>
      </w:r>
      <w:r w:rsidR="00B77B1A">
        <w:rPr>
          <w:rFonts w:ascii="Times New Roman" w:hAnsi="Times New Roman" w:cs="Times New Roman"/>
          <w:bCs/>
          <w:noProof/>
          <w:color w:val="000000" w:themeColor="text1"/>
          <w:sz w:val="24"/>
          <w:szCs w:val="24"/>
        </w:rPr>
        <w:t>r</w:t>
      </w:r>
      <w:r w:rsidRPr="001E3C9B">
        <w:rPr>
          <w:rFonts w:ascii="Times New Roman" w:hAnsi="Times New Roman" w:cs="Times New Roman"/>
          <w:bCs/>
          <w:noProof/>
          <w:color w:val="000000" w:themeColor="text1"/>
          <w:sz w:val="24"/>
          <w:szCs w:val="24"/>
        </w:rPr>
        <w:t>oadmap remains similar to 2014-2020.</w:t>
      </w:r>
    </w:p>
    <w:p w14:paraId="331AFC42" w14:textId="2D610577" w:rsidR="000B0127" w:rsidRPr="001E3C9B" w:rsidRDefault="00454AFA" w:rsidP="000B0127">
      <w:pPr>
        <w:spacing w:after="120"/>
        <w:jc w:val="both"/>
        <w:rPr>
          <w:rFonts w:ascii="Times New Roman" w:hAnsi="Times New Roman" w:cs="Times New Roman"/>
          <w:bCs/>
          <w:i/>
          <w:iCs/>
          <w:noProof/>
          <w:color w:val="000000" w:themeColor="text1"/>
          <w:sz w:val="24"/>
          <w:szCs w:val="24"/>
          <w:lang w:val="mt-MT"/>
        </w:rPr>
      </w:pPr>
      <w:r w:rsidRPr="001E3C9B">
        <w:rPr>
          <w:rFonts w:ascii="Times New Roman" w:hAnsi="Times New Roman" w:cs="Times New Roman"/>
          <w:bCs/>
          <w:i/>
          <w:iCs/>
          <w:noProof/>
          <w:color w:val="000000" w:themeColor="text1"/>
          <w:sz w:val="24"/>
          <w:szCs w:val="24"/>
        </w:rPr>
        <w:t xml:space="preserve">JRC </w:t>
      </w:r>
      <w:r w:rsidR="00E672D3">
        <w:rPr>
          <w:rFonts w:ascii="Times New Roman" w:hAnsi="Times New Roman" w:cs="Times New Roman"/>
          <w:bCs/>
          <w:i/>
          <w:iCs/>
          <w:noProof/>
          <w:color w:val="000000" w:themeColor="text1"/>
          <w:sz w:val="24"/>
          <w:szCs w:val="24"/>
        </w:rPr>
        <w:t>d</w:t>
      </w:r>
      <w:r w:rsidR="000B0127" w:rsidRPr="001E3C9B">
        <w:rPr>
          <w:rFonts w:ascii="Times New Roman" w:hAnsi="Times New Roman" w:cs="Times New Roman"/>
          <w:bCs/>
          <w:i/>
          <w:iCs/>
          <w:noProof/>
          <w:color w:val="000000" w:themeColor="text1"/>
          <w:sz w:val="24"/>
          <w:szCs w:val="24"/>
        </w:rPr>
        <w:t>irect actions</w:t>
      </w:r>
      <w:r w:rsidR="00346248" w:rsidRPr="001E3C9B">
        <w:rPr>
          <w:rFonts w:ascii="Times New Roman" w:hAnsi="Times New Roman" w:cs="Times New Roman"/>
          <w:bCs/>
          <w:i/>
          <w:iCs/>
          <w:noProof/>
          <w:color w:val="000000" w:themeColor="text1"/>
          <w:sz w:val="24"/>
          <w:szCs w:val="24"/>
          <w:lang w:val="mt-MT"/>
        </w:rPr>
        <w:t xml:space="preserve"> </w:t>
      </w:r>
    </w:p>
    <w:p w14:paraId="03A3FE14" w14:textId="4FCBD44C" w:rsidR="001B42ED" w:rsidRPr="001E3C9B" w:rsidRDefault="001B42ED" w:rsidP="001B42ED">
      <w:pPr>
        <w:spacing w:after="120"/>
        <w:jc w:val="both"/>
        <w:rPr>
          <w:rFonts w:ascii="Times New Roman" w:hAnsi="Times New Roman" w:cs="Times New Roman"/>
          <w:bCs/>
          <w:iCs/>
          <w:noProof/>
          <w:color w:val="000000" w:themeColor="text1"/>
          <w:sz w:val="24"/>
          <w:szCs w:val="24"/>
          <w:lang w:val="mt-MT"/>
        </w:rPr>
      </w:pPr>
      <w:r w:rsidRPr="001E3C9B">
        <w:rPr>
          <w:rFonts w:ascii="Times New Roman" w:hAnsi="Times New Roman" w:cs="Times New Roman"/>
          <w:bCs/>
          <w:iCs/>
          <w:noProof/>
          <w:color w:val="000000" w:themeColor="text1"/>
          <w:sz w:val="24"/>
          <w:szCs w:val="24"/>
          <w:lang w:val="mt-MT"/>
        </w:rPr>
        <w:t>Evaluation experts acknowledged</w:t>
      </w:r>
      <w:r w:rsidR="00E672D3">
        <w:rPr>
          <w:rFonts w:ascii="Times New Roman" w:hAnsi="Times New Roman" w:cs="Times New Roman"/>
          <w:bCs/>
          <w:iCs/>
          <w:noProof/>
          <w:color w:val="000000" w:themeColor="text1"/>
          <w:sz w:val="24"/>
          <w:szCs w:val="24"/>
          <w:lang w:val="mt-MT"/>
        </w:rPr>
        <w:t>: (i)</w:t>
      </w:r>
      <w:r w:rsidRPr="001E3C9B">
        <w:rPr>
          <w:rFonts w:ascii="Times New Roman" w:hAnsi="Times New Roman" w:cs="Times New Roman"/>
          <w:bCs/>
          <w:iCs/>
          <w:noProof/>
          <w:color w:val="000000" w:themeColor="text1"/>
          <w:sz w:val="24"/>
          <w:szCs w:val="24"/>
          <w:lang w:val="mt-MT"/>
        </w:rPr>
        <w:t xml:space="preserve"> efforts made </w:t>
      </w:r>
      <w:r w:rsidR="00E672D3">
        <w:rPr>
          <w:rFonts w:ascii="Times New Roman" w:hAnsi="Times New Roman" w:cs="Times New Roman"/>
          <w:bCs/>
          <w:iCs/>
          <w:noProof/>
          <w:color w:val="000000" w:themeColor="text1"/>
          <w:sz w:val="24"/>
          <w:szCs w:val="24"/>
          <w:lang w:val="mt-MT"/>
        </w:rPr>
        <w:t>to</w:t>
      </w:r>
      <w:r w:rsidR="00E672D3" w:rsidRPr="001E3C9B">
        <w:rPr>
          <w:rFonts w:ascii="Times New Roman" w:hAnsi="Times New Roman" w:cs="Times New Roman"/>
          <w:bCs/>
          <w:iCs/>
          <w:noProof/>
          <w:color w:val="000000" w:themeColor="text1"/>
          <w:sz w:val="24"/>
          <w:szCs w:val="24"/>
          <w:lang w:val="mt-MT"/>
        </w:rPr>
        <w:t xml:space="preserve"> </w:t>
      </w:r>
      <w:r w:rsidRPr="001E3C9B">
        <w:rPr>
          <w:rFonts w:ascii="Times New Roman" w:hAnsi="Times New Roman" w:cs="Times New Roman"/>
          <w:bCs/>
          <w:iCs/>
          <w:noProof/>
          <w:color w:val="000000" w:themeColor="text1"/>
          <w:sz w:val="24"/>
          <w:szCs w:val="24"/>
          <w:lang w:val="mt-MT"/>
        </w:rPr>
        <w:t>introduc</w:t>
      </w:r>
      <w:r w:rsidR="00E672D3">
        <w:rPr>
          <w:rFonts w:ascii="Times New Roman" w:hAnsi="Times New Roman" w:cs="Times New Roman"/>
          <w:bCs/>
          <w:iCs/>
          <w:noProof/>
          <w:color w:val="000000" w:themeColor="text1"/>
          <w:sz w:val="24"/>
          <w:szCs w:val="24"/>
          <w:lang w:val="mt-MT"/>
        </w:rPr>
        <w:t>e</w:t>
      </w:r>
      <w:r w:rsidRPr="001E3C9B">
        <w:rPr>
          <w:rFonts w:ascii="Times New Roman" w:hAnsi="Times New Roman" w:cs="Times New Roman"/>
          <w:bCs/>
          <w:iCs/>
          <w:noProof/>
          <w:color w:val="000000" w:themeColor="text1"/>
          <w:sz w:val="24"/>
          <w:szCs w:val="24"/>
          <w:lang w:val="mt-MT"/>
        </w:rPr>
        <w:t xml:space="preserve"> a common project</w:t>
      </w:r>
      <w:r w:rsidR="00E86DB0">
        <w:rPr>
          <w:rFonts w:ascii="Times New Roman" w:hAnsi="Times New Roman" w:cs="Times New Roman"/>
          <w:bCs/>
          <w:iCs/>
          <w:noProof/>
          <w:color w:val="000000" w:themeColor="text1"/>
          <w:sz w:val="24"/>
          <w:szCs w:val="24"/>
          <w:lang w:val="mt-MT"/>
        </w:rPr>
        <w:t>-</w:t>
      </w:r>
      <w:r w:rsidRPr="001E3C9B">
        <w:rPr>
          <w:rFonts w:ascii="Times New Roman" w:hAnsi="Times New Roman" w:cs="Times New Roman"/>
          <w:bCs/>
          <w:iCs/>
          <w:noProof/>
          <w:color w:val="000000" w:themeColor="text1"/>
          <w:sz w:val="24"/>
          <w:szCs w:val="24"/>
          <w:lang w:val="mt-MT"/>
        </w:rPr>
        <w:t>management methodology across the JRC</w:t>
      </w:r>
      <w:r w:rsidR="00E672D3">
        <w:rPr>
          <w:rFonts w:ascii="Times New Roman" w:hAnsi="Times New Roman" w:cs="Times New Roman"/>
          <w:bCs/>
          <w:iCs/>
          <w:noProof/>
          <w:color w:val="000000" w:themeColor="text1"/>
          <w:sz w:val="24"/>
          <w:szCs w:val="24"/>
          <w:lang w:val="mt-MT"/>
        </w:rPr>
        <w:t>;</w:t>
      </w:r>
      <w:r w:rsidRPr="001E3C9B">
        <w:rPr>
          <w:rFonts w:ascii="Times New Roman" w:hAnsi="Times New Roman" w:cs="Times New Roman"/>
          <w:bCs/>
          <w:iCs/>
          <w:noProof/>
          <w:color w:val="000000" w:themeColor="text1"/>
          <w:sz w:val="24"/>
          <w:szCs w:val="24"/>
          <w:lang w:val="mt-MT"/>
        </w:rPr>
        <w:t xml:space="preserve"> and </w:t>
      </w:r>
      <w:r w:rsidR="00E672D3">
        <w:rPr>
          <w:rFonts w:ascii="Times New Roman" w:hAnsi="Times New Roman" w:cs="Times New Roman"/>
          <w:bCs/>
          <w:iCs/>
          <w:noProof/>
          <w:color w:val="000000" w:themeColor="text1"/>
          <w:sz w:val="24"/>
          <w:szCs w:val="24"/>
          <w:lang w:val="mt-MT"/>
        </w:rPr>
        <w:t xml:space="preserve">(ii) </w:t>
      </w:r>
      <w:r w:rsidRPr="001E3C9B">
        <w:rPr>
          <w:rFonts w:ascii="Times New Roman" w:hAnsi="Times New Roman" w:cs="Times New Roman"/>
          <w:bCs/>
          <w:iCs/>
          <w:noProof/>
          <w:color w:val="000000" w:themeColor="text1"/>
          <w:sz w:val="24"/>
          <w:szCs w:val="24"/>
          <w:lang w:val="mt-MT"/>
        </w:rPr>
        <w:t xml:space="preserve">the increase in efficiency </w:t>
      </w:r>
      <w:r w:rsidR="00E672D3">
        <w:rPr>
          <w:rFonts w:ascii="Times New Roman" w:hAnsi="Times New Roman" w:cs="Times New Roman"/>
          <w:bCs/>
          <w:iCs/>
          <w:noProof/>
          <w:color w:val="000000" w:themeColor="text1"/>
          <w:sz w:val="24"/>
          <w:szCs w:val="24"/>
          <w:lang w:val="mt-MT"/>
        </w:rPr>
        <w:t xml:space="preserve">created by </w:t>
      </w:r>
      <w:r w:rsidRPr="001E3C9B">
        <w:rPr>
          <w:rFonts w:ascii="Times New Roman" w:hAnsi="Times New Roman" w:cs="Times New Roman"/>
          <w:bCs/>
          <w:iCs/>
          <w:noProof/>
          <w:color w:val="000000" w:themeColor="text1"/>
          <w:sz w:val="24"/>
          <w:szCs w:val="24"/>
          <w:lang w:val="mt-MT"/>
        </w:rPr>
        <w:t xml:space="preserve">gathering all nuclear activities under one </w:t>
      </w:r>
      <w:r w:rsidR="00836E28">
        <w:rPr>
          <w:rFonts w:ascii="Times New Roman" w:hAnsi="Times New Roman" w:cs="Times New Roman"/>
          <w:bCs/>
          <w:iCs/>
          <w:noProof/>
          <w:color w:val="000000" w:themeColor="text1"/>
          <w:sz w:val="24"/>
          <w:szCs w:val="24"/>
          <w:lang w:val="mt-MT"/>
        </w:rPr>
        <w:t>d</w:t>
      </w:r>
      <w:r w:rsidRPr="001E3C9B">
        <w:rPr>
          <w:rFonts w:ascii="Times New Roman" w:hAnsi="Times New Roman" w:cs="Times New Roman"/>
          <w:bCs/>
          <w:iCs/>
          <w:noProof/>
          <w:color w:val="000000" w:themeColor="text1"/>
          <w:sz w:val="24"/>
          <w:szCs w:val="24"/>
          <w:lang w:val="mt-MT"/>
        </w:rPr>
        <w:t xml:space="preserve">irectorate. The total budget allocated for direct actions during the evaluated period </w:t>
      </w:r>
      <w:r w:rsidR="00E672D3">
        <w:rPr>
          <w:rFonts w:ascii="Times New Roman" w:hAnsi="Times New Roman" w:cs="Times New Roman"/>
          <w:bCs/>
          <w:iCs/>
          <w:noProof/>
          <w:color w:val="000000" w:themeColor="text1"/>
          <w:sz w:val="24"/>
          <w:szCs w:val="24"/>
          <w:lang w:val="mt-MT"/>
        </w:rPr>
        <w:t xml:space="preserve">of </w:t>
      </w:r>
      <w:r w:rsidRPr="001E3C9B">
        <w:rPr>
          <w:rFonts w:ascii="Times New Roman" w:hAnsi="Times New Roman" w:cs="Times New Roman"/>
          <w:bCs/>
          <w:iCs/>
          <w:noProof/>
          <w:color w:val="000000" w:themeColor="text1"/>
          <w:sz w:val="24"/>
          <w:szCs w:val="24"/>
          <w:lang w:val="mt-MT"/>
        </w:rPr>
        <w:t xml:space="preserve">2014-2020 was </w:t>
      </w:r>
      <w:r w:rsidR="005F2B22" w:rsidRPr="001E3C9B">
        <w:rPr>
          <w:rFonts w:ascii="Times New Roman" w:hAnsi="Times New Roman" w:cs="Times New Roman"/>
          <w:bCs/>
          <w:iCs/>
          <w:noProof/>
          <w:color w:val="000000" w:themeColor="text1"/>
          <w:sz w:val="24"/>
          <w:szCs w:val="24"/>
          <w:lang w:val="mt-MT"/>
        </w:rPr>
        <w:t xml:space="preserve">EUR </w:t>
      </w:r>
      <w:r w:rsidRPr="001E3C9B">
        <w:rPr>
          <w:rFonts w:ascii="Times New Roman" w:hAnsi="Times New Roman" w:cs="Times New Roman"/>
          <w:bCs/>
          <w:iCs/>
          <w:noProof/>
          <w:color w:val="000000" w:themeColor="text1"/>
          <w:sz w:val="24"/>
          <w:szCs w:val="24"/>
          <w:lang w:val="mt-MT"/>
        </w:rPr>
        <w:t>828</w:t>
      </w:r>
      <w:r w:rsidR="005F2B22" w:rsidRPr="001E3C9B">
        <w:rPr>
          <w:rFonts w:ascii="Times New Roman" w:hAnsi="Times New Roman" w:cs="Times New Roman"/>
          <w:bCs/>
          <w:iCs/>
          <w:noProof/>
          <w:color w:val="000000" w:themeColor="text1"/>
          <w:sz w:val="24"/>
          <w:szCs w:val="24"/>
          <w:lang w:val="mt-MT"/>
        </w:rPr>
        <w:t> </w:t>
      </w:r>
      <w:r w:rsidRPr="001E3C9B">
        <w:rPr>
          <w:rFonts w:ascii="Times New Roman" w:hAnsi="Times New Roman" w:cs="Times New Roman"/>
          <w:bCs/>
          <w:iCs/>
          <w:noProof/>
          <w:color w:val="000000" w:themeColor="text1"/>
          <w:sz w:val="24"/>
          <w:szCs w:val="24"/>
          <w:lang w:val="mt-MT"/>
        </w:rPr>
        <w:t>369</w:t>
      </w:r>
      <w:r w:rsidR="005F2B22" w:rsidRPr="001E3C9B">
        <w:rPr>
          <w:rFonts w:ascii="Times New Roman" w:hAnsi="Times New Roman" w:cs="Times New Roman"/>
          <w:bCs/>
          <w:iCs/>
          <w:noProof/>
          <w:color w:val="000000" w:themeColor="text1"/>
          <w:sz w:val="24"/>
          <w:szCs w:val="24"/>
          <w:lang w:val="mt-MT"/>
        </w:rPr>
        <w:t> </w:t>
      </w:r>
      <w:r w:rsidRPr="001E3C9B">
        <w:rPr>
          <w:rFonts w:ascii="Times New Roman" w:hAnsi="Times New Roman" w:cs="Times New Roman"/>
          <w:bCs/>
          <w:iCs/>
          <w:noProof/>
          <w:color w:val="000000" w:themeColor="text1"/>
          <w:sz w:val="24"/>
          <w:szCs w:val="24"/>
          <w:lang w:val="mt-MT"/>
        </w:rPr>
        <w:t>000</w:t>
      </w:r>
      <w:r w:rsidR="005F2B22" w:rsidRPr="001E3C9B">
        <w:rPr>
          <w:rFonts w:ascii="Times New Roman" w:hAnsi="Times New Roman" w:cs="Times New Roman"/>
          <w:bCs/>
          <w:iCs/>
          <w:noProof/>
          <w:color w:val="000000" w:themeColor="text1"/>
          <w:sz w:val="24"/>
          <w:szCs w:val="24"/>
          <w:lang w:val="mt-MT"/>
        </w:rPr>
        <w:t>.</w:t>
      </w:r>
    </w:p>
    <w:p w14:paraId="4556F6CB" w14:textId="5AE9660D" w:rsidR="001B42ED" w:rsidRPr="001E3C9B" w:rsidRDefault="000C7003" w:rsidP="001B42ED">
      <w:pPr>
        <w:spacing w:after="120"/>
        <w:jc w:val="both"/>
        <w:rPr>
          <w:rFonts w:ascii="Times New Roman" w:hAnsi="Times New Roman" w:cs="Times New Roman"/>
          <w:noProof/>
          <w:sz w:val="24"/>
          <w:szCs w:val="24"/>
        </w:rPr>
      </w:pPr>
      <w:r>
        <w:rPr>
          <w:rFonts w:ascii="Times New Roman" w:hAnsi="Times New Roman" w:cs="Times New Roman"/>
          <w:noProof/>
          <w:sz w:val="24"/>
          <w:szCs w:val="24"/>
        </w:rPr>
        <w:t>During the same period, t</w:t>
      </w:r>
      <w:r w:rsidR="001B42ED" w:rsidRPr="001E3C9B">
        <w:rPr>
          <w:rFonts w:ascii="Times New Roman" w:hAnsi="Times New Roman" w:cs="Times New Roman"/>
          <w:noProof/>
          <w:sz w:val="24"/>
          <w:szCs w:val="24"/>
        </w:rPr>
        <w:t xml:space="preserve">he JRC received an additional </w:t>
      </w:r>
      <w:r w:rsidR="005F2B22" w:rsidRPr="001E3C9B">
        <w:rPr>
          <w:rFonts w:ascii="Times New Roman" w:hAnsi="Times New Roman" w:cs="Times New Roman"/>
          <w:noProof/>
          <w:sz w:val="24"/>
          <w:szCs w:val="24"/>
        </w:rPr>
        <w:t xml:space="preserve">EUR </w:t>
      </w:r>
      <w:r w:rsidR="001B42ED" w:rsidRPr="001E3C9B">
        <w:rPr>
          <w:rFonts w:ascii="Times New Roman" w:hAnsi="Times New Roman" w:cs="Times New Roman"/>
          <w:noProof/>
          <w:sz w:val="24"/>
          <w:szCs w:val="24"/>
        </w:rPr>
        <w:t xml:space="preserve">30 million per year as </w:t>
      </w:r>
      <w:r w:rsidR="00E672D3">
        <w:rPr>
          <w:rFonts w:ascii="Times New Roman" w:hAnsi="Times New Roman" w:cs="Times New Roman"/>
          <w:noProof/>
          <w:sz w:val="24"/>
          <w:szCs w:val="24"/>
        </w:rPr>
        <w:t xml:space="preserve">a </w:t>
      </w:r>
      <w:r w:rsidR="001B42ED" w:rsidRPr="001E3C9B">
        <w:rPr>
          <w:rFonts w:ascii="Times New Roman" w:hAnsi="Times New Roman" w:cs="Times New Roman"/>
          <w:noProof/>
          <w:sz w:val="24"/>
          <w:szCs w:val="24"/>
        </w:rPr>
        <w:t xml:space="preserve">specific credit to </w:t>
      </w:r>
      <w:r w:rsidR="00D45902">
        <w:rPr>
          <w:rFonts w:ascii="Times New Roman" w:hAnsi="Times New Roman" w:cs="Times New Roman"/>
          <w:noProof/>
          <w:sz w:val="24"/>
          <w:szCs w:val="24"/>
        </w:rPr>
        <w:t>fund</w:t>
      </w:r>
      <w:r w:rsidR="00D45902" w:rsidRPr="001E3C9B">
        <w:rPr>
          <w:rFonts w:ascii="Times New Roman" w:hAnsi="Times New Roman" w:cs="Times New Roman"/>
          <w:noProof/>
          <w:sz w:val="24"/>
          <w:szCs w:val="24"/>
        </w:rPr>
        <w:t xml:space="preserve"> </w:t>
      </w:r>
      <w:r w:rsidR="001B42ED" w:rsidRPr="001E3C9B">
        <w:rPr>
          <w:rFonts w:ascii="Times New Roman" w:hAnsi="Times New Roman" w:cs="Times New Roman"/>
          <w:noProof/>
          <w:sz w:val="24"/>
          <w:szCs w:val="24"/>
        </w:rPr>
        <w:t xml:space="preserve">the decommissioning programme of some of its </w:t>
      </w:r>
      <w:r w:rsidR="00E5270C" w:rsidRPr="001E3C9B">
        <w:rPr>
          <w:rFonts w:ascii="Times New Roman" w:hAnsi="Times New Roman" w:cs="Times New Roman"/>
          <w:noProof/>
          <w:sz w:val="24"/>
          <w:szCs w:val="24"/>
        </w:rPr>
        <w:t xml:space="preserve">obsolete </w:t>
      </w:r>
      <w:r w:rsidR="001B42ED" w:rsidRPr="001E3C9B">
        <w:rPr>
          <w:rFonts w:ascii="Times New Roman" w:hAnsi="Times New Roman" w:cs="Times New Roman"/>
          <w:noProof/>
          <w:sz w:val="24"/>
          <w:szCs w:val="24"/>
        </w:rPr>
        <w:t xml:space="preserve">nuclear </w:t>
      </w:r>
      <w:r w:rsidR="00E5270C" w:rsidRPr="001E3C9B">
        <w:rPr>
          <w:rFonts w:ascii="Times New Roman" w:hAnsi="Times New Roman" w:cs="Times New Roman"/>
          <w:noProof/>
          <w:sz w:val="24"/>
          <w:szCs w:val="24"/>
        </w:rPr>
        <w:t xml:space="preserve">research </w:t>
      </w:r>
      <w:r w:rsidR="001B42ED" w:rsidRPr="001E3C9B">
        <w:rPr>
          <w:rFonts w:ascii="Times New Roman" w:hAnsi="Times New Roman" w:cs="Times New Roman"/>
          <w:noProof/>
          <w:sz w:val="24"/>
          <w:szCs w:val="24"/>
        </w:rPr>
        <w:t xml:space="preserve">facilities. While this financial contribution was separate from the </w:t>
      </w:r>
      <w:r w:rsidR="005F2B22" w:rsidRPr="001E3C9B">
        <w:rPr>
          <w:rFonts w:ascii="Times New Roman" w:hAnsi="Times New Roman" w:cs="Times New Roman"/>
          <w:noProof/>
          <w:sz w:val="24"/>
          <w:szCs w:val="24"/>
        </w:rPr>
        <w:t xml:space="preserve">budget for </w:t>
      </w:r>
      <w:r w:rsidR="001B42ED" w:rsidRPr="001E3C9B">
        <w:rPr>
          <w:rFonts w:ascii="Times New Roman" w:hAnsi="Times New Roman" w:cs="Times New Roman"/>
          <w:noProof/>
          <w:sz w:val="24"/>
          <w:szCs w:val="24"/>
        </w:rPr>
        <w:t xml:space="preserve">direct actions, the expenses for JRC staff involved in decommissioning activities were </w:t>
      </w:r>
      <w:r w:rsidR="00E5270C" w:rsidRPr="001E3C9B">
        <w:rPr>
          <w:rFonts w:ascii="Times New Roman" w:hAnsi="Times New Roman" w:cs="Times New Roman"/>
          <w:noProof/>
          <w:sz w:val="24"/>
          <w:szCs w:val="24"/>
        </w:rPr>
        <w:t>borne</w:t>
      </w:r>
      <w:r w:rsidR="001B42ED" w:rsidRPr="001E3C9B">
        <w:rPr>
          <w:rFonts w:ascii="Times New Roman" w:hAnsi="Times New Roman" w:cs="Times New Roman"/>
          <w:noProof/>
          <w:sz w:val="24"/>
          <w:szCs w:val="24"/>
        </w:rPr>
        <w:t xml:space="preserve"> by the research budget.</w:t>
      </w:r>
    </w:p>
    <w:p w14:paraId="3446A60F" w14:textId="5FD3E35D" w:rsidR="001B42ED" w:rsidRPr="001E3C9B" w:rsidRDefault="001B42ED" w:rsidP="001B42ED">
      <w:pPr>
        <w:spacing w:after="120"/>
        <w:jc w:val="both"/>
        <w:rPr>
          <w:rFonts w:ascii="Times New Roman" w:hAnsi="Times New Roman" w:cs="Times New Roman"/>
          <w:noProof/>
          <w:sz w:val="24"/>
          <w:szCs w:val="24"/>
        </w:rPr>
      </w:pPr>
      <w:r w:rsidRPr="001E3C9B">
        <w:rPr>
          <w:rFonts w:ascii="Times New Roman" w:hAnsi="Times New Roman" w:cs="Times New Roman"/>
          <w:noProof/>
          <w:sz w:val="24"/>
          <w:szCs w:val="24"/>
        </w:rPr>
        <w:t xml:space="preserve">In the budget execution for JRC direct actions, </w:t>
      </w:r>
      <w:r w:rsidR="005F2B22" w:rsidRPr="001E3C9B">
        <w:rPr>
          <w:rFonts w:ascii="Times New Roman" w:hAnsi="Times New Roman" w:cs="Times New Roman"/>
          <w:noProof/>
          <w:sz w:val="24"/>
          <w:szCs w:val="24"/>
        </w:rPr>
        <w:t xml:space="preserve">overall </w:t>
      </w:r>
      <w:r w:rsidRPr="001E3C9B">
        <w:rPr>
          <w:rFonts w:ascii="Times New Roman" w:hAnsi="Times New Roman" w:cs="Times New Roman"/>
          <w:noProof/>
          <w:sz w:val="24"/>
          <w:szCs w:val="24"/>
        </w:rPr>
        <w:t xml:space="preserve">staff costs represented 55% of the budget, accounting for </w:t>
      </w:r>
      <w:r w:rsidRPr="00854965">
        <w:rPr>
          <w:rFonts w:ascii="Times New Roman" w:hAnsi="Times New Roman" w:cs="Times New Roman"/>
          <w:noProof/>
          <w:sz w:val="24"/>
          <w:szCs w:val="24"/>
        </w:rPr>
        <w:t xml:space="preserve">710 people at the beginning of the reporting period in 2014, gradually reduced to 660 </w:t>
      </w:r>
      <w:r w:rsidR="005F2B22" w:rsidRPr="00854965">
        <w:rPr>
          <w:rFonts w:ascii="Times New Roman" w:hAnsi="Times New Roman" w:cs="Times New Roman"/>
          <w:noProof/>
          <w:sz w:val="24"/>
          <w:szCs w:val="24"/>
        </w:rPr>
        <w:t>by</w:t>
      </w:r>
      <w:r w:rsidRPr="00854965">
        <w:rPr>
          <w:rFonts w:ascii="Times New Roman" w:hAnsi="Times New Roman" w:cs="Times New Roman"/>
          <w:noProof/>
          <w:sz w:val="24"/>
          <w:szCs w:val="24"/>
        </w:rPr>
        <w:t xml:space="preserve"> 2020</w:t>
      </w:r>
      <w:r w:rsidRPr="00BA168D">
        <w:rPr>
          <w:rFonts w:ascii="Times New Roman" w:hAnsi="Times New Roman" w:cs="Times New Roman"/>
          <w:noProof/>
          <w:sz w:val="24"/>
          <w:szCs w:val="24"/>
        </w:rPr>
        <w:t>.</w:t>
      </w:r>
      <w:r w:rsidRPr="001E3C9B">
        <w:rPr>
          <w:rFonts w:ascii="Times New Roman" w:hAnsi="Times New Roman" w:cs="Times New Roman"/>
          <w:noProof/>
          <w:sz w:val="24"/>
          <w:szCs w:val="24"/>
        </w:rPr>
        <w:t xml:space="preserve"> This included staff </w:t>
      </w:r>
      <w:r w:rsidR="00E672D3">
        <w:rPr>
          <w:rFonts w:ascii="Times New Roman" w:hAnsi="Times New Roman" w:cs="Times New Roman"/>
          <w:noProof/>
          <w:sz w:val="24"/>
          <w:szCs w:val="24"/>
        </w:rPr>
        <w:t>carrying out</w:t>
      </w:r>
      <w:r w:rsidR="00E672D3" w:rsidRPr="001E3C9B">
        <w:rPr>
          <w:rFonts w:ascii="Times New Roman" w:hAnsi="Times New Roman" w:cs="Times New Roman"/>
          <w:noProof/>
          <w:sz w:val="24"/>
          <w:szCs w:val="24"/>
        </w:rPr>
        <w:t xml:space="preserve"> </w:t>
      </w:r>
      <w:r w:rsidRPr="001E3C9B">
        <w:rPr>
          <w:rFonts w:ascii="Times New Roman" w:hAnsi="Times New Roman" w:cs="Times New Roman"/>
          <w:noProof/>
          <w:sz w:val="24"/>
          <w:szCs w:val="24"/>
        </w:rPr>
        <w:t xml:space="preserve">activities </w:t>
      </w:r>
      <w:r w:rsidR="005F2B22" w:rsidRPr="001E3C9B">
        <w:rPr>
          <w:rFonts w:ascii="Times New Roman" w:hAnsi="Times New Roman" w:cs="Times New Roman"/>
          <w:noProof/>
          <w:sz w:val="24"/>
          <w:szCs w:val="24"/>
        </w:rPr>
        <w:t>under</w:t>
      </w:r>
      <w:r w:rsidRPr="001E3C9B">
        <w:rPr>
          <w:rFonts w:ascii="Times New Roman" w:hAnsi="Times New Roman" w:cs="Times New Roman"/>
          <w:noProof/>
          <w:sz w:val="24"/>
          <w:szCs w:val="24"/>
        </w:rPr>
        <w:t xml:space="preserve"> direct actions (around 47%)</w:t>
      </w:r>
      <w:r w:rsidR="005F2B22" w:rsidRPr="001E3C9B">
        <w:rPr>
          <w:rFonts w:ascii="Times New Roman" w:hAnsi="Times New Roman" w:cs="Times New Roman"/>
          <w:noProof/>
          <w:sz w:val="24"/>
          <w:szCs w:val="24"/>
        </w:rPr>
        <w:t xml:space="preserve"> </w:t>
      </w:r>
      <w:r w:rsidRPr="001E3C9B">
        <w:rPr>
          <w:rFonts w:ascii="Times New Roman" w:hAnsi="Times New Roman" w:cs="Times New Roman"/>
          <w:noProof/>
          <w:sz w:val="24"/>
          <w:szCs w:val="24"/>
        </w:rPr>
        <w:t>staff assigned to infrastructure, maint</w:t>
      </w:r>
      <w:r w:rsidR="00DD070A" w:rsidRPr="001E3C9B">
        <w:rPr>
          <w:rFonts w:ascii="Times New Roman" w:hAnsi="Times New Roman" w:cs="Times New Roman"/>
          <w:noProof/>
          <w:sz w:val="24"/>
          <w:szCs w:val="24"/>
        </w:rPr>
        <w:t>e</w:t>
      </w:r>
      <w:r w:rsidRPr="001E3C9B">
        <w:rPr>
          <w:rFonts w:ascii="Times New Roman" w:hAnsi="Times New Roman" w:cs="Times New Roman"/>
          <w:noProof/>
          <w:sz w:val="24"/>
          <w:szCs w:val="24"/>
        </w:rPr>
        <w:t xml:space="preserve">nance and radiation protection (around 12%), </w:t>
      </w:r>
      <w:r w:rsidR="00C555A0">
        <w:rPr>
          <w:rFonts w:ascii="Times New Roman" w:hAnsi="Times New Roman" w:cs="Times New Roman"/>
          <w:noProof/>
          <w:sz w:val="24"/>
          <w:szCs w:val="24"/>
        </w:rPr>
        <w:t xml:space="preserve">staff engaged in </w:t>
      </w:r>
      <w:r w:rsidRPr="001E3C9B">
        <w:rPr>
          <w:rFonts w:ascii="Times New Roman" w:hAnsi="Times New Roman" w:cs="Times New Roman"/>
          <w:noProof/>
          <w:sz w:val="24"/>
          <w:szCs w:val="24"/>
        </w:rPr>
        <w:t>decommissioning activities (11%) and</w:t>
      </w:r>
      <w:r w:rsidR="00C555A0">
        <w:rPr>
          <w:rFonts w:ascii="Times New Roman" w:hAnsi="Times New Roman" w:cs="Times New Roman"/>
          <w:noProof/>
          <w:sz w:val="24"/>
          <w:szCs w:val="24"/>
        </w:rPr>
        <w:t xml:space="preserve"> staff working in</w:t>
      </w:r>
      <w:r w:rsidRPr="001E3C9B">
        <w:rPr>
          <w:rFonts w:ascii="Times New Roman" w:hAnsi="Times New Roman" w:cs="Times New Roman"/>
          <w:noProof/>
          <w:sz w:val="24"/>
          <w:szCs w:val="24"/>
        </w:rPr>
        <w:t xml:space="preserve"> other support functions (29%).</w:t>
      </w:r>
    </w:p>
    <w:p w14:paraId="155D5EE6" w14:textId="01499184" w:rsidR="001B42ED" w:rsidRPr="001E3C9B" w:rsidRDefault="001B42ED" w:rsidP="001B42ED">
      <w:pPr>
        <w:spacing w:after="120"/>
        <w:jc w:val="both"/>
        <w:rPr>
          <w:rFonts w:ascii="Times New Roman" w:hAnsi="Times New Roman" w:cs="Times New Roman"/>
          <w:noProof/>
          <w:sz w:val="24"/>
          <w:szCs w:val="24"/>
        </w:rPr>
      </w:pPr>
      <w:r w:rsidRPr="001E3C9B">
        <w:rPr>
          <w:rFonts w:ascii="Times New Roman" w:hAnsi="Times New Roman" w:cs="Times New Roman"/>
          <w:noProof/>
          <w:sz w:val="24"/>
          <w:szCs w:val="24"/>
        </w:rPr>
        <w:t xml:space="preserve">In order to ensure </w:t>
      </w:r>
      <w:r w:rsidR="00C555A0">
        <w:rPr>
          <w:rFonts w:ascii="Times New Roman" w:hAnsi="Times New Roman" w:cs="Times New Roman"/>
          <w:noProof/>
          <w:sz w:val="24"/>
          <w:szCs w:val="24"/>
        </w:rPr>
        <w:t>the</w:t>
      </w:r>
      <w:r w:rsidR="00C555A0" w:rsidRPr="001E3C9B">
        <w:rPr>
          <w:rFonts w:ascii="Times New Roman" w:hAnsi="Times New Roman" w:cs="Times New Roman"/>
          <w:noProof/>
          <w:sz w:val="24"/>
          <w:szCs w:val="24"/>
        </w:rPr>
        <w:t xml:space="preserve"> </w:t>
      </w:r>
      <w:r w:rsidRPr="001E3C9B">
        <w:rPr>
          <w:rFonts w:ascii="Times New Roman" w:hAnsi="Times New Roman" w:cs="Times New Roman"/>
          <w:noProof/>
          <w:sz w:val="24"/>
          <w:szCs w:val="24"/>
        </w:rPr>
        <w:t>efficient monitoring of the JRC</w:t>
      </w:r>
      <w:r w:rsidR="005F2B22" w:rsidRPr="001E3C9B">
        <w:rPr>
          <w:rFonts w:ascii="Times New Roman" w:hAnsi="Times New Roman" w:cs="Times New Roman"/>
          <w:noProof/>
          <w:sz w:val="24"/>
          <w:szCs w:val="24"/>
        </w:rPr>
        <w:t>’s</w:t>
      </w:r>
      <w:r w:rsidRPr="001E3C9B">
        <w:rPr>
          <w:rFonts w:ascii="Times New Roman" w:hAnsi="Times New Roman" w:cs="Times New Roman"/>
          <w:noProof/>
          <w:sz w:val="24"/>
          <w:szCs w:val="24"/>
        </w:rPr>
        <w:t xml:space="preserve"> performance as part of the research programmes, a</w:t>
      </w:r>
      <w:r w:rsidR="00D45902">
        <w:rPr>
          <w:rFonts w:ascii="Times New Roman" w:hAnsi="Times New Roman" w:cs="Times New Roman"/>
          <w:noProof/>
          <w:sz w:val="24"/>
          <w:szCs w:val="24"/>
        </w:rPr>
        <w:t>n</w:t>
      </w:r>
      <w:r w:rsidRPr="001E3C9B">
        <w:rPr>
          <w:rFonts w:ascii="Times New Roman" w:hAnsi="Times New Roman" w:cs="Times New Roman"/>
          <w:noProof/>
          <w:sz w:val="24"/>
          <w:szCs w:val="24"/>
        </w:rPr>
        <w:t xml:space="preserve"> </w:t>
      </w:r>
      <w:r w:rsidR="00C555A0">
        <w:rPr>
          <w:rFonts w:ascii="Times New Roman" w:hAnsi="Times New Roman" w:cs="Times New Roman"/>
          <w:noProof/>
          <w:sz w:val="24"/>
          <w:szCs w:val="24"/>
        </w:rPr>
        <w:t>organisation</w:t>
      </w:r>
      <w:r w:rsidRPr="001E3C9B">
        <w:rPr>
          <w:rFonts w:ascii="Times New Roman" w:hAnsi="Times New Roman" w:cs="Times New Roman"/>
          <w:noProof/>
          <w:sz w:val="24"/>
          <w:szCs w:val="24"/>
        </w:rPr>
        <w:t>-wide yearly review is carried out. This exercise aims to measure both productivity and impact, assessing policy</w:t>
      </w:r>
      <w:r w:rsidR="00C555A0">
        <w:rPr>
          <w:rFonts w:ascii="Times New Roman" w:hAnsi="Times New Roman" w:cs="Times New Roman"/>
          <w:noProof/>
          <w:sz w:val="24"/>
          <w:szCs w:val="24"/>
        </w:rPr>
        <w:t>-</w:t>
      </w:r>
      <w:r w:rsidRPr="001E3C9B">
        <w:rPr>
          <w:rFonts w:ascii="Times New Roman" w:hAnsi="Times New Roman" w:cs="Times New Roman"/>
          <w:noProof/>
          <w:sz w:val="24"/>
          <w:szCs w:val="24"/>
        </w:rPr>
        <w:t>support outputs and scientific publication in peer-review journals on the one hand and the policy</w:t>
      </w:r>
      <w:r w:rsidR="00C555A0">
        <w:rPr>
          <w:rFonts w:ascii="Times New Roman" w:hAnsi="Times New Roman" w:cs="Times New Roman"/>
          <w:noProof/>
          <w:sz w:val="24"/>
          <w:szCs w:val="24"/>
        </w:rPr>
        <w:t>-</w:t>
      </w:r>
      <w:r w:rsidRPr="001E3C9B">
        <w:rPr>
          <w:rFonts w:ascii="Times New Roman" w:hAnsi="Times New Roman" w:cs="Times New Roman"/>
          <w:noProof/>
          <w:sz w:val="24"/>
          <w:szCs w:val="24"/>
        </w:rPr>
        <w:t xml:space="preserve">support impact of the output on the other. </w:t>
      </w:r>
    </w:p>
    <w:p w14:paraId="3A0E620A" w14:textId="1CEFDD3A" w:rsidR="001B42ED" w:rsidRPr="001E3C9B" w:rsidRDefault="001B42ED" w:rsidP="001B42ED">
      <w:pPr>
        <w:spacing w:after="120"/>
        <w:jc w:val="both"/>
        <w:rPr>
          <w:rFonts w:ascii="Times New Roman" w:hAnsi="Times New Roman" w:cs="Times New Roman"/>
          <w:noProof/>
          <w:sz w:val="24"/>
          <w:szCs w:val="24"/>
        </w:rPr>
      </w:pPr>
      <w:r w:rsidRPr="001E3C9B">
        <w:rPr>
          <w:rFonts w:ascii="Times New Roman" w:hAnsi="Times New Roman" w:cs="Times New Roman"/>
          <w:noProof/>
          <w:sz w:val="24"/>
          <w:szCs w:val="24"/>
        </w:rPr>
        <w:t>Over the period 2014-2020, a variety of policy</w:t>
      </w:r>
      <w:r w:rsidR="00C555A0">
        <w:rPr>
          <w:rFonts w:ascii="Times New Roman" w:hAnsi="Times New Roman" w:cs="Times New Roman"/>
          <w:noProof/>
          <w:sz w:val="24"/>
          <w:szCs w:val="24"/>
        </w:rPr>
        <w:t>-</w:t>
      </w:r>
      <w:r w:rsidRPr="001E3C9B">
        <w:rPr>
          <w:rFonts w:ascii="Times New Roman" w:hAnsi="Times New Roman" w:cs="Times New Roman"/>
          <w:noProof/>
          <w:sz w:val="24"/>
          <w:szCs w:val="24"/>
        </w:rPr>
        <w:t>support outputs (1</w:t>
      </w:r>
      <w:r w:rsidR="005F2B22" w:rsidRPr="001E3C9B">
        <w:rPr>
          <w:rFonts w:ascii="Times New Roman" w:hAnsi="Times New Roman" w:cs="Times New Roman"/>
          <w:noProof/>
          <w:sz w:val="24"/>
          <w:szCs w:val="24"/>
        </w:rPr>
        <w:t> </w:t>
      </w:r>
      <w:r w:rsidRPr="001E3C9B">
        <w:rPr>
          <w:rFonts w:ascii="Times New Roman" w:hAnsi="Times New Roman" w:cs="Times New Roman"/>
          <w:noProof/>
          <w:sz w:val="24"/>
          <w:szCs w:val="24"/>
        </w:rPr>
        <w:t>114 scientific and technical reports, 147 technical systems, 154 training</w:t>
      </w:r>
      <w:r w:rsidR="005F2B22" w:rsidRPr="001E3C9B">
        <w:rPr>
          <w:rFonts w:ascii="Times New Roman" w:hAnsi="Times New Roman" w:cs="Times New Roman"/>
          <w:noProof/>
          <w:sz w:val="24"/>
          <w:szCs w:val="24"/>
        </w:rPr>
        <w:t xml:space="preserve"> course</w:t>
      </w:r>
      <w:r w:rsidRPr="001E3C9B">
        <w:rPr>
          <w:rFonts w:ascii="Times New Roman" w:hAnsi="Times New Roman" w:cs="Times New Roman"/>
          <w:noProof/>
          <w:sz w:val="24"/>
          <w:szCs w:val="24"/>
        </w:rPr>
        <w:t>s) were delivered to specific users and in support to EU policies. Through the JRC’s direct actions, a large number of scientific outputs were also produced</w:t>
      </w:r>
      <w:r w:rsidR="00C555A0">
        <w:rPr>
          <w:rFonts w:ascii="Times New Roman" w:hAnsi="Times New Roman" w:cs="Times New Roman"/>
          <w:noProof/>
          <w:sz w:val="24"/>
          <w:szCs w:val="24"/>
        </w:rPr>
        <w:t>,</w:t>
      </w:r>
      <w:r w:rsidRPr="001E3C9B">
        <w:rPr>
          <w:rFonts w:ascii="Times New Roman" w:hAnsi="Times New Roman" w:cs="Times New Roman"/>
          <w:noProof/>
          <w:sz w:val="24"/>
          <w:szCs w:val="24"/>
        </w:rPr>
        <w:t xml:space="preserve"> with 1</w:t>
      </w:r>
      <w:r w:rsidR="005F2B22" w:rsidRPr="001E3C9B">
        <w:rPr>
          <w:rFonts w:ascii="Times New Roman" w:hAnsi="Times New Roman" w:cs="Times New Roman"/>
          <w:noProof/>
          <w:sz w:val="24"/>
          <w:szCs w:val="24"/>
        </w:rPr>
        <w:t> </w:t>
      </w:r>
      <w:r w:rsidRPr="001E3C9B">
        <w:rPr>
          <w:rFonts w:ascii="Times New Roman" w:hAnsi="Times New Roman" w:cs="Times New Roman"/>
          <w:noProof/>
          <w:sz w:val="24"/>
          <w:szCs w:val="24"/>
        </w:rPr>
        <w:t>076 articles and conference</w:t>
      </w:r>
      <w:r w:rsidR="00B9240B">
        <w:rPr>
          <w:rFonts w:ascii="Times New Roman" w:hAnsi="Times New Roman" w:cs="Times New Roman"/>
          <w:noProof/>
          <w:sz w:val="24"/>
          <w:szCs w:val="24"/>
        </w:rPr>
        <w:t>-</w:t>
      </w:r>
      <w:r w:rsidRPr="001E3C9B">
        <w:rPr>
          <w:rFonts w:ascii="Times New Roman" w:hAnsi="Times New Roman" w:cs="Times New Roman"/>
          <w:noProof/>
          <w:sz w:val="24"/>
          <w:szCs w:val="24"/>
        </w:rPr>
        <w:t>proceedings contributions published in peer-reviewed periodicals</w:t>
      </w:r>
      <w:r w:rsidR="00B9240B">
        <w:rPr>
          <w:rFonts w:ascii="Times New Roman" w:hAnsi="Times New Roman" w:cs="Times New Roman"/>
          <w:noProof/>
          <w:sz w:val="24"/>
          <w:szCs w:val="24"/>
        </w:rPr>
        <w:t>;</w:t>
      </w:r>
      <w:r w:rsidRPr="001E3C9B">
        <w:rPr>
          <w:rFonts w:ascii="Times New Roman" w:hAnsi="Times New Roman" w:cs="Times New Roman"/>
          <w:noProof/>
          <w:sz w:val="24"/>
          <w:szCs w:val="24"/>
        </w:rPr>
        <w:t xml:space="preserve"> 444 articles contribut</w:t>
      </w:r>
      <w:r w:rsidR="005F2B22" w:rsidRPr="001E3C9B">
        <w:rPr>
          <w:rFonts w:ascii="Times New Roman" w:hAnsi="Times New Roman" w:cs="Times New Roman"/>
          <w:noProof/>
          <w:sz w:val="24"/>
          <w:szCs w:val="24"/>
        </w:rPr>
        <w:t>ed</w:t>
      </w:r>
      <w:r w:rsidRPr="001E3C9B">
        <w:rPr>
          <w:rFonts w:ascii="Times New Roman" w:hAnsi="Times New Roman" w:cs="Times New Roman"/>
          <w:noProof/>
          <w:sz w:val="24"/>
          <w:szCs w:val="24"/>
        </w:rPr>
        <w:t xml:space="preserve"> to monographs or published in other periodicals</w:t>
      </w:r>
      <w:r w:rsidR="00B9240B">
        <w:rPr>
          <w:rFonts w:ascii="Times New Roman" w:hAnsi="Times New Roman" w:cs="Times New Roman"/>
          <w:noProof/>
          <w:sz w:val="24"/>
          <w:szCs w:val="24"/>
        </w:rPr>
        <w:t>;</w:t>
      </w:r>
      <w:r w:rsidRPr="001E3C9B">
        <w:rPr>
          <w:rFonts w:ascii="Times New Roman" w:hAnsi="Times New Roman" w:cs="Times New Roman"/>
          <w:noProof/>
          <w:sz w:val="24"/>
          <w:szCs w:val="24"/>
        </w:rPr>
        <w:t xml:space="preserve"> and 51 books or chapters of books. 28 PhD </w:t>
      </w:r>
      <w:r w:rsidR="00E5270C" w:rsidRPr="001E3C9B">
        <w:rPr>
          <w:rFonts w:ascii="Times New Roman" w:hAnsi="Times New Roman" w:cs="Times New Roman"/>
          <w:noProof/>
          <w:sz w:val="24"/>
          <w:szCs w:val="24"/>
        </w:rPr>
        <w:t xml:space="preserve">dissertations </w:t>
      </w:r>
      <w:r w:rsidRPr="001E3C9B">
        <w:rPr>
          <w:rFonts w:ascii="Times New Roman" w:hAnsi="Times New Roman" w:cs="Times New Roman"/>
          <w:noProof/>
          <w:sz w:val="24"/>
          <w:szCs w:val="24"/>
        </w:rPr>
        <w:t>were also successfully completed</w:t>
      </w:r>
      <w:r w:rsidR="00B9240B">
        <w:rPr>
          <w:rFonts w:ascii="Times New Roman" w:hAnsi="Times New Roman" w:cs="Times New Roman"/>
          <w:noProof/>
          <w:sz w:val="24"/>
          <w:szCs w:val="24"/>
        </w:rPr>
        <w:t xml:space="preserve"> by students </w:t>
      </w:r>
      <w:r w:rsidR="000C7003">
        <w:rPr>
          <w:rFonts w:ascii="Times New Roman" w:hAnsi="Times New Roman" w:cs="Times New Roman"/>
          <w:noProof/>
          <w:sz w:val="24"/>
          <w:szCs w:val="24"/>
        </w:rPr>
        <w:t xml:space="preserve">who benefitted from the access to </w:t>
      </w:r>
      <w:r w:rsidR="00B9240B">
        <w:rPr>
          <w:rFonts w:ascii="Times New Roman" w:hAnsi="Times New Roman" w:cs="Times New Roman"/>
          <w:noProof/>
          <w:sz w:val="24"/>
          <w:szCs w:val="24"/>
        </w:rPr>
        <w:t>JRC facilities</w:t>
      </w:r>
      <w:r w:rsidRPr="001E3C9B">
        <w:rPr>
          <w:rFonts w:ascii="Times New Roman" w:hAnsi="Times New Roman" w:cs="Times New Roman"/>
          <w:noProof/>
          <w:sz w:val="24"/>
          <w:szCs w:val="24"/>
        </w:rPr>
        <w:t>. Based on bibliometric indicators and impact metrics, the JRC</w:t>
      </w:r>
      <w:r w:rsidR="005F2B22" w:rsidRPr="001E3C9B">
        <w:rPr>
          <w:rFonts w:ascii="Times New Roman" w:hAnsi="Times New Roman" w:cs="Times New Roman"/>
          <w:noProof/>
          <w:sz w:val="24"/>
          <w:szCs w:val="24"/>
        </w:rPr>
        <w:t>’s</w:t>
      </w:r>
      <w:r w:rsidRPr="001E3C9B">
        <w:rPr>
          <w:rFonts w:ascii="Times New Roman" w:hAnsi="Times New Roman" w:cs="Times New Roman"/>
          <w:noProof/>
          <w:sz w:val="24"/>
          <w:szCs w:val="24"/>
        </w:rPr>
        <w:t xml:space="preserve"> performance in terms of research publication ranked well above average with a respectable productivity, featuring amongst </w:t>
      </w:r>
      <w:r w:rsidR="00B9240B">
        <w:rPr>
          <w:rFonts w:ascii="Times New Roman" w:hAnsi="Times New Roman" w:cs="Times New Roman"/>
          <w:noProof/>
          <w:sz w:val="24"/>
          <w:szCs w:val="24"/>
        </w:rPr>
        <w:t xml:space="preserve">the </w:t>
      </w:r>
      <w:r w:rsidRPr="001E3C9B">
        <w:rPr>
          <w:rFonts w:ascii="Times New Roman" w:hAnsi="Times New Roman" w:cs="Times New Roman"/>
          <w:noProof/>
          <w:sz w:val="24"/>
          <w:szCs w:val="24"/>
        </w:rPr>
        <w:t xml:space="preserve">most cited publications or in the most cited journals. </w:t>
      </w:r>
    </w:p>
    <w:p w14:paraId="54D3F438" w14:textId="7208B9B1" w:rsidR="001B42ED" w:rsidRPr="001E3C9B" w:rsidRDefault="001B42ED" w:rsidP="001B42ED">
      <w:pPr>
        <w:spacing w:after="120"/>
        <w:jc w:val="both"/>
        <w:rPr>
          <w:rFonts w:ascii="Times New Roman" w:hAnsi="Times New Roman" w:cs="Times New Roman"/>
          <w:noProof/>
          <w:sz w:val="24"/>
          <w:szCs w:val="24"/>
        </w:rPr>
      </w:pPr>
      <w:r w:rsidRPr="001E3C9B">
        <w:rPr>
          <w:rFonts w:ascii="Times New Roman" w:hAnsi="Times New Roman" w:cs="Times New Roman"/>
          <w:noProof/>
          <w:sz w:val="24"/>
          <w:szCs w:val="24"/>
        </w:rPr>
        <w:t>All these outputs have resulted in the provision of scientific support to EU policies</w:t>
      </w:r>
      <w:r w:rsidR="00672684">
        <w:rPr>
          <w:rFonts w:ascii="Times New Roman" w:hAnsi="Times New Roman" w:cs="Times New Roman"/>
          <w:noProof/>
          <w:sz w:val="24"/>
          <w:szCs w:val="24"/>
        </w:rPr>
        <w:t>,</w:t>
      </w:r>
      <w:r w:rsidRPr="001E3C9B">
        <w:rPr>
          <w:rFonts w:ascii="Times New Roman" w:hAnsi="Times New Roman" w:cs="Times New Roman"/>
          <w:noProof/>
          <w:sz w:val="24"/>
          <w:szCs w:val="24"/>
        </w:rPr>
        <w:t xml:space="preserve"> with 373 tangible impacts identified during the evaluation period. The </w:t>
      </w:r>
      <w:r w:rsidR="000F23B7">
        <w:rPr>
          <w:rFonts w:ascii="Times New Roman" w:hAnsi="Times New Roman" w:cs="Times New Roman"/>
          <w:noProof/>
          <w:sz w:val="24"/>
          <w:szCs w:val="24"/>
        </w:rPr>
        <w:t>COVID</w:t>
      </w:r>
      <w:r w:rsidRPr="001E3C9B">
        <w:rPr>
          <w:rFonts w:ascii="Times New Roman" w:hAnsi="Times New Roman" w:cs="Times New Roman"/>
          <w:noProof/>
          <w:sz w:val="24"/>
          <w:szCs w:val="24"/>
        </w:rPr>
        <w:t xml:space="preserve">-19 pandemic had a significant negative impact on research activities in 2020 and resulted in some delays in the delivery of outputs. Nevertheless, a number of mitigating measures were put in place, ensuring continuity of </w:t>
      </w:r>
      <w:r w:rsidR="000F23B7">
        <w:rPr>
          <w:rFonts w:ascii="Times New Roman" w:hAnsi="Times New Roman" w:cs="Times New Roman"/>
          <w:noProof/>
          <w:sz w:val="24"/>
          <w:szCs w:val="24"/>
        </w:rPr>
        <w:t xml:space="preserve">the </w:t>
      </w:r>
      <w:r w:rsidRPr="001E3C9B">
        <w:rPr>
          <w:rFonts w:ascii="Times New Roman" w:hAnsi="Times New Roman" w:cs="Times New Roman"/>
          <w:noProof/>
          <w:sz w:val="24"/>
          <w:szCs w:val="24"/>
        </w:rPr>
        <w:t xml:space="preserve">highest priority work in areas such as the nuclear safeguards laboratories. The issue of open access to JRC nuclear facilities </w:t>
      </w:r>
      <w:r w:rsidR="000F23B7">
        <w:rPr>
          <w:rFonts w:ascii="Times New Roman" w:hAnsi="Times New Roman" w:cs="Times New Roman"/>
          <w:noProof/>
          <w:sz w:val="24"/>
          <w:szCs w:val="24"/>
        </w:rPr>
        <w:t xml:space="preserve">(made difficult because of lockdown restrictions) </w:t>
      </w:r>
      <w:r w:rsidRPr="001E3C9B">
        <w:rPr>
          <w:rFonts w:ascii="Times New Roman" w:hAnsi="Times New Roman" w:cs="Times New Roman"/>
          <w:noProof/>
          <w:sz w:val="24"/>
          <w:szCs w:val="24"/>
        </w:rPr>
        <w:t>was also partially circumvented via remote monitoring of experiments</w:t>
      </w:r>
      <w:r w:rsidR="000F23B7">
        <w:rPr>
          <w:rFonts w:ascii="Times New Roman" w:hAnsi="Times New Roman" w:cs="Times New Roman"/>
          <w:noProof/>
          <w:sz w:val="24"/>
          <w:szCs w:val="24"/>
        </w:rPr>
        <w:t>,</w:t>
      </w:r>
      <w:r w:rsidRPr="001E3C9B">
        <w:rPr>
          <w:rFonts w:ascii="Times New Roman" w:hAnsi="Times New Roman" w:cs="Times New Roman"/>
          <w:noProof/>
          <w:sz w:val="24"/>
          <w:szCs w:val="24"/>
        </w:rPr>
        <w:t xml:space="preserve"> and a number of training </w:t>
      </w:r>
      <w:r w:rsidR="005F2B22" w:rsidRPr="001E3C9B">
        <w:rPr>
          <w:rFonts w:ascii="Times New Roman" w:hAnsi="Times New Roman" w:cs="Times New Roman"/>
          <w:noProof/>
          <w:sz w:val="24"/>
          <w:szCs w:val="24"/>
        </w:rPr>
        <w:t xml:space="preserve">courses </w:t>
      </w:r>
      <w:r w:rsidRPr="001E3C9B">
        <w:rPr>
          <w:rFonts w:ascii="Times New Roman" w:hAnsi="Times New Roman" w:cs="Times New Roman"/>
          <w:noProof/>
          <w:sz w:val="24"/>
          <w:szCs w:val="24"/>
        </w:rPr>
        <w:t xml:space="preserve">were made available virtually. </w:t>
      </w:r>
    </w:p>
    <w:p w14:paraId="10CCC471" w14:textId="1FEFB2C1" w:rsidR="001B42ED" w:rsidRPr="00521C87" w:rsidRDefault="001B42ED" w:rsidP="000B0127">
      <w:pPr>
        <w:spacing w:after="120"/>
        <w:jc w:val="both"/>
        <w:rPr>
          <w:rFonts w:ascii="Times New Roman" w:hAnsi="Times New Roman" w:cs="Times New Roman"/>
          <w:bCs/>
          <w:iCs/>
          <w:noProof/>
          <w:color w:val="000000" w:themeColor="text1"/>
          <w:sz w:val="24"/>
          <w:szCs w:val="24"/>
          <w:lang w:val="mt-MT"/>
        </w:rPr>
      </w:pPr>
      <w:r w:rsidRPr="001E3C9B">
        <w:rPr>
          <w:rFonts w:ascii="Times New Roman" w:hAnsi="Times New Roman" w:cs="Times New Roman"/>
          <w:noProof/>
          <w:sz w:val="24"/>
          <w:szCs w:val="24"/>
        </w:rPr>
        <w:t xml:space="preserve">The interim evaluation report of the Euratom </w:t>
      </w:r>
      <w:r w:rsidR="005F2B22" w:rsidRPr="001E3C9B">
        <w:rPr>
          <w:rFonts w:ascii="Times New Roman" w:hAnsi="Times New Roman" w:cs="Times New Roman"/>
          <w:noProof/>
          <w:sz w:val="24"/>
          <w:szCs w:val="24"/>
        </w:rPr>
        <w:t>P</w:t>
      </w:r>
      <w:r w:rsidRPr="001E3C9B">
        <w:rPr>
          <w:rFonts w:ascii="Times New Roman" w:hAnsi="Times New Roman" w:cs="Times New Roman"/>
          <w:noProof/>
          <w:sz w:val="24"/>
          <w:szCs w:val="24"/>
        </w:rPr>
        <w:t>rogramme</w:t>
      </w:r>
      <w:r w:rsidR="000F23B7">
        <w:rPr>
          <w:rFonts w:ascii="Times New Roman" w:hAnsi="Times New Roman" w:cs="Times New Roman"/>
          <w:noProof/>
          <w:sz w:val="24"/>
          <w:szCs w:val="24"/>
        </w:rPr>
        <w:t xml:space="preserve"> for</w:t>
      </w:r>
      <w:r w:rsidRPr="001E3C9B">
        <w:rPr>
          <w:rFonts w:ascii="Times New Roman" w:hAnsi="Times New Roman" w:cs="Times New Roman"/>
          <w:noProof/>
          <w:sz w:val="24"/>
          <w:szCs w:val="24"/>
        </w:rPr>
        <w:t xml:space="preserve"> 2014-2018 had recommended that the JRC provide proof of its cost-effectiveness. </w:t>
      </w:r>
      <w:r w:rsidR="000F23B7">
        <w:rPr>
          <w:rFonts w:ascii="Times New Roman" w:hAnsi="Times New Roman" w:cs="Times New Roman"/>
          <w:noProof/>
          <w:sz w:val="24"/>
          <w:szCs w:val="24"/>
        </w:rPr>
        <w:t>In response to</w:t>
      </w:r>
      <w:r w:rsidRPr="001E3C9B">
        <w:rPr>
          <w:rFonts w:ascii="Times New Roman" w:hAnsi="Times New Roman" w:cs="Times New Roman"/>
          <w:noProof/>
          <w:sz w:val="24"/>
          <w:szCs w:val="24"/>
        </w:rPr>
        <w:t xml:space="preserve"> this recommendation, a comparative study was carried out on three </w:t>
      </w:r>
      <w:r w:rsidR="005F2B22" w:rsidRPr="001E3C9B">
        <w:rPr>
          <w:rFonts w:ascii="Times New Roman" w:hAnsi="Times New Roman" w:cs="Times New Roman"/>
          <w:noProof/>
          <w:sz w:val="24"/>
          <w:szCs w:val="24"/>
        </w:rPr>
        <w:t xml:space="preserve">projects under </w:t>
      </w:r>
      <w:r w:rsidRPr="001E3C9B">
        <w:rPr>
          <w:rFonts w:ascii="Times New Roman" w:hAnsi="Times New Roman" w:cs="Times New Roman"/>
          <w:noProof/>
          <w:sz w:val="24"/>
          <w:szCs w:val="24"/>
        </w:rPr>
        <w:t>indirect action</w:t>
      </w:r>
      <w:r w:rsidR="005F2B22" w:rsidRPr="001E3C9B">
        <w:rPr>
          <w:rFonts w:ascii="Times New Roman" w:hAnsi="Times New Roman" w:cs="Times New Roman"/>
          <w:noProof/>
          <w:sz w:val="24"/>
          <w:szCs w:val="24"/>
        </w:rPr>
        <w:t>s</w:t>
      </w:r>
      <w:r w:rsidRPr="001E3C9B">
        <w:rPr>
          <w:rFonts w:ascii="Times New Roman" w:hAnsi="Times New Roman" w:cs="Times New Roman"/>
          <w:noProof/>
          <w:sz w:val="24"/>
          <w:szCs w:val="24"/>
        </w:rPr>
        <w:t xml:space="preserve"> where the JRC’s role was particularly relevant</w:t>
      </w:r>
      <w:r w:rsidR="005F2B22" w:rsidRPr="001E3C9B">
        <w:rPr>
          <w:rFonts w:ascii="Times New Roman" w:hAnsi="Times New Roman" w:cs="Times New Roman"/>
          <w:noProof/>
          <w:sz w:val="24"/>
          <w:szCs w:val="24"/>
        </w:rPr>
        <w:t>.</w:t>
      </w:r>
      <w:r w:rsidRPr="001E3C9B">
        <w:rPr>
          <w:rFonts w:ascii="Times New Roman" w:hAnsi="Times New Roman" w:cs="Times New Roman"/>
          <w:noProof/>
          <w:sz w:val="24"/>
          <w:szCs w:val="24"/>
        </w:rPr>
        <w:t xml:space="preserve"> </w:t>
      </w:r>
      <w:r w:rsidR="000F23B7">
        <w:rPr>
          <w:rFonts w:ascii="Times New Roman" w:hAnsi="Times New Roman" w:cs="Times New Roman"/>
          <w:noProof/>
          <w:sz w:val="24"/>
          <w:szCs w:val="24"/>
        </w:rPr>
        <w:t>This study</w:t>
      </w:r>
      <w:r w:rsidR="000F23B7" w:rsidRPr="001E3C9B">
        <w:rPr>
          <w:rFonts w:ascii="Times New Roman" w:hAnsi="Times New Roman" w:cs="Times New Roman"/>
          <w:noProof/>
          <w:sz w:val="24"/>
          <w:szCs w:val="24"/>
        </w:rPr>
        <w:t xml:space="preserve"> </w:t>
      </w:r>
      <w:r w:rsidRPr="001E3C9B">
        <w:rPr>
          <w:rFonts w:ascii="Times New Roman" w:hAnsi="Times New Roman" w:cs="Times New Roman"/>
          <w:noProof/>
          <w:sz w:val="24"/>
          <w:szCs w:val="24"/>
        </w:rPr>
        <w:t xml:space="preserve">showed that the cost-effectiveness of </w:t>
      </w:r>
      <w:r w:rsidR="00E66B79">
        <w:rPr>
          <w:rFonts w:ascii="Times New Roman" w:hAnsi="Times New Roman" w:cs="Times New Roman"/>
          <w:noProof/>
          <w:sz w:val="24"/>
          <w:szCs w:val="24"/>
        </w:rPr>
        <w:t>the JRC’s</w:t>
      </w:r>
      <w:r w:rsidR="00E66B79" w:rsidRPr="001E3C9B">
        <w:rPr>
          <w:rFonts w:ascii="Times New Roman" w:hAnsi="Times New Roman" w:cs="Times New Roman"/>
          <w:noProof/>
          <w:sz w:val="24"/>
          <w:szCs w:val="24"/>
        </w:rPr>
        <w:t xml:space="preserve"> </w:t>
      </w:r>
      <w:r w:rsidRPr="001E3C9B">
        <w:rPr>
          <w:rFonts w:ascii="Times New Roman" w:hAnsi="Times New Roman" w:cs="Times New Roman"/>
          <w:noProof/>
          <w:sz w:val="24"/>
          <w:szCs w:val="24"/>
        </w:rPr>
        <w:t xml:space="preserve">participation was in line with </w:t>
      </w:r>
      <w:r w:rsidR="00626B63">
        <w:rPr>
          <w:rFonts w:ascii="Times New Roman" w:hAnsi="Times New Roman" w:cs="Times New Roman"/>
          <w:noProof/>
          <w:sz w:val="24"/>
          <w:szCs w:val="24"/>
        </w:rPr>
        <w:t xml:space="preserve">that of </w:t>
      </w:r>
      <w:r w:rsidRPr="001E3C9B">
        <w:rPr>
          <w:rFonts w:ascii="Times New Roman" w:hAnsi="Times New Roman" w:cs="Times New Roman"/>
          <w:noProof/>
          <w:sz w:val="24"/>
          <w:szCs w:val="24"/>
        </w:rPr>
        <w:t xml:space="preserve">other partners. </w:t>
      </w:r>
      <w:r w:rsidR="00E66B79">
        <w:rPr>
          <w:rFonts w:ascii="Times New Roman" w:hAnsi="Times New Roman" w:cs="Times New Roman"/>
          <w:noProof/>
          <w:sz w:val="24"/>
          <w:szCs w:val="24"/>
        </w:rPr>
        <w:t>Although</w:t>
      </w:r>
      <w:r w:rsidR="005F2B22" w:rsidRPr="001E3C9B">
        <w:rPr>
          <w:rFonts w:ascii="Times New Roman" w:hAnsi="Times New Roman" w:cs="Times New Roman"/>
          <w:noProof/>
          <w:sz w:val="24"/>
          <w:szCs w:val="24"/>
        </w:rPr>
        <w:t xml:space="preserve"> </w:t>
      </w:r>
      <w:r w:rsidRPr="001E3C9B">
        <w:rPr>
          <w:rFonts w:ascii="Times New Roman" w:hAnsi="Times New Roman" w:cs="Times New Roman"/>
          <w:noProof/>
          <w:sz w:val="24"/>
          <w:szCs w:val="24"/>
        </w:rPr>
        <w:t xml:space="preserve">experts </w:t>
      </w:r>
      <w:r w:rsidR="00E66B79">
        <w:rPr>
          <w:rFonts w:ascii="Times New Roman" w:hAnsi="Times New Roman" w:cs="Times New Roman"/>
          <w:noProof/>
          <w:sz w:val="24"/>
          <w:szCs w:val="24"/>
        </w:rPr>
        <w:t>also</w:t>
      </w:r>
      <w:r w:rsidR="00E66B79" w:rsidRPr="001E3C9B">
        <w:rPr>
          <w:rFonts w:ascii="Times New Roman" w:hAnsi="Times New Roman" w:cs="Times New Roman"/>
          <w:noProof/>
          <w:sz w:val="24"/>
          <w:szCs w:val="24"/>
        </w:rPr>
        <w:t xml:space="preserve"> </w:t>
      </w:r>
      <w:r w:rsidRPr="001E3C9B">
        <w:rPr>
          <w:rFonts w:ascii="Times New Roman" w:hAnsi="Times New Roman" w:cs="Times New Roman"/>
          <w:noProof/>
          <w:sz w:val="24"/>
          <w:szCs w:val="24"/>
        </w:rPr>
        <w:t xml:space="preserve">recommended </w:t>
      </w:r>
      <w:r w:rsidR="00E66B79">
        <w:rPr>
          <w:rFonts w:ascii="Times New Roman" w:hAnsi="Times New Roman" w:cs="Times New Roman"/>
          <w:noProof/>
          <w:sz w:val="24"/>
          <w:szCs w:val="24"/>
        </w:rPr>
        <w:t xml:space="preserve">in their evaluation </w:t>
      </w:r>
      <w:r w:rsidRPr="001E3C9B">
        <w:rPr>
          <w:rFonts w:ascii="Times New Roman" w:hAnsi="Times New Roman" w:cs="Times New Roman"/>
          <w:noProof/>
          <w:sz w:val="24"/>
          <w:szCs w:val="24"/>
        </w:rPr>
        <w:t xml:space="preserve">that </w:t>
      </w:r>
      <w:r w:rsidR="00B828B9" w:rsidRPr="001E3C9B">
        <w:rPr>
          <w:rFonts w:ascii="Times New Roman" w:hAnsi="Times New Roman" w:cs="Times New Roman"/>
          <w:noProof/>
          <w:sz w:val="24"/>
          <w:szCs w:val="24"/>
        </w:rPr>
        <w:t xml:space="preserve">the </w:t>
      </w:r>
      <w:r w:rsidRPr="001E3C9B">
        <w:rPr>
          <w:rFonts w:ascii="Times New Roman" w:hAnsi="Times New Roman" w:cs="Times New Roman"/>
          <w:noProof/>
          <w:sz w:val="24"/>
          <w:szCs w:val="24"/>
        </w:rPr>
        <w:t xml:space="preserve">JRC </w:t>
      </w:r>
      <w:r w:rsidR="00E66B79">
        <w:rPr>
          <w:rFonts w:ascii="Times New Roman" w:hAnsi="Times New Roman" w:cs="Times New Roman"/>
          <w:noProof/>
          <w:sz w:val="24"/>
          <w:szCs w:val="24"/>
        </w:rPr>
        <w:t xml:space="preserve">should </w:t>
      </w:r>
      <w:r w:rsidRPr="001E3C9B">
        <w:rPr>
          <w:rFonts w:ascii="Times New Roman" w:hAnsi="Times New Roman" w:cs="Times New Roman"/>
          <w:noProof/>
          <w:sz w:val="24"/>
          <w:szCs w:val="24"/>
        </w:rPr>
        <w:t xml:space="preserve">develop key performance indicators for measuring the efficiency of its science for policy support, it is worth mentioning that a complete set of indicators has </w:t>
      </w:r>
      <w:r w:rsidR="00E66B79">
        <w:rPr>
          <w:rFonts w:ascii="Times New Roman" w:hAnsi="Times New Roman" w:cs="Times New Roman"/>
          <w:noProof/>
          <w:sz w:val="24"/>
          <w:szCs w:val="24"/>
        </w:rPr>
        <w:t xml:space="preserve">now </w:t>
      </w:r>
      <w:r w:rsidRPr="001E3C9B">
        <w:rPr>
          <w:rFonts w:ascii="Times New Roman" w:hAnsi="Times New Roman" w:cs="Times New Roman"/>
          <w:noProof/>
          <w:sz w:val="24"/>
          <w:szCs w:val="24"/>
        </w:rPr>
        <w:t xml:space="preserve">been proposed for the </w:t>
      </w:r>
      <w:r w:rsidR="00626B63" w:rsidRPr="001E3C9B">
        <w:rPr>
          <w:rFonts w:ascii="Times New Roman" w:hAnsi="Times New Roman" w:cs="Times New Roman"/>
          <w:noProof/>
          <w:sz w:val="24"/>
          <w:szCs w:val="24"/>
        </w:rPr>
        <w:t>2021-2025</w:t>
      </w:r>
      <w:r w:rsidR="00626B63">
        <w:rPr>
          <w:rFonts w:ascii="Times New Roman" w:hAnsi="Times New Roman" w:cs="Times New Roman"/>
          <w:noProof/>
          <w:sz w:val="24"/>
          <w:szCs w:val="24"/>
        </w:rPr>
        <w:t xml:space="preserve"> </w:t>
      </w:r>
      <w:r w:rsidRPr="001E3C9B">
        <w:rPr>
          <w:rFonts w:ascii="Times New Roman" w:hAnsi="Times New Roman" w:cs="Times New Roman"/>
          <w:noProof/>
          <w:sz w:val="24"/>
          <w:szCs w:val="24"/>
        </w:rPr>
        <w:t xml:space="preserve">Euratom </w:t>
      </w:r>
      <w:r w:rsidR="00626B63">
        <w:rPr>
          <w:rFonts w:ascii="Times New Roman" w:hAnsi="Times New Roman" w:cs="Times New Roman"/>
          <w:noProof/>
          <w:sz w:val="24"/>
          <w:szCs w:val="24"/>
        </w:rPr>
        <w:t>p</w:t>
      </w:r>
      <w:r w:rsidRPr="001E3C9B">
        <w:rPr>
          <w:rFonts w:ascii="Times New Roman" w:hAnsi="Times New Roman" w:cs="Times New Roman"/>
          <w:noProof/>
          <w:sz w:val="24"/>
          <w:szCs w:val="24"/>
        </w:rPr>
        <w:t>rogramme</w:t>
      </w:r>
      <w:r w:rsidR="00E66B79">
        <w:rPr>
          <w:rFonts w:ascii="Times New Roman" w:hAnsi="Times New Roman" w:cs="Times New Roman"/>
          <w:noProof/>
          <w:sz w:val="24"/>
          <w:szCs w:val="24"/>
        </w:rPr>
        <w:t>. This complete set of indicators will help</w:t>
      </w:r>
      <w:r w:rsidRPr="001E3C9B">
        <w:rPr>
          <w:rFonts w:ascii="Times New Roman" w:hAnsi="Times New Roman" w:cs="Times New Roman"/>
          <w:noProof/>
          <w:sz w:val="24"/>
          <w:szCs w:val="24"/>
        </w:rPr>
        <w:t xml:space="preserve"> to measure the impact pathway </w:t>
      </w:r>
      <w:r w:rsidR="00B828B9" w:rsidRPr="001E3C9B">
        <w:rPr>
          <w:rFonts w:ascii="Times New Roman" w:hAnsi="Times New Roman" w:cs="Times New Roman"/>
          <w:noProof/>
          <w:sz w:val="24"/>
          <w:szCs w:val="24"/>
        </w:rPr>
        <w:t>in the</w:t>
      </w:r>
      <w:r w:rsidRPr="001E3C9B">
        <w:rPr>
          <w:rFonts w:ascii="Times New Roman" w:hAnsi="Times New Roman" w:cs="Times New Roman"/>
          <w:noProof/>
          <w:sz w:val="24"/>
          <w:szCs w:val="24"/>
        </w:rPr>
        <w:t xml:space="preserve"> short</w:t>
      </w:r>
      <w:r w:rsidR="00626B63">
        <w:rPr>
          <w:rFonts w:ascii="Times New Roman" w:hAnsi="Times New Roman" w:cs="Times New Roman"/>
          <w:noProof/>
          <w:sz w:val="24"/>
          <w:szCs w:val="24"/>
        </w:rPr>
        <w:t xml:space="preserve"> </w:t>
      </w:r>
      <w:r w:rsidRPr="001E3C9B">
        <w:rPr>
          <w:rFonts w:ascii="Times New Roman" w:hAnsi="Times New Roman" w:cs="Times New Roman"/>
          <w:noProof/>
          <w:sz w:val="24"/>
          <w:szCs w:val="24"/>
        </w:rPr>
        <w:t>,</w:t>
      </w:r>
      <w:r w:rsidR="00626B63">
        <w:rPr>
          <w:rFonts w:ascii="Times New Roman" w:hAnsi="Times New Roman" w:cs="Times New Roman"/>
          <w:noProof/>
          <w:sz w:val="24"/>
          <w:szCs w:val="24"/>
        </w:rPr>
        <w:t xml:space="preserve"> </w:t>
      </w:r>
      <w:r w:rsidRPr="001E3C9B">
        <w:rPr>
          <w:rFonts w:ascii="Times New Roman" w:hAnsi="Times New Roman" w:cs="Times New Roman"/>
          <w:noProof/>
          <w:sz w:val="24"/>
          <w:szCs w:val="24"/>
        </w:rPr>
        <w:t>medium and long</w:t>
      </w:r>
      <w:r w:rsidR="00B828B9" w:rsidRPr="001E3C9B">
        <w:rPr>
          <w:rFonts w:ascii="Times New Roman" w:hAnsi="Times New Roman" w:cs="Times New Roman"/>
          <w:noProof/>
          <w:sz w:val="24"/>
          <w:szCs w:val="24"/>
        </w:rPr>
        <w:t>-</w:t>
      </w:r>
      <w:r w:rsidRPr="001E3C9B">
        <w:rPr>
          <w:rFonts w:ascii="Times New Roman" w:hAnsi="Times New Roman" w:cs="Times New Roman"/>
          <w:noProof/>
          <w:sz w:val="24"/>
          <w:szCs w:val="24"/>
        </w:rPr>
        <w:t>term.</w:t>
      </w:r>
    </w:p>
    <w:p w14:paraId="1903FBB2" w14:textId="2C4BF521" w:rsidR="000B0127" w:rsidRPr="001E3C9B" w:rsidRDefault="000B0127" w:rsidP="000B0127">
      <w:pPr>
        <w:numPr>
          <w:ilvl w:val="1"/>
          <w:numId w:val="1"/>
        </w:numPr>
        <w:spacing w:after="120"/>
        <w:jc w:val="both"/>
        <w:rPr>
          <w:rFonts w:ascii="Times New Roman" w:hAnsi="Times New Roman" w:cs="Times New Roman"/>
          <w:b/>
          <w:bCs/>
          <w:noProof/>
          <w:color w:val="000000" w:themeColor="text1"/>
          <w:sz w:val="24"/>
          <w:szCs w:val="24"/>
        </w:rPr>
      </w:pPr>
      <w:r w:rsidRPr="001E3C9B">
        <w:rPr>
          <w:rFonts w:ascii="Times New Roman" w:hAnsi="Times New Roman" w:cs="Times New Roman"/>
          <w:b/>
          <w:bCs/>
          <w:noProof/>
          <w:color w:val="000000" w:themeColor="text1"/>
          <w:sz w:val="24"/>
          <w:szCs w:val="24"/>
        </w:rPr>
        <w:t>Programme coherence and EU</w:t>
      </w:r>
      <w:r w:rsidR="00314709" w:rsidRPr="001E3C9B">
        <w:rPr>
          <w:rFonts w:ascii="Times New Roman" w:hAnsi="Times New Roman" w:cs="Times New Roman"/>
          <w:b/>
          <w:bCs/>
          <w:noProof/>
          <w:color w:val="000000" w:themeColor="text1"/>
          <w:sz w:val="24"/>
          <w:szCs w:val="24"/>
        </w:rPr>
        <w:t>-</w:t>
      </w:r>
      <w:r w:rsidRPr="001E3C9B">
        <w:rPr>
          <w:rFonts w:ascii="Times New Roman" w:hAnsi="Times New Roman" w:cs="Times New Roman"/>
          <w:b/>
          <w:bCs/>
          <w:noProof/>
          <w:color w:val="000000" w:themeColor="text1"/>
          <w:sz w:val="24"/>
          <w:szCs w:val="24"/>
        </w:rPr>
        <w:t>added value</w:t>
      </w:r>
    </w:p>
    <w:p w14:paraId="5D372004" w14:textId="2595C7F5" w:rsidR="00B828B9" w:rsidRPr="001E3C9B" w:rsidRDefault="000B0127" w:rsidP="000B0127">
      <w:pPr>
        <w:spacing w:after="120"/>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 xml:space="preserve">The </w:t>
      </w:r>
      <w:r w:rsidR="00314709" w:rsidRPr="001E3C9B">
        <w:rPr>
          <w:rFonts w:ascii="Times New Roman" w:hAnsi="Times New Roman" w:cs="Times New Roman"/>
          <w:noProof/>
          <w:color w:val="000000" w:themeColor="text1"/>
          <w:sz w:val="24"/>
          <w:szCs w:val="24"/>
        </w:rPr>
        <w:t>P</w:t>
      </w:r>
      <w:r w:rsidRPr="001E3C9B">
        <w:rPr>
          <w:rFonts w:ascii="Times New Roman" w:hAnsi="Times New Roman" w:cs="Times New Roman"/>
          <w:noProof/>
          <w:color w:val="000000" w:themeColor="text1"/>
          <w:sz w:val="24"/>
          <w:szCs w:val="24"/>
        </w:rPr>
        <w:t>rogramme</w:t>
      </w:r>
      <w:r w:rsidR="0098123F" w:rsidRPr="001E3C9B">
        <w:rPr>
          <w:rFonts w:ascii="Times New Roman" w:hAnsi="Times New Roman" w:cs="Times New Roman"/>
          <w:noProof/>
          <w:color w:val="000000" w:themeColor="text1"/>
          <w:sz w:val="24"/>
          <w:szCs w:val="24"/>
          <w:lang w:val="mt-MT"/>
        </w:rPr>
        <w:t xml:space="preserve"> w</w:t>
      </w:r>
      <w:r w:rsidR="00D5539E">
        <w:rPr>
          <w:rFonts w:ascii="Times New Roman" w:hAnsi="Times New Roman" w:cs="Times New Roman"/>
          <w:noProof/>
          <w:color w:val="000000" w:themeColor="text1"/>
          <w:sz w:val="24"/>
          <w:szCs w:val="24"/>
          <w:lang w:val="mt-MT"/>
        </w:rPr>
        <w:t>as</w:t>
      </w:r>
      <w:r w:rsidRPr="001E3C9B">
        <w:rPr>
          <w:rFonts w:ascii="Times New Roman" w:hAnsi="Times New Roman" w:cs="Times New Roman"/>
          <w:noProof/>
          <w:color w:val="000000" w:themeColor="text1"/>
          <w:sz w:val="24"/>
          <w:szCs w:val="24"/>
        </w:rPr>
        <w:t xml:space="preserve"> </w:t>
      </w:r>
      <w:r w:rsidR="00831280" w:rsidRPr="001E3C9B">
        <w:rPr>
          <w:rFonts w:ascii="Times New Roman" w:hAnsi="Times New Roman" w:cs="Times New Roman"/>
          <w:noProof/>
          <w:color w:val="000000" w:themeColor="text1"/>
          <w:sz w:val="24"/>
          <w:szCs w:val="24"/>
        </w:rPr>
        <w:t xml:space="preserve">coherent </w:t>
      </w:r>
      <w:r w:rsidRPr="001E3C9B">
        <w:rPr>
          <w:rFonts w:ascii="Times New Roman" w:hAnsi="Times New Roman" w:cs="Times New Roman"/>
          <w:noProof/>
          <w:color w:val="000000" w:themeColor="text1"/>
          <w:sz w:val="24"/>
          <w:szCs w:val="24"/>
        </w:rPr>
        <w:t xml:space="preserve">internally and with other EU programmes and policies. </w:t>
      </w:r>
      <w:r w:rsidR="0098123F" w:rsidRPr="001E3C9B">
        <w:rPr>
          <w:rFonts w:ascii="Times New Roman" w:hAnsi="Times New Roman" w:cs="Times New Roman"/>
          <w:noProof/>
          <w:color w:val="000000" w:themeColor="text1"/>
          <w:sz w:val="24"/>
          <w:szCs w:val="24"/>
          <w:lang w:val="mt-MT"/>
        </w:rPr>
        <w:t>Within</w:t>
      </w:r>
      <w:r w:rsidR="00314709" w:rsidRPr="001E3C9B">
        <w:rPr>
          <w:rFonts w:ascii="Times New Roman" w:hAnsi="Times New Roman" w:cs="Times New Roman"/>
          <w:noProof/>
          <w:color w:val="000000" w:themeColor="text1"/>
          <w:sz w:val="24"/>
          <w:szCs w:val="24"/>
        </w:rPr>
        <w:t xml:space="preserve"> the Programme</w:t>
      </w:r>
      <w:r w:rsidR="0098123F" w:rsidRPr="001E3C9B">
        <w:rPr>
          <w:rFonts w:ascii="Times New Roman" w:hAnsi="Times New Roman" w:cs="Times New Roman"/>
          <w:noProof/>
          <w:color w:val="000000" w:themeColor="text1"/>
          <w:sz w:val="24"/>
          <w:szCs w:val="24"/>
          <w:lang w:val="mt-MT"/>
        </w:rPr>
        <w:t xml:space="preserve"> </w:t>
      </w:r>
      <w:r w:rsidR="00585D8D">
        <w:rPr>
          <w:rFonts w:ascii="Times New Roman" w:hAnsi="Times New Roman" w:cs="Times New Roman"/>
          <w:noProof/>
          <w:color w:val="000000" w:themeColor="text1"/>
          <w:sz w:val="24"/>
          <w:szCs w:val="24"/>
          <w:lang w:val="mt-MT"/>
        </w:rPr>
        <w:t>itself</w:t>
      </w:r>
      <w:r w:rsidRPr="001E3C9B">
        <w:rPr>
          <w:rFonts w:ascii="Times New Roman" w:hAnsi="Times New Roman" w:cs="Times New Roman"/>
          <w:noProof/>
          <w:color w:val="000000" w:themeColor="text1"/>
          <w:sz w:val="24"/>
          <w:szCs w:val="24"/>
        </w:rPr>
        <w:t>, the Commission ensure</w:t>
      </w:r>
      <w:r w:rsidR="0098123F" w:rsidRPr="001E3C9B">
        <w:rPr>
          <w:rFonts w:ascii="Times New Roman" w:hAnsi="Times New Roman" w:cs="Times New Roman"/>
          <w:noProof/>
          <w:color w:val="000000" w:themeColor="text1"/>
          <w:sz w:val="24"/>
          <w:szCs w:val="24"/>
          <w:lang w:val="mt-MT"/>
        </w:rPr>
        <w:t>d</w:t>
      </w:r>
      <w:r w:rsidRPr="001E3C9B">
        <w:rPr>
          <w:rFonts w:ascii="Times New Roman" w:hAnsi="Times New Roman" w:cs="Times New Roman"/>
          <w:noProof/>
          <w:color w:val="000000" w:themeColor="text1"/>
          <w:sz w:val="24"/>
          <w:szCs w:val="24"/>
        </w:rPr>
        <w:t xml:space="preserve"> </w:t>
      </w:r>
      <w:r w:rsidRPr="00854965">
        <w:rPr>
          <w:rFonts w:ascii="Times New Roman" w:hAnsi="Times New Roman" w:cs="Times New Roman"/>
          <w:noProof/>
          <w:color w:val="000000" w:themeColor="text1"/>
          <w:sz w:val="24"/>
          <w:szCs w:val="24"/>
        </w:rPr>
        <w:t>links between fission and fusion research</w:t>
      </w:r>
      <w:r w:rsidRPr="001E3C9B">
        <w:rPr>
          <w:rFonts w:ascii="Times New Roman" w:hAnsi="Times New Roman" w:cs="Times New Roman"/>
          <w:noProof/>
          <w:color w:val="000000" w:themeColor="text1"/>
          <w:sz w:val="24"/>
          <w:szCs w:val="24"/>
        </w:rPr>
        <w:t xml:space="preserve"> by supporting projects addressing topics relevant </w:t>
      </w:r>
      <w:r w:rsidR="00314709" w:rsidRPr="001E3C9B">
        <w:rPr>
          <w:rFonts w:ascii="Times New Roman" w:hAnsi="Times New Roman" w:cs="Times New Roman"/>
          <w:noProof/>
          <w:color w:val="000000" w:themeColor="text1"/>
          <w:sz w:val="24"/>
          <w:szCs w:val="24"/>
        </w:rPr>
        <w:t>to</w:t>
      </w:r>
      <w:r w:rsidRPr="001E3C9B">
        <w:rPr>
          <w:rFonts w:ascii="Times New Roman" w:hAnsi="Times New Roman" w:cs="Times New Roman"/>
          <w:noProof/>
          <w:color w:val="000000" w:themeColor="text1"/>
          <w:sz w:val="24"/>
          <w:szCs w:val="24"/>
        </w:rPr>
        <w:t xml:space="preserve"> both fields</w:t>
      </w:r>
      <w:r w:rsidR="00626B63">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such as materials research and tritium management. </w:t>
      </w:r>
      <w:r w:rsidRPr="00854965">
        <w:rPr>
          <w:rFonts w:ascii="Times New Roman" w:hAnsi="Times New Roman" w:cs="Times New Roman"/>
          <w:noProof/>
          <w:color w:val="000000" w:themeColor="text1"/>
          <w:sz w:val="24"/>
          <w:szCs w:val="24"/>
        </w:rPr>
        <w:t xml:space="preserve">Synergies </w:t>
      </w:r>
      <w:r w:rsidR="001B42ED" w:rsidRPr="00854965">
        <w:rPr>
          <w:rFonts w:ascii="Times New Roman" w:hAnsi="Times New Roman" w:cs="Times New Roman"/>
          <w:noProof/>
          <w:color w:val="000000" w:themeColor="text1"/>
          <w:sz w:val="24"/>
          <w:szCs w:val="24"/>
        </w:rPr>
        <w:t xml:space="preserve">and complementarities </w:t>
      </w:r>
      <w:r w:rsidRPr="00854965">
        <w:rPr>
          <w:rFonts w:ascii="Times New Roman" w:hAnsi="Times New Roman" w:cs="Times New Roman"/>
          <w:noProof/>
          <w:color w:val="000000" w:themeColor="text1"/>
          <w:sz w:val="24"/>
          <w:szCs w:val="24"/>
        </w:rPr>
        <w:t>between direct and indirect actions</w:t>
      </w:r>
      <w:r w:rsidRPr="001E3C9B">
        <w:rPr>
          <w:rFonts w:ascii="Times New Roman" w:hAnsi="Times New Roman" w:cs="Times New Roman"/>
          <w:noProof/>
          <w:color w:val="000000" w:themeColor="text1"/>
          <w:sz w:val="24"/>
          <w:szCs w:val="24"/>
        </w:rPr>
        <w:t xml:space="preserve"> </w:t>
      </w:r>
      <w:r w:rsidR="001B42ED" w:rsidRPr="001E3C9B">
        <w:rPr>
          <w:rFonts w:ascii="Times New Roman" w:hAnsi="Times New Roman" w:cs="Times New Roman"/>
          <w:noProof/>
          <w:color w:val="000000" w:themeColor="text1"/>
          <w:sz w:val="24"/>
          <w:szCs w:val="24"/>
        </w:rPr>
        <w:t>were</w:t>
      </w:r>
      <w:r w:rsidRPr="001E3C9B">
        <w:rPr>
          <w:rFonts w:ascii="Times New Roman" w:hAnsi="Times New Roman" w:cs="Times New Roman"/>
          <w:noProof/>
          <w:color w:val="000000" w:themeColor="text1"/>
          <w:sz w:val="24"/>
          <w:szCs w:val="24"/>
        </w:rPr>
        <w:t xml:space="preserve"> </w:t>
      </w:r>
      <w:r w:rsidR="00E66B79">
        <w:rPr>
          <w:rFonts w:ascii="Times New Roman" w:hAnsi="Times New Roman" w:cs="Times New Roman"/>
          <w:noProof/>
          <w:color w:val="000000" w:themeColor="text1"/>
          <w:sz w:val="24"/>
          <w:szCs w:val="24"/>
        </w:rPr>
        <w:t xml:space="preserve">also </w:t>
      </w:r>
      <w:r w:rsidRPr="001E3C9B">
        <w:rPr>
          <w:rFonts w:ascii="Times New Roman" w:hAnsi="Times New Roman" w:cs="Times New Roman"/>
          <w:noProof/>
          <w:color w:val="000000" w:themeColor="text1"/>
          <w:sz w:val="24"/>
          <w:szCs w:val="24"/>
        </w:rPr>
        <w:t xml:space="preserve">ensured </w:t>
      </w:r>
      <w:r w:rsidR="00314709" w:rsidRPr="001E3C9B">
        <w:rPr>
          <w:rFonts w:ascii="Times New Roman" w:hAnsi="Times New Roman" w:cs="Times New Roman"/>
          <w:noProof/>
          <w:color w:val="000000" w:themeColor="text1"/>
          <w:sz w:val="24"/>
          <w:szCs w:val="24"/>
        </w:rPr>
        <w:t xml:space="preserve">through </w:t>
      </w:r>
      <w:r w:rsidR="0098123F" w:rsidRPr="001E3C9B">
        <w:rPr>
          <w:rFonts w:ascii="Times New Roman" w:hAnsi="Times New Roman" w:cs="Times New Roman"/>
          <w:noProof/>
          <w:color w:val="000000" w:themeColor="text1"/>
          <w:sz w:val="24"/>
          <w:szCs w:val="24"/>
          <w:lang w:val="mt-MT"/>
        </w:rPr>
        <w:t xml:space="preserve">the </w:t>
      </w:r>
      <w:r w:rsidR="001B42ED" w:rsidRPr="001E3C9B">
        <w:rPr>
          <w:rFonts w:ascii="Times New Roman" w:hAnsi="Times New Roman" w:cs="Times New Roman"/>
          <w:noProof/>
          <w:color w:val="000000" w:themeColor="text1"/>
          <w:sz w:val="24"/>
          <w:szCs w:val="24"/>
        </w:rPr>
        <w:t xml:space="preserve">JRC’s </w:t>
      </w:r>
      <w:r w:rsidR="0098123F" w:rsidRPr="001E3C9B">
        <w:rPr>
          <w:rFonts w:ascii="Times New Roman" w:hAnsi="Times New Roman" w:cs="Times New Roman"/>
          <w:noProof/>
          <w:color w:val="000000" w:themeColor="text1"/>
          <w:sz w:val="24"/>
          <w:szCs w:val="24"/>
        </w:rPr>
        <w:t xml:space="preserve">participation </w:t>
      </w:r>
      <w:r w:rsidRPr="001E3C9B">
        <w:rPr>
          <w:rFonts w:ascii="Times New Roman" w:hAnsi="Times New Roman" w:cs="Times New Roman"/>
          <w:noProof/>
          <w:color w:val="000000" w:themeColor="text1"/>
          <w:sz w:val="24"/>
          <w:szCs w:val="24"/>
        </w:rPr>
        <w:t xml:space="preserve">in </w:t>
      </w:r>
      <w:r w:rsidR="001B42ED" w:rsidRPr="001E3C9B">
        <w:rPr>
          <w:rFonts w:ascii="Times New Roman" w:hAnsi="Times New Roman" w:cs="Times New Roman"/>
          <w:noProof/>
          <w:color w:val="000000" w:themeColor="text1"/>
          <w:sz w:val="24"/>
          <w:szCs w:val="24"/>
        </w:rPr>
        <w:t xml:space="preserve">38 projects out of the 86 granted under the indirect actions </w:t>
      </w:r>
      <w:r w:rsidR="00B828B9" w:rsidRPr="001E3C9B">
        <w:rPr>
          <w:rFonts w:ascii="Times New Roman" w:hAnsi="Times New Roman" w:cs="Times New Roman"/>
          <w:noProof/>
          <w:color w:val="000000" w:themeColor="text1"/>
          <w:sz w:val="24"/>
          <w:szCs w:val="24"/>
        </w:rPr>
        <w:t>(</w:t>
      </w:r>
      <w:r w:rsidR="001B42ED" w:rsidRPr="001E3C9B">
        <w:rPr>
          <w:rFonts w:ascii="Times New Roman" w:hAnsi="Times New Roman" w:cs="Times New Roman"/>
          <w:noProof/>
          <w:color w:val="000000" w:themeColor="text1"/>
          <w:sz w:val="24"/>
          <w:szCs w:val="24"/>
        </w:rPr>
        <w:t xml:space="preserve">as a member of </w:t>
      </w:r>
      <w:r w:rsidR="00934CC7" w:rsidRPr="001E3C9B">
        <w:rPr>
          <w:rFonts w:ascii="Times New Roman" w:hAnsi="Times New Roman" w:cs="Times New Roman"/>
          <w:noProof/>
          <w:color w:val="000000" w:themeColor="text1"/>
          <w:sz w:val="24"/>
          <w:szCs w:val="24"/>
        </w:rPr>
        <w:t>research consortia</w:t>
      </w:r>
      <w:r w:rsidR="00B828B9" w:rsidRPr="001E3C9B">
        <w:rPr>
          <w:rFonts w:ascii="Times New Roman" w:hAnsi="Times New Roman" w:cs="Times New Roman"/>
          <w:noProof/>
          <w:color w:val="000000" w:themeColor="text1"/>
          <w:sz w:val="24"/>
          <w:szCs w:val="24"/>
        </w:rPr>
        <w:t>)</w:t>
      </w:r>
      <w:r w:rsidR="001B42ED" w:rsidRPr="001E3C9B">
        <w:rPr>
          <w:rFonts w:ascii="Times New Roman" w:hAnsi="Times New Roman" w:cs="Times New Roman"/>
          <w:noProof/>
          <w:color w:val="000000" w:themeColor="text1"/>
          <w:sz w:val="24"/>
          <w:szCs w:val="24"/>
        </w:rPr>
        <w:t xml:space="preserve"> and</w:t>
      </w:r>
      <w:r w:rsidR="00934CC7" w:rsidRPr="001E3C9B">
        <w:rPr>
          <w:rFonts w:ascii="Times New Roman" w:hAnsi="Times New Roman" w:cs="Times New Roman"/>
          <w:noProof/>
          <w:color w:val="000000" w:themeColor="text1"/>
          <w:sz w:val="24"/>
          <w:szCs w:val="24"/>
        </w:rPr>
        <w:t xml:space="preserve"> by</w:t>
      </w:r>
      <w:r w:rsidR="0098123F" w:rsidRPr="001E3C9B">
        <w:rPr>
          <w:rFonts w:ascii="Times New Roman" w:hAnsi="Times New Roman" w:cs="Times New Roman"/>
          <w:noProof/>
          <w:color w:val="000000" w:themeColor="text1"/>
          <w:sz w:val="24"/>
          <w:szCs w:val="24"/>
          <w:lang w:val="mt-MT"/>
        </w:rPr>
        <w:t xml:space="preserve"> </w:t>
      </w:r>
      <w:r w:rsidR="0098123F" w:rsidRPr="001E3C9B">
        <w:rPr>
          <w:rFonts w:ascii="Times New Roman" w:hAnsi="Times New Roman" w:cs="Times New Roman"/>
          <w:noProof/>
          <w:color w:val="000000" w:themeColor="text1"/>
          <w:sz w:val="24"/>
          <w:szCs w:val="24"/>
        </w:rPr>
        <w:t xml:space="preserve">giving access to </w:t>
      </w:r>
      <w:r w:rsidR="001B42ED" w:rsidRPr="001E3C9B">
        <w:rPr>
          <w:rFonts w:ascii="Times New Roman" w:hAnsi="Times New Roman" w:cs="Times New Roman"/>
          <w:noProof/>
          <w:color w:val="000000" w:themeColor="text1"/>
          <w:sz w:val="24"/>
          <w:szCs w:val="24"/>
        </w:rPr>
        <w:t>its</w:t>
      </w:r>
      <w:r w:rsidR="0098123F" w:rsidRPr="001E3C9B">
        <w:rPr>
          <w:rFonts w:ascii="Times New Roman" w:hAnsi="Times New Roman" w:cs="Times New Roman"/>
          <w:noProof/>
          <w:color w:val="000000" w:themeColor="text1"/>
          <w:sz w:val="24"/>
          <w:szCs w:val="24"/>
        </w:rPr>
        <w:t xml:space="preserve"> research infrastructures</w:t>
      </w:r>
      <w:r w:rsidR="00626B63">
        <w:rPr>
          <w:rFonts w:ascii="Times New Roman" w:hAnsi="Times New Roman" w:cs="Times New Roman"/>
          <w:noProof/>
          <w:color w:val="000000" w:themeColor="text1"/>
          <w:sz w:val="24"/>
          <w:szCs w:val="24"/>
        </w:rPr>
        <w:t xml:space="preserve"> to a variety of researchers</w:t>
      </w:r>
      <w:r w:rsidRPr="001E3C9B">
        <w:rPr>
          <w:rFonts w:ascii="Times New Roman" w:hAnsi="Times New Roman" w:cs="Times New Roman"/>
          <w:noProof/>
          <w:color w:val="000000" w:themeColor="text1"/>
          <w:sz w:val="24"/>
          <w:szCs w:val="24"/>
        </w:rPr>
        <w:t>.</w:t>
      </w:r>
    </w:p>
    <w:p w14:paraId="3AC31BAA" w14:textId="40EA8AD3" w:rsidR="00314709" w:rsidRPr="001E3C9B" w:rsidRDefault="001B42ED" w:rsidP="000B0127">
      <w:pPr>
        <w:spacing w:after="120"/>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 xml:space="preserve">This guaranteed the overall sharing of expertise and know-how. </w:t>
      </w:r>
      <w:r w:rsidR="006B1D6D">
        <w:rPr>
          <w:rFonts w:ascii="Times New Roman" w:hAnsi="Times New Roman" w:cs="Times New Roman"/>
          <w:noProof/>
          <w:color w:val="000000" w:themeColor="text1"/>
          <w:sz w:val="24"/>
          <w:szCs w:val="24"/>
        </w:rPr>
        <w:t>The JRC ensured c</w:t>
      </w:r>
      <w:r w:rsidRPr="001E3C9B">
        <w:rPr>
          <w:rFonts w:ascii="Times New Roman" w:hAnsi="Times New Roman" w:cs="Times New Roman"/>
          <w:noProof/>
          <w:color w:val="000000" w:themeColor="text1"/>
          <w:sz w:val="24"/>
          <w:szCs w:val="24"/>
        </w:rPr>
        <w:t>oherenc</w:t>
      </w:r>
      <w:r w:rsidR="00B828B9" w:rsidRPr="001E3C9B">
        <w:rPr>
          <w:rFonts w:ascii="Times New Roman" w:hAnsi="Times New Roman" w:cs="Times New Roman"/>
          <w:noProof/>
          <w:color w:val="000000" w:themeColor="text1"/>
          <w:sz w:val="24"/>
          <w:szCs w:val="24"/>
        </w:rPr>
        <w:t>e</w:t>
      </w:r>
      <w:r w:rsidRPr="001E3C9B">
        <w:rPr>
          <w:rFonts w:ascii="Times New Roman" w:hAnsi="Times New Roman" w:cs="Times New Roman"/>
          <w:noProof/>
          <w:color w:val="000000" w:themeColor="text1"/>
          <w:sz w:val="24"/>
          <w:szCs w:val="24"/>
        </w:rPr>
        <w:t xml:space="preserve"> across the five specific objectives </w:t>
      </w:r>
      <w:r w:rsidR="00B828B9" w:rsidRPr="001E3C9B">
        <w:rPr>
          <w:rFonts w:ascii="Times New Roman" w:hAnsi="Times New Roman" w:cs="Times New Roman"/>
          <w:noProof/>
          <w:color w:val="000000" w:themeColor="text1"/>
          <w:sz w:val="24"/>
          <w:szCs w:val="24"/>
        </w:rPr>
        <w:t xml:space="preserve">of direct actions </w:t>
      </w:r>
      <w:r w:rsidRPr="001E3C9B">
        <w:rPr>
          <w:rFonts w:ascii="Times New Roman" w:hAnsi="Times New Roman" w:cs="Times New Roman"/>
          <w:noProof/>
          <w:color w:val="000000" w:themeColor="text1"/>
          <w:sz w:val="24"/>
          <w:szCs w:val="24"/>
        </w:rPr>
        <w:t xml:space="preserve">described in the </w:t>
      </w:r>
      <w:r w:rsidR="00585D8D">
        <w:rPr>
          <w:rFonts w:ascii="Times New Roman" w:hAnsi="Times New Roman" w:cs="Times New Roman"/>
          <w:noProof/>
          <w:color w:val="000000" w:themeColor="text1"/>
          <w:sz w:val="24"/>
          <w:szCs w:val="24"/>
        </w:rPr>
        <w:t>P</w:t>
      </w:r>
      <w:r w:rsidRPr="001E3C9B">
        <w:rPr>
          <w:rFonts w:ascii="Times New Roman" w:hAnsi="Times New Roman" w:cs="Times New Roman"/>
          <w:noProof/>
          <w:color w:val="000000" w:themeColor="text1"/>
          <w:sz w:val="24"/>
          <w:szCs w:val="24"/>
        </w:rPr>
        <w:t xml:space="preserve">rogramme and between the different research areas (safety and </w:t>
      </w:r>
      <w:r w:rsidR="00E96EC5">
        <w:rPr>
          <w:rFonts w:ascii="Times New Roman" w:hAnsi="Times New Roman" w:cs="Times New Roman"/>
          <w:noProof/>
          <w:color w:val="000000" w:themeColor="text1"/>
          <w:sz w:val="24"/>
          <w:szCs w:val="24"/>
        </w:rPr>
        <w:t xml:space="preserve">radioactive </w:t>
      </w:r>
      <w:r w:rsidRPr="001E3C9B">
        <w:rPr>
          <w:rFonts w:ascii="Times New Roman" w:hAnsi="Times New Roman" w:cs="Times New Roman"/>
          <w:noProof/>
          <w:color w:val="000000" w:themeColor="text1"/>
          <w:sz w:val="24"/>
          <w:szCs w:val="24"/>
        </w:rPr>
        <w:t>waste management</w:t>
      </w:r>
      <w:r w:rsidR="006B1D6D">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security and safeguards</w:t>
      </w:r>
      <w:r w:rsidR="006B1D6D">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education and training</w:t>
      </w:r>
      <w:r w:rsidR="006B1D6D">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and knowledge management). Moreover, in order to promote good cooperation between the different areas of activity, a new structure was adopted in 2016 inside the JRC to group all responsibility for the implementation of the Euratom direct actions under a single </w:t>
      </w:r>
      <w:r w:rsidR="006B1D6D">
        <w:rPr>
          <w:rFonts w:ascii="Times New Roman" w:hAnsi="Times New Roman" w:cs="Times New Roman"/>
          <w:noProof/>
          <w:color w:val="000000" w:themeColor="text1"/>
          <w:sz w:val="24"/>
          <w:szCs w:val="24"/>
        </w:rPr>
        <w:t>d</w:t>
      </w:r>
      <w:r w:rsidR="006B1D6D" w:rsidRPr="001E3C9B">
        <w:rPr>
          <w:rFonts w:ascii="Times New Roman" w:hAnsi="Times New Roman" w:cs="Times New Roman"/>
          <w:noProof/>
          <w:color w:val="000000" w:themeColor="text1"/>
          <w:sz w:val="24"/>
          <w:szCs w:val="24"/>
        </w:rPr>
        <w:t>irectorate</w:t>
      </w:r>
      <w:r w:rsidRPr="001E3C9B">
        <w:rPr>
          <w:rFonts w:ascii="Times New Roman" w:hAnsi="Times New Roman" w:cs="Times New Roman"/>
          <w:noProof/>
          <w:color w:val="000000" w:themeColor="text1"/>
          <w:sz w:val="24"/>
          <w:szCs w:val="24"/>
        </w:rPr>
        <w:t>. This led to improved communication and transparency</w:t>
      </w:r>
      <w:r w:rsidR="00EE2FB9">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and had a positive impact on the effectiveness, efficiency and coherence of the activities carried out.</w:t>
      </w:r>
    </w:p>
    <w:p w14:paraId="48DB973B" w14:textId="00DC9D0B" w:rsidR="000B0127" w:rsidRPr="001E3C9B" w:rsidRDefault="00B02BCA" w:rsidP="000B0127">
      <w:pPr>
        <w:spacing w:after="120"/>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C</w:t>
      </w:r>
      <w:r w:rsidR="000B0127" w:rsidRPr="001E3C9B">
        <w:rPr>
          <w:rFonts w:ascii="Times New Roman" w:hAnsi="Times New Roman" w:cs="Times New Roman"/>
          <w:noProof/>
          <w:color w:val="000000" w:themeColor="text1"/>
          <w:sz w:val="24"/>
          <w:szCs w:val="24"/>
        </w:rPr>
        <w:t>oherence with other EU programmes and policies</w:t>
      </w:r>
      <w:r w:rsidRPr="001E3C9B">
        <w:rPr>
          <w:rFonts w:ascii="Times New Roman" w:hAnsi="Times New Roman" w:cs="Times New Roman"/>
          <w:noProof/>
          <w:color w:val="000000" w:themeColor="text1"/>
          <w:sz w:val="24"/>
          <w:szCs w:val="24"/>
        </w:rPr>
        <w:t xml:space="preserve"> </w:t>
      </w:r>
      <w:r w:rsidR="003C26C4" w:rsidRPr="001E3C9B">
        <w:rPr>
          <w:rFonts w:ascii="Times New Roman" w:hAnsi="Times New Roman" w:cs="Times New Roman"/>
          <w:noProof/>
          <w:color w:val="000000" w:themeColor="text1"/>
          <w:sz w:val="24"/>
          <w:szCs w:val="24"/>
          <w:lang w:val="mt-MT"/>
        </w:rPr>
        <w:t>was</w:t>
      </w:r>
      <w:r w:rsidRPr="001E3C9B">
        <w:rPr>
          <w:rFonts w:ascii="Times New Roman" w:hAnsi="Times New Roman" w:cs="Times New Roman"/>
          <w:noProof/>
          <w:color w:val="000000" w:themeColor="text1"/>
          <w:sz w:val="24"/>
          <w:szCs w:val="24"/>
        </w:rPr>
        <w:t xml:space="preserve"> assured </w:t>
      </w:r>
      <w:r w:rsidR="000B0127" w:rsidRPr="001E3C9B">
        <w:rPr>
          <w:rFonts w:ascii="Times New Roman" w:hAnsi="Times New Roman" w:cs="Times New Roman"/>
          <w:noProof/>
          <w:color w:val="000000" w:themeColor="text1"/>
          <w:sz w:val="24"/>
          <w:szCs w:val="24"/>
        </w:rPr>
        <w:t xml:space="preserve">through </w:t>
      </w:r>
      <w:r w:rsidR="008730D6">
        <w:rPr>
          <w:rFonts w:ascii="Times New Roman" w:hAnsi="Times New Roman" w:cs="Times New Roman"/>
          <w:noProof/>
          <w:color w:val="000000" w:themeColor="text1"/>
          <w:sz w:val="24"/>
          <w:szCs w:val="24"/>
        </w:rPr>
        <w:t xml:space="preserve">the </w:t>
      </w:r>
      <w:r w:rsidR="00D93470" w:rsidRPr="001E3C9B">
        <w:rPr>
          <w:rFonts w:ascii="Times New Roman" w:hAnsi="Times New Roman" w:cs="Times New Roman"/>
          <w:noProof/>
          <w:color w:val="000000" w:themeColor="text1"/>
          <w:sz w:val="24"/>
          <w:szCs w:val="24"/>
        </w:rPr>
        <w:t xml:space="preserve">JRC services and </w:t>
      </w:r>
      <w:r w:rsidR="00C4733C" w:rsidRPr="001E3C9B">
        <w:rPr>
          <w:rFonts w:ascii="Times New Roman" w:hAnsi="Times New Roman" w:cs="Times New Roman"/>
          <w:noProof/>
          <w:color w:val="000000" w:themeColor="text1"/>
          <w:sz w:val="24"/>
          <w:szCs w:val="24"/>
        </w:rPr>
        <w:t xml:space="preserve">indirect actions’ </w:t>
      </w:r>
      <w:r w:rsidR="00D93470" w:rsidRPr="001E3C9B">
        <w:rPr>
          <w:rFonts w:ascii="Times New Roman" w:hAnsi="Times New Roman" w:cs="Times New Roman"/>
          <w:noProof/>
          <w:color w:val="000000" w:themeColor="text1"/>
          <w:sz w:val="24"/>
          <w:szCs w:val="24"/>
        </w:rPr>
        <w:t xml:space="preserve">grant requirements to support </w:t>
      </w:r>
      <w:r w:rsidR="000B0127" w:rsidRPr="001E3C9B">
        <w:rPr>
          <w:rFonts w:ascii="Times New Roman" w:hAnsi="Times New Roman" w:cs="Times New Roman"/>
          <w:noProof/>
          <w:color w:val="000000" w:themeColor="text1"/>
          <w:sz w:val="24"/>
          <w:szCs w:val="24"/>
        </w:rPr>
        <w:t>implementation of Euratom Directives</w:t>
      </w:r>
      <w:r w:rsidR="00E5270C" w:rsidRPr="001E3C9B">
        <w:rPr>
          <w:rFonts w:ascii="Times New Roman" w:hAnsi="Times New Roman" w:cs="Times New Roman"/>
          <w:noProof/>
          <w:color w:val="000000" w:themeColor="text1"/>
          <w:sz w:val="24"/>
          <w:szCs w:val="24"/>
        </w:rPr>
        <w:t xml:space="preserve"> and Instruments</w:t>
      </w:r>
      <w:r w:rsidR="00E5270C" w:rsidRPr="001E3C9B">
        <w:rPr>
          <w:rFonts w:ascii="Times New Roman" w:hAnsi="Times New Roman" w:cs="Times New Roman"/>
          <w:noProof/>
          <w:color w:val="000000" w:themeColor="text1"/>
          <w:sz w:val="24"/>
          <w:szCs w:val="24"/>
          <w:vertAlign w:val="superscript"/>
        </w:rPr>
        <w:footnoteReference w:id="14"/>
      </w:r>
      <w:r w:rsidR="000B0127" w:rsidRPr="001E3C9B">
        <w:rPr>
          <w:rFonts w:ascii="Times New Roman" w:hAnsi="Times New Roman" w:cs="Times New Roman"/>
          <w:noProof/>
          <w:color w:val="000000" w:themeColor="text1"/>
          <w:sz w:val="24"/>
          <w:szCs w:val="24"/>
        </w:rPr>
        <w:t xml:space="preserve">. Possible areas of improvement include the need to </w:t>
      </w:r>
      <w:r w:rsidR="000B0127" w:rsidRPr="00854965">
        <w:rPr>
          <w:rFonts w:ascii="Times New Roman" w:hAnsi="Times New Roman" w:cs="Times New Roman"/>
          <w:noProof/>
          <w:color w:val="000000" w:themeColor="text1"/>
          <w:sz w:val="24"/>
          <w:szCs w:val="24"/>
        </w:rPr>
        <w:t xml:space="preserve">exploit synergies with other thematic areas of </w:t>
      </w:r>
      <w:r w:rsidRPr="00854965">
        <w:rPr>
          <w:rFonts w:ascii="Times New Roman" w:hAnsi="Times New Roman" w:cs="Times New Roman"/>
          <w:noProof/>
          <w:color w:val="000000" w:themeColor="text1"/>
          <w:sz w:val="24"/>
          <w:szCs w:val="24"/>
        </w:rPr>
        <w:t xml:space="preserve">Horizon Europe </w:t>
      </w:r>
      <w:r w:rsidR="000B0127" w:rsidRPr="00854965">
        <w:rPr>
          <w:rFonts w:ascii="Times New Roman" w:hAnsi="Times New Roman" w:cs="Times New Roman"/>
          <w:noProof/>
          <w:color w:val="000000" w:themeColor="text1"/>
          <w:sz w:val="24"/>
          <w:szCs w:val="24"/>
        </w:rPr>
        <w:t>in order to address cross-cutting aspects such as health</w:t>
      </w:r>
      <w:r w:rsidR="009D18D0" w:rsidRPr="00854965">
        <w:rPr>
          <w:rFonts w:ascii="Times New Roman" w:hAnsi="Times New Roman" w:cs="Times New Roman"/>
          <w:noProof/>
          <w:color w:val="000000" w:themeColor="text1"/>
          <w:sz w:val="24"/>
          <w:szCs w:val="24"/>
        </w:rPr>
        <w:t>, space</w:t>
      </w:r>
      <w:r w:rsidR="000B0127" w:rsidRPr="00854965">
        <w:rPr>
          <w:rFonts w:ascii="Times New Roman" w:hAnsi="Times New Roman" w:cs="Times New Roman"/>
          <w:noProof/>
          <w:color w:val="000000" w:themeColor="text1"/>
          <w:sz w:val="24"/>
          <w:szCs w:val="24"/>
        </w:rPr>
        <w:t xml:space="preserve"> energy systems</w:t>
      </w:r>
      <w:r w:rsidR="00E96EC5">
        <w:rPr>
          <w:rFonts w:ascii="Times New Roman" w:hAnsi="Times New Roman" w:cs="Times New Roman"/>
          <w:noProof/>
          <w:color w:val="000000" w:themeColor="text1"/>
          <w:sz w:val="24"/>
          <w:szCs w:val="24"/>
        </w:rPr>
        <w:t xml:space="preserve"> and civil security research</w:t>
      </w:r>
      <w:r w:rsidR="000B0127" w:rsidRPr="00BA168D">
        <w:rPr>
          <w:rFonts w:ascii="Times New Roman" w:hAnsi="Times New Roman" w:cs="Times New Roman"/>
          <w:noProof/>
          <w:color w:val="000000" w:themeColor="text1"/>
          <w:sz w:val="24"/>
          <w:szCs w:val="24"/>
        </w:rPr>
        <w:t xml:space="preserve">. </w:t>
      </w:r>
    </w:p>
    <w:p w14:paraId="3212BBA5" w14:textId="138C3EF9" w:rsidR="001B42ED" w:rsidRPr="001E3C9B" w:rsidRDefault="00BA168D" w:rsidP="000B0127">
      <w:pP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Programme</w:t>
      </w:r>
      <w:r w:rsidR="00585D8D">
        <w:rPr>
          <w:rFonts w:ascii="Times New Roman" w:hAnsi="Times New Roman" w:cs="Times New Roman"/>
          <w:noProof/>
          <w:color w:val="000000" w:themeColor="text1"/>
          <w:sz w:val="24"/>
          <w:szCs w:val="24"/>
        </w:rPr>
        <w:t>’</w:t>
      </w:r>
      <w:r>
        <w:rPr>
          <w:rFonts w:ascii="Times New Roman" w:hAnsi="Times New Roman" w:cs="Times New Roman"/>
          <w:noProof/>
          <w:color w:val="000000" w:themeColor="text1"/>
          <w:sz w:val="24"/>
          <w:szCs w:val="24"/>
        </w:rPr>
        <w:t>s e</w:t>
      </w:r>
      <w:r w:rsidR="001B42ED" w:rsidRPr="001E3C9B">
        <w:rPr>
          <w:rFonts w:ascii="Times New Roman" w:hAnsi="Times New Roman" w:cs="Times New Roman"/>
          <w:noProof/>
          <w:color w:val="000000" w:themeColor="text1"/>
          <w:sz w:val="24"/>
          <w:szCs w:val="24"/>
        </w:rPr>
        <w:t>xternal coherence</w:t>
      </w:r>
      <w:r w:rsidR="001B42ED" w:rsidRPr="00854965">
        <w:rPr>
          <w:rFonts w:ascii="Times New Roman" w:hAnsi="Times New Roman" w:cs="Times New Roman"/>
          <w:noProof/>
          <w:color w:val="000000" w:themeColor="text1"/>
          <w:sz w:val="24"/>
          <w:szCs w:val="24"/>
        </w:rPr>
        <w:t xml:space="preserve"> with research programmes carried out by</w:t>
      </w:r>
      <w:r w:rsidR="00B9566E">
        <w:rPr>
          <w:rFonts w:ascii="Times New Roman" w:hAnsi="Times New Roman" w:cs="Times New Roman"/>
          <w:noProof/>
          <w:color w:val="000000" w:themeColor="text1"/>
          <w:sz w:val="24"/>
          <w:szCs w:val="24"/>
        </w:rPr>
        <w:t xml:space="preserve"> both</w:t>
      </w:r>
      <w:r w:rsidR="001B42ED" w:rsidRPr="00854965">
        <w:rPr>
          <w:rFonts w:ascii="Times New Roman" w:hAnsi="Times New Roman" w:cs="Times New Roman"/>
          <w:noProof/>
          <w:color w:val="000000" w:themeColor="text1"/>
          <w:sz w:val="24"/>
          <w:szCs w:val="24"/>
        </w:rPr>
        <w:t xml:space="preserve"> EU Member States</w:t>
      </w:r>
      <w:r w:rsidR="001B42ED" w:rsidRPr="001E3C9B">
        <w:rPr>
          <w:rFonts w:ascii="Times New Roman" w:hAnsi="Times New Roman" w:cs="Times New Roman"/>
          <w:noProof/>
          <w:color w:val="000000" w:themeColor="text1"/>
          <w:sz w:val="24"/>
          <w:szCs w:val="24"/>
        </w:rPr>
        <w:t xml:space="preserve"> and international organisations was ensured through careful alignment of the scope of activity of </w:t>
      </w:r>
      <w:r w:rsidR="00B9566E">
        <w:rPr>
          <w:rFonts w:ascii="Times New Roman" w:hAnsi="Times New Roman" w:cs="Times New Roman"/>
          <w:noProof/>
          <w:color w:val="000000" w:themeColor="text1"/>
          <w:sz w:val="24"/>
          <w:szCs w:val="24"/>
        </w:rPr>
        <w:t xml:space="preserve">the </w:t>
      </w:r>
      <w:r w:rsidR="001B42ED" w:rsidRPr="001E3C9B">
        <w:rPr>
          <w:rFonts w:ascii="Times New Roman" w:hAnsi="Times New Roman" w:cs="Times New Roman"/>
          <w:noProof/>
          <w:color w:val="000000" w:themeColor="text1"/>
          <w:sz w:val="24"/>
          <w:szCs w:val="24"/>
        </w:rPr>
        <w:t>JRC</w:t>
      </w:r>
      <w:r w:rsidR="00B9566E">
        <w:rPr>
          <w:rFonts w:ascii="Times New Roman" w:hAnsi="Times New Roman" w:cs="Times New Roman"/>
          <w:noProof/>
          <w:color w:val="000000" w:themeColor="text1"/>
          <w:sz w:val="24"/>
          <w:szCs w:val="24"/>
        </w:rPr>
        <w:t>. It was also ensured through the JRC’s own</w:t>
      </w:r>
      <w:r w:rsidR="009D18D0" w:rsidRPr="001E3C9B">
        <w:rPr>
          <w:rFonts w:ascii="Times New Roman" w:hAnsi="Times New Roman" w:cs="Times New Roman"/>
          <w:noProof/>
          <w:color w:val="000000" w:themeColor="text1"/>
          <w:sz w:val="24"/>
          <w:szCs w:val="24"/>
        </w:rPr>
        <w:t xml:space="preserve"> </w:t>
      </w:r>
      <w:r w:rsidR="002D29E5">
        <w:rPr>
          <w:rFonts w:ascii="Times New Roman" w:hAnsi="Times New Roman" w:cs="Times New Roman"/>
          <w:noProof/>
          <w:color w:val="000000" w:themeColor="text1"/>
          <w:sz w:val="24"/>
          <w:szCs w:val="24"/>
        </w:rPr>
        <w:t>participation in and exchanges</w:t>
      </w:r>
      <w:r w:rsidR="00B9566E">
        <w:rPr>
          <w:rFonts w:ascii="Times New Roman" w:hAnsi="Times New Roman" w:cs="Times New Roman"/>
          <w:noProof/>
          <w:color w:val="000000" w:themeColor="text1"/>
          <w:sz w:val="24"/>
          <w:szCs w:val="24"/>
        </w:rPr>
        <w:t xml:space="preserve"> with: (i)</w:t>
      </w:r>
      <w:r w:rsidR="009D18D0" w:rsidRPr="001E3C9B">
        <w:rPr>
          <w:rFonts w:ascii="Times New Roman" w:hAnsi="Times New Roman" w:cs="Times New Roman"/>
          <w:noProof/>
          <w:color w:val="000000" w:themeColor="text1"/>
          <w:sz w:val="24"/>
          <w:szCs w:val="24"/>
        </w:rPr>
        <w:t xml:space="preserve"> technology</w:t>
      </w:r>
      <w:r w:rsidR="001B42ED" w:rsidRPr="001E3C9B">
        <w:rPr>
          <w:rFonts w:ascii="Times New Roman" w:hAnsi="Times New Roman" w:cs="Times New Roman"/>
          <w:noProof/>
          <w:color w:val="000000" w:themeColor="text1"/>
          <w:sz w:val="24"/>
          <w:szCs w:val="24"/>
        </w:rPr>
        <w:t xml:space="preserve"> platforms or networks </w:t>
      </w:r>
      <w:r w:rsidR="00B9566E">
        <w:rPr>
          <w:rFonts w:ascii="Times New Roman" w:hAnsi="Times New Roman" w:cs="Times New Roman"/>
          <w:noProof/>
          <w:color w:val="000000" w:themeColor="text1"/>
          <w:sz w:val="24"/>
          <w:szCs w:val="24"/>
        </w:rPr>
        <w:t>(</w:t>
      </w:r>
      <w:r w:rsidR="001B42ED" w:rsidRPr="001E3C9B">
        <w:rPr>
          <w:rFonts w:ascii="Times New Roman" w:hAnsi="Times New Roman" w:cs="Times New Roman"/>
          <w:noProof/>
          <w:color w:val="000000" w:themeColor="text1"/>
          <w:sz w:val="24"/>
          <w:szCs w:val="24"/>
        </w:rPr>
        <w:t xml:space="preserve">such as SNE-TP (Sustainable nuclear energy TP), IGD-TP (Implementing Geological Disposal TP) or </w:t>
      </w:r>
      <w:r w:rsidR="00B9566E">
        <w:rPr>
          <w:rFonts w:ascii="Times New Roman" w:hAnsi="Times New Roman" w:cs="Times New Roman"/>
          <w:noProof/>
          <w:color w:val="000000" w:themeColor="text1"/>
          <w:sz w:val="24"/>
          <w:szCs w:val="24"/>
        </w:rPr>
        <w:t xml:space="preserve">the </w:t>
      </w:r>
      <w:r w:rsidR="001B42ED" w:rsidRPr="001E3C9B">
        <w:rPr>
          <w:rFonts w:ascii="Times New Roman" w:hAnsi="Times New Roman" w:cs="Times New Roman"/>
          <w:noProof/>
          <w:color w:val="000000" w:themeColor="text1"/>
          <w:sz w:val="24"/>
          <w:szCs w:val="24"/>
        </w:rPr>
        <w:t>EERA</w:t>
      </w:r>
      <w:r w:rsidR="00647D08">
        <w:rPr>
          <w:rFonts w:ascii="Times New Roman" w:hAnsi="Times New Roman" w:cs="Times New Roman"/>
          <w:noProof/>
          <w:color w:val="000000" w:themeColor="text1"/>
          <w:sz w:val="24"/>
          <w:szCs w:val="24"/>
        </w:rPr>
        <w:t xml:space="preserve"> j</w:t>
      </w:r>
      <w:r w:rsidR="001B42ED" w:rsidRPr="001E3C9B">
        <w:rPr>
          <w:rFonts w:ascii="Times New Roman" w:hAnsi="Times New Roman" w:cs="Times New Roman"/>
          <w:noProof/>
          <w:color w:val="000000" w:themeColor="text1"/>
          <w:sz w:val="24"/>
          <w:szCs w:val="24"/>
        </w:rPr>
        <w:t>oint programme on Nuclear Materials</w:t>
      </w:r>
      <w:r w:rsidR="00B9566E">
        <w:rPr>
          <w:rFonts w:ascii="Times New Roman" w:hAnsi="Times New Roman" w:cs="Times New Roman"/>
          <w:noProof/>
          <w:color w:val="000000" w:themeColor="text1"/>
          <w:sz w:val="24"/>
          <w:szCs w:val="24"/>
        </w:rPr>
        <w:t>);</w:t>
      </w:r>
      <w:r w:rsidR="001B42ED" w:rsidRPr="001E3C9B">
        <w:rPr>
          <w:rFonts w:ascii="Times New Roman" w:hAnsi="Times New Roman" w:cs="Times New Roman"/>
          <w:noProof/>
          <w:color w:val="000000" w:themeColor="text1"/>
          <w:sz w:val="24"/>
          <w:szCs w:val="24"/>
        </w:rPr>
        <w:t xml:space="preserve"> and </w:t>
      </w:r>
      <w:r w:rsidR="00B9566E">
        <w:rPr>
          <w:rFonts w:ascii="Times New Roman" w:hAnsi="Times New Roman" w:cs="Times New Roman"/>
          <w:noProof/>
          <w:color w:val="000000" w:themeColor="text1"/>
          <w:sz w:val="24"/>
          <w:szCs w:val="24"/>
        </w:rPr>
        <w:t>(ii)</w:t>
      </w:r>
      <w:r w:rsidR="001B42ED" w:rsidRPr="001E3C9B">
        <w:rPr>
          <w:rFonts w:ascii="Times New Roman" w:hAnsi="Times New Roman" w:cs="Times New Roman"/>
          <w:noProof/>
          <w:color w:val="000000" w:themeColor="text1"/>
          <w:sz w:val="24"/>
          <w:szCs w:val="24"/>
        </w:rPr>
        <w:t xml:space="preserve"> as</w:t>
      </w:r>
      <w:r w:rsidR="009D18D0" w:rsidRPr="001E3C9B">
        <w:rPr>
          <w:rFonts w:ascii="Times New Roman" w:hAnsi="Times New Roman" w:cs="Times New Roman"/>
          <w:noProof/>
          <w:color w:val="000000" w:themeColor="text1"/>
          <w:sz w:val="24"/>
          <w:szCs w:val="24"/>
        </w:rPr>
        <w:t xml:space="preserve">sociations like </w:t>
      </w:r>
      <w:r w:rsidR="00EE2FB9">
        <w:rPr>
          <w:rFonts w:ascii="Times New Roman" w:hAnsi="Times New Roman" w:cs="Times New Roman"/>
          <w:noProof/>
          <w:color w:val="000000" w:themeColor="text1"/>
          <w:sz w:val="24"/>
          <w:szCs w:val="24"/>
        </w:rPr>
        <w:t xml:space="preserve">the </w:t>
      </w:r>
      <w:r w:rsidR="009D18D0" w:rsidRPr="001E3C9B">
        <w:rPr>
          <w:rFonts w:ascii="Times New Roman" w:hAnsi="Times New Roman" w:cs="Times New Roman"/>
          <w:noProof/>
          <w:color w:val="000000" w:themeColor="text1"/>
          <w:sz w:val="24"/>
          <w:szCs w:val="24"/>
        </w:rPr>
        <w:t>European Nuclear Education N</w:t>
      </w:r>
      <w:r w:rsidR="001B42ED" w:rsidRPr="001E3C9B">
        <w:rPr>
          <w:rFonts w:ascii="Times New Roman" w:hAnsi="Times New Roman" w:cs="Times New Roman"/>
          <w:noProof/>
          <w:color w:val="000000" w:themeColor="text1"/>
          <w:sz w:val="24"/>
          <w:szCs w:val="24"/>
        </w:rPr>
        <w:t>etwork. Bilateral cooperation agreements with external stakeholders</w:t>
      </w:r>
      <w:r w:rsidR="00B9566E" w:rsidRPr="00B9566E">
        <w:rPr>
          <w:rFonts w:ascii="Times New Roman" w:hAnsi="Times New Roman" w:cs="Times New Roman"/>
          <w:noProof/>
          <w:color w:val="000000" w:themeColor="text1"/>
          <w:sz w:val="24"/>
          <w:szCs w:val="24"/>
        </w:rPr>
        <w:t xml:space="preserve"> </w:t>
      </w:r>
      <w:r w:rsidR="00B9566E">
        <w:rPr>
          <w:rFonts w:ascii="Times New Roman" w:hAnsi="Times New Roman" w:cs="Times New Roman"/>
          <w:noProof/>
          <w:color w:val="000000" w:themeColor="text1"/>
          <w:sz w:val="24"/>
          <w:szCs w:val="24"/>
        </w:rPr>
        <w:t>a</w:t>
      </w:r>
      <w:r w:rsidR="00B9566E" w:rsidRPr="001E3C9B">
        <w:rPr>
          <w:rFonts w:ascii="Times New Roman" w:hAnsi="Times New Roman" w:cs="Times New Roman"/>
          <w:noProof/>
          <w:color w:val="000000" w:themeColor="text1"/>
          <w:sz w:val="24"/>
          <w:szCs w:val="24"/>
        </w:rPr>
        <w:t>lso served to support the coherence of the JRC’s work under the Programme at EU and global level.</w:t>
      </w:r>
      <w:r w:rsidR="00B9566E">
        <w:rPr>
          <w:rFonts w:ascii="Times New Roman" w:hAnsi="Times New Roman" w:cs="Times New Roman"/>
          <w:noProof/>
          <w:color w:val="000000" w:themeColor="text1"/>
          <w:sz w:val="24"/>
          <w:szCs w:val="24"/>
        </w:rPr>
        <w:t xml:space="preserve"> These external stakeholders</w:t>
      </w:r>
      <w:r w:rsidR="002D29E5">
        <w:rPr>
          <w:rFonts w:ascii="Times New Roman" w:hAnsi="Times New Roman" w:cs="Times New Roman"/>
          <w:noProof/>
          <w:color w:val="000000" w:themeColor="text1"/>
          <w:sz w:val="24"/>
          <w:szCs w:val="24"/>
        </w:rPr>
        <w:t xml:space="preserve"> also</w:t>
      </w:r>
      <w:r w:rsidR="00B9566E">
        <w:rPr>
          <w:rFonts w:ascii="Times New Roman" w:hAnsi="Times New Roman" w:cs="Times New Roman"/>
          <w:noProof/>
          <w:color w:val="000000" w:themeColor="text1"/>
          <w:sz w:val="24"/>
          <w:szCs w:val="24"/>
        </w:rPr>
        <w:t xml:space="preserve"> included</w:t>
      </w:r>
      <w:r w:rsidR="00C60CE2">
        <w:rPr>
          <w:rFonts w:ascii="Times New Roman" w:hAnsi="Times New Roman" w:cs="Times New Roman"/>
          <w:noProof/>
          <w:color w:val="000000" w:themeColor="text1"/>
          <w:sz w:val="24"/>
          <w:szCs w:val="24"/>
        </w:rPr>
        <w:t xml:space="preserve"> </w:t>
      </w:r>
      <w:r w:rsidR="00B9566E">
        <w:rPr>
          <w:rFonts w:ascii="Times New Roman" w:hAnsi="Times New Roman" w:cs="Times New Roman"/>
          <w:noProof/>
          <w:color w:val="000000" w:themeColor="text1"/>
          <w:sz w:val="24"/>
          <w:szCs w:val="24"/>
        </w:rPr>
        <w:t xml:space="preserve">the </w:t>
      </w:r>
      <w:r w:rsidR="001B42ED" w:rsidRPr="001E3C9B">
        <w:rPr>
          <w:rFonts w:ascii="Times New Roman" w:hAnsi="Times New Roman" w:cs="Times New Roman"/>
          <w:noProof/>
          <w:color w:val="000000" w:themeColor="text1"/>
          <w:sz w:val="24"/>
          <w:szCs w:val="24"/>
        </w:rPr>
        <w:t xml:space="preserve">IAEA, </w:t>
      </w:r>
      <w:r w:rsidR="00B9566E">
        <w:rPr>
          <w:rFonts w:ascii="Times New Roman" w:hAnsi="Times New Roman" w:cs="Times New Roman"/>
          <w:noProof/>
          <w:color w:val="000000" w:themeColor="text1"/>
          <w:sz w:val="24"/>
          <w:szCs w:val="24"/>
        </w:rPr>
        <w:t xml:space="preserve">the </w:t>
      </w:r>
      <w:r w:rsidR="00C60CE2" w:rsidRPr="00C60CE2">
        <w:rPr>
          <w:rFonts w:ascii="Times New Roman" w:hAnsi="Times New Roman" w:cs="Times New Roman"/>
          <w:noProof/>
          <w:color w:val="000000" w:themeColor="text1"/>
          <w:sz w:val="24"/>
          <w:szCs w:val="24"/>
        </w:rPr>
        <w:t>Organisation for Economic Co-operation and Development</w:t>
      </w:r>
      <w:r w:rsidR="00C60CE2">
        <w:rPr>
          <w:rFonts w:ascii="Times New Roman" w:hAnsi="Times New Roman" w:cs="Times New Roman"/>
          <w:noProof/>
          <w:color w:val="000000" w:themeColor="text1"/>
          <w:sz w:val="24"/>
          <w:szCs w:val="24"/>
        </w:rPr>
        <w:t>’s Nuclear Energy Agency (</w:t>
      </w:r>
      <w:r w:rsidR="001B42ED" w:rsidRPr="001E3C9B">
        <w:rPr>
          <w:rFonts w:ascii="Times New Roman" w:hAnsi="Times New Roman" w:cs="Times New Roman"/>
          <w:noProof/>
          <w:color w:val="000000" w:themeColor="text1"/>
          <w:sz w:val="24"/>
          <w:szCs w:val="24"/>
        </w:rPr>
        <w:t>OECD-NEA</w:t>
      </w:r>
      <w:r w:rsidR="00C60CE2">
        <w:rPr>
          <w:rFonts w:ascii="Times New Roman" w:hAnsi="Times New Roman" w:cs="Times New Roman"/>
          <w:noProof/>
          <w:color w:val="000000" w:themeColor="text1"/>
          <w:sz w:val="24"/>
          <w:szCs w:val="24"/>
        </w:rPr>
        <w:t>)</w:t>
      </w:r>
      <w:r w:rsidR="00B9566E">
        <w:rPr>
          <w:rFonts w:ascii="Times New Roman" w:hAnsi="Times New Roman" w:cs="Times New Roman"/>
          <w:noProof/>
          <w:color w:val="000000" w:themeColor="text1"/>
          <w:sz w:val="24"/>
          <w:szCs w:val="24"/>
        </w:rPr>
        <w:t>,</w:t>
      </w:r>
      <w:r w:rsidR="009D18D0" w:rsidRPr="001E3C9B">
        <w:rPr>
          <w:rFonts w:ascii="Times New Roman" w:hAnsi="Times New Roman" w:cs="Times New Roman"/>
          <w:noProof/>
          <w:color w:val="000000" w:themeColor="text1"/>
          <w:sz w:val="24"/>
          <w:szCs w:val="24"/>
        </w:rPr>
        <w:t xml:space="preserve"> and </w:t>
      </w:r>
      <w:r w:rsidR="00B9566E">
        <w:rPr>
          <w:rFonts w:ascii="Times New Roman" w:hAnsi="Times New Roman" w:cs="Times New Roman"/>
          <w:noProof/>
          <w:color w:val="000000" w:themeColor="text1"/>
          <w:sz w:val="24"/>
          <w:szCs w:val="24"/>
        </w:rPr>
        <w:t>non-EU</w:t>
      </w:r>
      <w:r w:rsidR="00B9566E" w:rsidRPr="001E3C9B">
        <w:rPr>
          <w:rFonts w:ascii="Times New Roman" w:hAnsi="Times New Roman" w:cs="Times New Roman"/>
          <w:noProof/>
          <w:color w:val="000000" w:themeColor="text1"/>
          <w:sz w:val="24"/>
          <w:szCs w:val="24"/>
        </w:rPr>
        <w:t xml:space="preserve"> </w:t>
      </w:r>
      <w:r w:rsidR="009D18D0" w:rsidRPr="001E3C9B">
        <w:rPr>
          <w:rFonts w:ascii="Times New Roman" w:hAnsi="Times New Roman" w:cs="Times New Roman"/>
          <w:noProof/>
          <w:color w:val="000000" w:themeColor="text1"/>
          <w:sz w:val="24"/>
          <w:szCs w:val="24"/>
        </w:rPr>
        <w:t>countries</w:t>
      </w:r>
      <w:r w:rsidR="00EE2FB9">
        <w:rPr>
          <w:rFonts w:ascii="Times New Roman" w:hAnsi="Times New Roman" w:cs="Times New Roman"/>
          <w:noProof/>
          <w:color w:val="000000" w:themeColor="text1"/>
          <w:sz w:val="24"/>
          <w:szCs w:val="24"/>
        </w:rPr>
        <w:t>.</w:t>
      </w:r>
    </w:p>
    <w:p w14:paraId="37A049D6" w14:textId="171E89F9" w:rsidR="009B2ADD" w:rsidRPr="001E3C9B" w:rsidRDefault="00B02BCA" w:rsidP="000B0127">
      <w:pPr>
        <w:spacing w:after="120"/>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T</w:t>
      </w:r>
      <w:r w:rsidR="000B0127" w:rsidRPr="001E3C9B">
        <w:rPr>
          <w:rFonts w:ascii="Times New Roman" w:hAnsi="Times New Roman" w:cs="Times New Roman"/>
          <w:noProof/>
          <w:color w:val="000000" w:themeColor="text1"/>
          <w:sz w:val="24"/>
          <w:szCs w:val="24"/>
        </w:rPr>
        <w:t xml:space="preserve">he </w:t>
      </w:r>
      <w:r w:rsidRPr="001E3C9B">
        <w:rPr>
          <w:rFonts w:ascii="Times New Roman" w:hAnsi="Times New Roman" w:cs="Times New Roman"/>
          <w:noProof/>
          <w:color w:val="000000" w:themeColor="text1"/>
          <w:sz w:val="24"/>
          <w:szCs w:val="24"/>
        </w:rPr>
        <w:t>Programme</w:t>
      </w:r>
      <w:r w:rsidR="003C26C4" w:rsidRPr="001E3C9B">
        <w:rPr>
          <w:rFonts w:ascii="Times New Roman" w:hAnsi="Times New Roman" w:cs="Times New Roman"/>
          <w:noProof/>
          <w:color w:val="000000" w:themeColor="text1"/>
          <w:sz w:val="24"/>
          <w:szCs w:val="24"/>
          <w:lang w:val="mt-MT"/>
        </w:rPr>
        <w:t>’</w:t>
      </w:r>
      <w:r w:rsidR="00585D8D">
        <w:rPr>
          <w:rFonts w:ascii="Times New Roman" w:hAnsi="Times New Roman" w:cs="Times New Roman"/>
          <w:noProof/>
          <w:color w:val="000000" w:themeColor="text1"/>
          <w:sz w:val="24"/>
          <w:szCs w:val="24"/>
          <w:lang w:val="mt-MT"/>
        </w:rPr>
        <w:t>s</w:t>
      </w:r>
      <w:r w:rsidR="000B0127" w:rsidRPr="001E3C9B">
        <w:rPr>
          <w:rFonts w:ascii="Times New Roman" w:hAnsi="Times New Roman" w:cs="Times New Roman"/>
          <w:noProof/>
          <w:color w:val="000000" w:themeColor="text1"/>
          <w:sz w:val="24"/>
          <w:szCs w:val="24"/>
        </w:rPr>
        <w:t xml:space="preserve"> </w:t>
      </w:r>
      <w:r w:rsidR="003C26C4" w:rsidRPr="001E3C9B">
        <w:rPr>
          <w:rFonts w:ascii="Times New Roman" w:hAnsi="Times New Roman" w:cs="Times New Roman"/>
          <w:noProof/>
          <w:color w:val="000000" w:themeColor="text1"/>
          <w:sz w:val="24"/>
          <w:szCs w:val="24"/>
        </w:rPr>
        <w:t xml:space="preserve">EU-added value </w:t>
      </w:r>
      <w:r w:rsidR="001B42ED" w:rsidRPr="001E3C9B">
        <w:rPr>
          <w:rFonts w:ascii="Times New Roman" w:hAnsi="Times New Roman" w:cs="Times New Roman"/>
          <w:noProof/>
          <w:color w:val="000000" w:themeColor="text1"/>
          <w:sz w:val="24"/>
          <w:szCs w:val="24"/>
          <w:lang w:val="mt-MT"/>
        </w:rPr>
        <w:t>stemmed from</w:t>
      </w:r>
      <w:r w:rsidR="003C26C4" w:rsidRPr="001E3C9B">
        <w:rPr>
          <w:rFonts w:ascii="Times New Roman" w:hAnsi="Times New Roman" w:cs="Times New Roman"/>
          <w:noProof/>
          <w:color w:val="000000" w:themeColor="text1"/>
          <w:sz w:val="24"/>
          <w:szCs w:val="24"/>
          <w:lang w:val="mt-MT"/>
        </w:rPr>
        <w:t xml:space="preserve"> the</w:t>
      </w:r>
      <w:r w:rsidR="00B9566E">
        <w:rPr>
          <w:rFonts w:ascii="Times New Roman" w:hAnsi="Times New Roman" w:cs="Times New Roman"/>
          <w:noProof/>
          <w:color w:val="000000" w:themeColor="text1"/>
          <w:sz w:val="24"/>
          <w:szCs w:val="24"/>
          <w:lang w:val="mt-MT"/>
        </w:rPr>
        <w:t xml:space="preserve"> </w:t>
      </w:r>
      <w:r w:rsidR="003C26C4" w:rsidRPr="001E3C9B">
        <w:rPr>
          <w:rFonts w:ascii="Times New Roman" w:hAnsi="Times New Roman" w:cs="Times New Roman"/>
          <w:noProof/>
          <w:color w:val="000000" w:themeColor="text1"/>
          <w:sz w:val="24"/>
          <w:szCs w:val="24"/>
          <w:lang w:val="mt-MT"/>
        </w:rPr>
        <w:t xml:space="preserve"> </w:t>
      </w:r>
      <w:r w:rsidR="000B0127" w:rsidRPr="001E3C9B">
        <w:rPr>
          <w:rFonts w:ascii="Times New Roman" w:hAnsi="Times New Roman" w:cs="Times New Roman"/>
          <w:noProof/>
          <w:color w:val="000000" w:themeColor="text1"/>
          <w:sz w:val="24"/>
          <w:szCs w:val="24"/>
        </w:rPr>
        <w:t xml:space="preserve">ability to mobilise a wider pool of excellence, expertise and multidisciplinarity </w:t>
      </w:r>
      <w:r w:rsidR="009B2ADD" w:rsidRPr="001E3C9B">
        <w:rPr>
          <w:rFonts w:ascii="Times New Roman" w:hAnsi="Times New Roman" w:cs="Times New Roman"/>
          <w:noProof/>
          <w:color w:val="000000" w:themeColor="text1"/>
          <w:sz w:val="24"/>
          <w:szCs w:val="24"/>
        </w:rPr>
        <w:t xml:space="preserve">in fission and fusion research </w:t>
      </w:r>
      <w:r w:rsidR="000B0127" w:rsidRPr="001E3C9B">
        <w:rPr>
          <w:rFonts w:ascii="Times New Roman" w:hAnsi="Times New Roman" w:cs="Times New Roman"/>
          <w:noProof/>
          <w:color w:val="000000" w:themeColor="text1"/>
          <w:sz w:val="24"/>
          <w:szCs w:val="24"/>
        </w:rPr>
        <w:t xml:space="preserve">than </w:t>
      </w:r>
      <w:r w:rsidR="003C26C4" w:rsidRPr="001E3C9B">
        <w:rPr>
          <w:rFonts w:ascii="Times New Roman" w:hAnsi="Times New Roman" w:cs="Times New Roman"/>
          <w:noProof/>
          <w:color w:val="000000" w:themeColor="text1"/>
          <w:sz w:val="24"/>
          <w:szCs w:val="24"/>
          <w:lang w:val="mt-MT"/>
        </w:rPr>
        <w:t>would have been</w:t>
      </w:r>
      <w:r w:rsidR="000B0127" w:rsidRPr="001E3C9B">
        <w:rPr>
          <w:rFonts w:ascii="Times New Roman" w:hAnsi="Times New Roman" w:cs="Times New Roman"/>
          <w:noProof/>
          <w:color w:val="000000" w:themeColor="text1"/>
          <w:sz w:val="24"/>
          <w:szCs w:val="24"/>
        </w:rPr>
        <w:t xml:space="preserve"> possible </w:t>
      </w:r>
      <w:r w:rsidRPr="001E3C9B">
        <w:rPr>
          <w:rFonts w:ascii="Times New Roman" w:hAnsi="Times New Roman" w:cs="Times New Roman"/>
          <w:noProof/>
          <w:color w:val="000000" w:themeColor="text1"/>
          <w:sz w:val="24"/>
          <w:szCs w:val="24"/>
        </w:rPr>
        <w:t>by</w:t>
      </w:r>
      <w:r w:rsidR="000B0127" w:rsidRPr="001E3C9B">
        <w:rPr>
          <w:rFonts w:ascii="Times New Roman" w:hAnsi="Times New Roman" w:cs="Times New Roman"/>
          <w:noProof/>
          <w:color w:val="000000" w:themeColor="text1"/>
          <w:sz w:val="24"/>
          <w:szCs w:val="24"/>
        </w:rPr>
        <w:t xml:space="preserve"> individual Member States</w:t>
      </w:r>
      <w:r w:rsidR="004C2FF9">
        <w:rPr>
          <w:rFonts w:ascii="Times New Roman" w:hAnsi="Times New Roman" w:cs="Times New Roman"/>
          <w:noProof/>
          <w:color w:val="000000" w:themeColor="text1"/>
          <w:sz w:val="24"/>
          <w:szCs w:val="24"/>
        </w:rPr>
        <w:t xml:space="preserve"> acting on their own</w:t>
      </w:r>
      <w:r w:rsidR="000B0127" w:rsidRPr="001E3C9B">
        <w:rPr>
          <w:rFonts w:ascii="Times New Roman" w:hAnsi="Times New Roman" w:cs="Times New Roman"/>
          <w:noProof/>
          <w:color w:val="000000" w:themeColor="text1"/>
          <w:sz w:val="24"/>
          <w:szCs w:val="24"/>
        </w:rPr>
        <w:t xml:space="preserve">. </w:t>
      </w:r>
    </w:p>
    <w:p w14:paraId="2B459BC9" w14:textId="59A23259" w:rsidR="000B0127" w:rsidRPr="001E3C9B" w:rsidRDefault="000B0127" w:rsidP="000B0127">
      <w:pPr>
        <w:spacing w:after="120"/>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 xml:space="preserve">This is demonstrated </w:t>
      </w:r>
      <w:r w:rsidR="000C7160" w:rsidRPr="001E3C9B">
        <w:rPr>
          <w:rFonts w:ascii="Times New Roman" w:hAnsi="Times New Roman" w:cs="Times New Roman"/>
          <w:noProof/>
          <w:color w:val="000000" w:themeColor="text1"/>
          <w:sz w:val="24"/>
          <w:szCs w:val="24"/>
        </w:rPr>
        <w:t>in the</w:t>
      </w:r>
      <w:r w:rsidR="00B9566E">
        <w:rPr>
          <w:rFonts w:ascii="Times New Roman" w:hAnsi="Times New Roman" w:cs="Times New Roman"/>
          <w:noProof/>
          <w:color w:val="000000" w:themeColor="text1"/>
          <w:sz w:val="24"/>
          <w:szCs w:val="24"/>
        </w:rPr>
        <w:t xml:space="preserve"> area of</w:t>
      </w:r>
      <w:r w:rsidR="000C7160" w:rsidRPr="001E3C9B">
        <w:rPr>
          <w:rFonts w:ascii="Times New Roman" w:hAnsi="Times New Roman" w:cs="Times New Roman"/>
          <w:noProof/>
          <w:color w:val="000000" w:themeColor="text1"/>
          <w:sz w:val="24"/>
          <w:szCs w:val="24"/>
        </w:rPr>
        <w:t xml:space="preserve"> fission </w:t>
      </w:r>
      <w:r w:rsidRPr="001E3C9B">
        <w:rPr>
          <w:rFonts w:ascii="Times New Roman" w:hAnsi="Times New Roman" w:cs="Times New Roman"/>
          <w:noProof/>
          <w:color w:val="000000" w:themeColor="text1"/>
          <w:sz w:val="24"/>
          <w:szCs w:val="24"/>
        </w:rPr>
        <w:t xml:space="preserve">by </w:t>
      </w:r>
      <w:r w:rsidR="00B02BCA" w:rsidRPr="001E3C9B">
        <w:rPr>
          <w:rFonts w:ascii="Times New Roman" w:hAnsi="Times New Roman" w:cs="Times New Roman"/>
          <w:noProof/>
          <w:color w:val="000000" w:themeColor="text1"/>
          <w:sz w:val="24"/>
          <w:szCs w:val="24"/>
        </w:rPr>
        <w:t>the</w:t>
      </w:r>
      <w:r w:rsidRPr="001E3C9B">
        <w:rPr>
          <w:rFonts w:ascii="Times New Roman" w:hAnsi="Times New Roman" w:cs="Times New Roman"/>
          <w:noProof/>
          <w:color w:val="000000" w:themeColor="text1"/>
          <w:sz w:val="24"/>
          <w:szCs w:val="24"/>
        </w:rPr>
        <w:t xml:space="preserve"> diverse portfolio of projects launched </w:t>
      </w:r>
      <w:r w:rsidR="00B02BCA" w:rsidRPr="001E3C9B">
        <w:rPr>
          <w:rFonts w:ascii="Times New Roman" w:hAnsi="Times New Roman" w:cs="Times New Roman"/>
          <w:noProof/>
          <w:color w:val="000000" w:themeColor="text1"/>
          <w:sz w:val="24"/>
          <w:szCs w:val="24"/>
        </w:rPr>
        <w:t>under the Programme.</w:t>
      </w:r>
      <w:r w:rsidR="009B2ADD"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 xml:space="preserve">Another example is </w:t>
      </w:r>
      <w:r w:rsidR="00B02BCA" w:rsidRPr="001E3C9B">
        <w:rPr>
          <w:rFonts w:ascii="Times New Roman" w:hAnsi="Times New Roman" w:cs="Times New Roman"/>
          <w:noProof/>
          <w:color w:val="000000" w:themeColor="text1"/>
          <w:sz w:val="24"/>
          <w:szCs w:val="24"/>
        </w:rPr>
        <w:t>the</w:t>
      </w:r>
      <w:r w:rsidRPr="001E3C9B">
        <w:rPr>
          <w:rFonts w:ascii="Times New Roman" w:hAnsi="Times New Roman" w:cs="Times New Roman"/>
          <w:noProof/>
          <w:color w:val="000000" w:themeColor="text1"/>
          <w:sz w:val="24"/>
          <w:szCs w:val="24"/>
        </w:rPr>
        <w:t xml:space="preserve"> </w:t>
      </w:r>
      <w:r w:rsidRPr="00854965">
        <w:rPr>
          <w:rFonts w:ascii="Times New Roman" w:hAnsi="Times New Roman" w:cs="Times New Roman"/>
          <w:noProof/>
          <w:color w:val="000000" w:themeColor="text1"/>
          <w:sz w:val="24"/>
          <w:szCs w:val="24"/>
        </w:rPr>
        <w:t>joint exploitation of fusion</w:t>
      </w:r>
      <w:r w:rsidR="00B9566E">
        <w:rPr>
          <w:rFonts w:ascii="Times New Roman" w:hAnsi="Times New Roman" w:cs="Times New Roman"/>
          <w:noProof/>
          <w:color w:val="000000" w:themeColor="text1"/>
          <w:sz w:val="24"/>
          <w:szCs w:val="24"/>
        </w:rPr>
        <w:t>-</w:t>
      </w:r>
      <w:r w:rsidRPr="00854965">
        <w:rPr>
          <w:rFonts w:ascii="Times New Roman" w:hAnsi="Times New Roman" w:cs="Times New Roman"/>
          <w:noProof/>
          <w:color w:val="000000" w:themeColor="text1"/>
          <w:sz w:val="24"/>
          <w:szCs w:val="24"/>
        </w:rPr>
        <w:t>res</w:t>
      </w:r>
      <w:r w:rsidR="001B42ED" w:rsidRPr="00854965">
        <w:rPr>
          <w:rFonts w:ascii="Times New Roman" w:hAnsi="Times New Roman" w:cs="Times New Roman"/>
          <w:noProof/>
          <w:color w:val="000000" w:themeColor="text1"/>
          <w:sz w:val="24"/>
          <w:szCs w:val="24"/>
        </w:rPr>
        <w:t>earch infrastructures</w:t>
      </w:r>
      <w:r w:rsidR="004C2FF9">
        <w:rPr>
          <w:rFonts w:ascii="Times New Roman" w:hAnsi="Times New Roman" w:cs="Times New Roman"/>
          <w:noProof/>
          <w:color w:val="000000" w:themeColor="text1"/>
          <w:sz w:val="24"/>
          <w:szCs w:val="24"/>
        </w:rPr>
        <w:t>,</w:t>
      </w:r>
      <w:r w:rsidR="001B42ED" w:rsidRPr="001E3C9B">
        <w:rPr>
          <w:rFonts w:ascii="Times New Roman" w:hAnsi="Times New Roman" w:cs="Times New Roman"/>
          <w:noProof/>
          <w:color w:val="000000" w:themeColor="text1"/>
          <w:sz w:val="24"/>
          <w:szCs w:val="24"/>
        </w:rPr>
        <w:t xml:space="preserve"> which relies</w:t>
      </w:r>
      <w:r w:rsidRPr="001E3C9B">
        <w:rPr>
          <w:rFonts w:ascii="Times New Roman" w:hAnsi="Times New Roman" w:cs="Times New Roman"/>
          <w:noProof/>
          <w:color w:val="000000" w:themeColor="text1"/>
          <w:sz w:val="24"/>
          <w:szCs w:val="24"/>
        </w:rPr>
        <w:t xml:space="preserve"> on the collective endeavours of researchers and engineers </w:t>
      </w:r>
      <w:r w:rsidR="003C26C4" w:rsidRPr="001E3C9B">
        <w:rPr>
          <w:rFonts w:ascii="Times New Roman" w:hAnsi="Times New Roman" w:cs="Times New Roman"/>
          <w:noProof/>
          <w:color w:val="000000" w:themeColor="text1"/>
          <w:sz w:val="24"/>
          <w:szCs w:val="24"/>
        </w:rPr>
        <w:t xml:space="preserve">supported by Euratom funding </w:t>
      </w:r>
      <w:r w:rsidRPr="001E3C9B">
        <w:rPr>
          <w:rFonts w:ascii="Times New Roman" w:hAnsi="Times New Roman" w:cs="Times New Roman"/>
          <w:noProof/>
          <w:color w:val="000000" w:themeColor="text1"/>
          <w:sz w:val="24"/>
          <w:szCs w:val="24"/>
        </w:rPr>
        <w:t xml:space="preserve">from </w:t>
      </w:r>
      <w:r w:rsidR="004C2FF9">
        <w:rPr>
          <w:rFonts w:ascii="Times New Roman" w:hAnsi="Times New Roman" w:cs="Times New Roman"/>
          <w:noProof/>
          <w:color w:val="000000" w:themeColor="text1"/>
          <w:sz w:val="24"/>
          <w:szCs w:val="24"/>
        </w:rPr>
        <w:t xml:space="preserve">all </w:t>
      </w:r>
      <w:r w:rsidRPr="001E3C9B">
        <w:rPr>
          <w:rFonts w:ascii="Times New Roman" w:hAnsi="Times New Roman" w:cs="Times New Roman"/>
          <w:noProof/>
          <w:color w:val="000000" w:themeColor="text1"/>
          <w:sz w:val="24"/>
          <w:szCs w:val="24"/>
        </w:rPr>
        <w:t xml:space="preserve">across Europe (about </w:t>
      </w:r>
      <w:r w:rsidRPr="00854965">
        <w:rPr>
          <w:rFonts w:ascii="Times New Roman" w:hAnsi="Times New Roman" w:cs="Times New Roman"/>
          <w:noProof/>
          <w:color w:val="000000" w:themeColor="text1"/>
          <w:sz w:val="24"/>
          <w:szCs w:val="24"/>
        </w:rPr>
        <w:t>8</w:t>
      </w:r>
      <w:r w:rsidR="00B02BCA" w:rsidRPr="00854965">
        <w:rPr>
          <w:rFonts w:ascii="Times New Roman" w:hAnsi="Times New Roman" w:cs="Times New Roman"/>
          <w:noProof/>
          <w:color w:val="000000" w:themeColor="text1"/>
          <w:sz w:val="24"/>
          <w:szCs w:val="24"/>
        </w:rPr>
        <w:t> </w:t>
      </w:r>
      <w:r w:rsidRPr="00854965">
        <w:rPr>
          <w:rFonts w:ascii="Times New Roman" w:hAnsi="Times New Roman" w:cs="Times New Roman"/>
          <w:noProof/>
          <w:color w:val="000000" w:themeColor="text1"/>
          <w:sz w:val="24"/>
          <w:szCs w:val="24"/>
        </w:rPr>
        <w:t xml:space="preserve">300 </w:t>
      </w:r>
      <w:r w:rsidR="00B9566E">
        <w:rPr>
          <w:rFonts w:ascii="Times New Roman" w:hAnsi="Times New Roman" w:cs="Times New Roman"/>
          <w:noProof/>
          <w:color w:val="000000" w:themeColor="text1"/>
          <w:sz w:val="24"/>
          <w:szCs w:val="24"/>
        </w:rPr>
        <w:t>people</w:t>
      </w:r>
      <w:r w:rsidR="00B9566E" w:rsidRPr="00854965">
        <w:rPr>
          <w:rFonts w:ascii="Times New Roman" w:hAnsi="Times New Roman" w:cs="Times New Roman"/>
          <w:noProof/>
          <w:color w:val="000000" w:themeColor="text1"/>
          <w:sz w:val="24"/>
          <w:szCs w:val="24"/>
        </w:rPr>
        <w:t xml:space="preserve"> </w:t>
      </w:r>
      <w:r w:rsidRPr="00854965">
        <w:rPr>
          <w:rFonts w:ascii="Times New Roman" w:hAnsi="Times New Roman" w:cs="Times New Roman"/>
          <w:noProof/>
          <w:color w:val="000000" w:themeColor="text1"/>
          <w:sz w:val="24"/>
          <w:szCs w:val="24"/>
        </w:rPr>
        <w:t xml:space="preserve">during </w:t>
      </w:r>
      <w:r w:rsidR="00B02BCA" w:rsidRPr="00854965">
        <w:rPr>
          <w:rFonts w:ascii="Times New Roman" w:hAnsi="Times New Roman" w:cs="Times New Roman"/>
          <w:noProof/>
          <w:color w:val="000000" w:themeColor="text1"/>
          <w:sz w:val="24"/>
          <w:szCs w:val="24"/>
        </w:rPr>
        <w:t>the period covered</w:t>
      </w:r>
      <w:r w:rsidR="00B02BCA" w:rsidRPr="001E3C9B">
        <w:rPr>
          <w:rFonts w:ascii="Times New Roman" w:hAnsi="Times New Roman" w:cs="Times New Roman"/>
          <w:noProof/>
          <w:color w:val="000000" w:themeColor="text1"/>
          <w:sz w:val="24"/>
          <w:szCs w:val="24"/>
        </w:rPr>
        <w:t xml:space="preserve"> by the Programme</w:t>
      </w:r>
      <w:r w:rsidRPr="001E3C9B">
        <w:rPr>
          <w:rFonts w:ascii="Times New Roman" w:hAnsi="Times New Roman" w:cs="Times New Roman"/>
          <w:noProof/>
          <w:color w:val="000000" w:themeColor="text1"/>
          <w:sz w:val="24"/>
          <w:szCs w:val="24"/>
        </w:rPr>
        <w:t xml:space="preserve">). This broad-based coordination is of particular </w:t>
      </w:r>
      <w:r w:rsidRPr="00854965">
        <w:rPr>
          <w:rFonts w:ascii="Times New Roman" w:hAnsi="Times New Roman" w:cs="Times New Roman"/>
          <w:noProof/>
          <w:color w:val="000000" w:themeColor="text1"/>
          <w:sz w:val="24"/>
          <w:szCs w:val="24"/>
        </w:rPr>
        <w:t>benefit to smaller Member States which can take advantage of the economies of scale afforded by the pooling effect</w:t>
      </w:r>
      <w:r w:rsidR="00AC5E40" w:rsidRPr="00BA168D">
        <w:rPr>
          <w:rFonts w:ascii="Times New Roman" w:hAnsi="Times New Roman" w:cs="Times New Roman"/>
          <w:noProof/>
          <w:color w:val="000000" w:themeColor="text1"/>
          <w:sz w:val="24"/>
          <w:szCs w:val="24"/>
        </w:rPr>
        <w:t xml:space="preserve">. </w:t>
      </w:r>
      <w:r w:rsidR="00AC5E40" w:rsidRPr="001E3C9B">
        <w:rPr>
          <w:rFonts w:ascii="Times New Roman" w:hAnsi="Times New Roman" w:cs="Times New Roman"/>
          <w:noProof/>
          <w:color w:val="000000" w:themeColor="text1"/>
          <w:sz w:val="24"/>
          <w:szCs w:val="24"/>
        </w:rPr>
        <w:t>I</w:t>
      </w:r>
      <w:r w:rsidRPr="001E3C9B">
        <w:rPr>
          <w:rFonts w:ascii="Times New Roman" w:hAnsi="Times New Roman" w:cs="Times New Roman"/>
          <w:noProof/>
          <w:color w:val="000000" w:themeColor="text1"/>
          <w:sz w:val="24"/>
          <w:szCs w:val="24"/>
        </w:rPr>
        <w:t>n fusion research</w:t>
      </w:r>
      <w:r w:rsidR="00B9566E">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this is exemplified by smaller</w:t>
      </w:r>
      <w:r w:rsidRPr="000B0127">
        <w:rPr>
          <w:rFonts w:ascii="Times New Roman" w:hAnsi="Times New Roman" w:cs="Times New Roman"/>
          <w:noProof/>
          <w:color w:val="000000" w:themeColor="text1"/>
        </w:rPr>
        <w:t xml:space="preserve"> </w:t>
      </w:r>
      <w:r w:rsidRPr="001E3C9B">
        <w:rPr>
          <w:rFonts w:ascii="Times New Roman" w:hAnsi="Times New Roman" w:cs="Times New Roman"/>
          <w:noProof/>
          <w:color w:val="000000" w:themeColor="text1"/>
          <w:sz w:val="24"/>
          <w:szCs w:val="24"/>
        </w:rPr>
        <w:t>laboratories that can specialise in scientific topics or subsystems for fusion</w:t>
      </w:r>
      <w:r w:rsidR="00E02CEF">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research facilities in Europe </w:t>
      </w:r>
      <w:r w:rsidR="00AC5E40" w:rsidRPr="001E3C9B">
        <w:rPr>
          <w:rFonts w:ascii="Times New Roman" w:hAnsi="Times New Roman" w:cs="Times New Roman"/>
          <w:noProof/>
          <w:color w:val="000000" w:themeColor="text1"/>
          <w:sz w:val="24"/>
          <w:szCs w:val="24"/>
        </w:rPr>
        <w:t xml:space="preserve">to </w:t>
      </w:r>
      <w:r w:rsidRPr="001E3C9B">
        <w:rPr>
          <w:rFonts w:ascii="Times New Roman" w:hAnsi="Times New Roman" w:cs="Times New Roman"/>
          <w:noProof/>
          <w:color w:val="000000" w:themeColor="text1"/>
          <w:sz w:val="24"/>
          <w:szCs w:val="24"/>
        </w:rPr>
        <w:t xml:space="preserve">make </w:t>
      </w:r>
      <w:r w:rsidR="005831FB">
        <w:rPr>
          <w:rFonts w:ascii="Times New Roman" w:hAnsi="Times New Roman" w:cs="Times New Roman"/>
          <w:noProof/>
          <w:color w:val="000000" w:themeColor="text1"/>
          <w:sz w:val="24"/>
          <w:szCs w:val="24"/>
        </w:rPr>
        <w:t>significant</w:t>
      </w:r>
      <w:r w:rsidR="005831FB"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 xml:space="preserve">contributions while maintaining visibility in the European consortium. </w:t>
      </w:r>
    </w:p>
    <w:p w14:paraId="7ECE1AEC" w14:textId="55AE5B8A" w:rsidR="005A0893" w:rsidRPr="001E3C9B" w:rsidRDefault="001B42ED" w:rsidP="00C40390">
      <w:pPr>
        <w:spacing w:after="120"/>
        <w:jc w:val="both"/>
        <w:rPr>
          <w:rFonts w:ascii="Times New Roman" w:hAnsi="Times New Roman" w:cs="Times New Roman"/>
          <w:bCs/>
          <w:noProof/>
          <w:color w:val="000000" w:themeColor="text1"/>
          <w:sz w:val="24"/>
          <w:szCs w:val="24"/>
          <w:lang w:val="mt-MT"/>
        </w:rPr>
      </w:pPr>
      <w:r w:rsidRPr="001E3C9B">
        <w:rPr>
          <w:rFonts w:ascii="Times New Roman" w:hAnsi="Times New Roman" w:cs="Times New Roman"/>
          <w:bCs/>
          <w:noProof/>
          <w:color w:val="000000" w:themeColor="text1"/>
          <w:sz w:val="24"/>
          <w:szCs w:val="24"/>
          <w:lang w:val="mt-MT"/>
        </w:rPr>
        <w:t>The EU-added value of the direct actions was grounded in the JRC’s unique position as an independent and long</w:t>
      </w:r>
      <w:r w:rsidR="005A0893" w:rsidRPr="001E3C9B">
        <w:rPr>
          <w:rFonts w:ascii="Times New Roman" w:hAnsi="Times New Roman" w:cs="Times New Roman"/>
          <w:bCs/>
          <w:noProof/>
          <w:color w:val="000000" w:themeColor="text1"/>
          <w:sz w:val="24"/>
          <w:szCs w:val="24"/>
          <w:lang w:val="mt-MT"/>
        </w:rPr>
        <w:t>-</w:t>
      </w:r>
      <w:r w:rsidRPr="001E3C9B">
        <w:rPr>
          <w:rFonts w:ascii="Times New Roman" w:hAnsi="Times New Roman" w:cs="Times New Roman"/>
          <w:bCs/>
          <w:noProof/>
          <w:color w:val="000000" w:themeColor="text1"/>
          <w:sz w:val="24"/>
          <w:szCs w:val="24"/>
          <w:lang w:val="mt-MT"/>
        </w:rPr>
        <w:t xml:space="preserve">standing technical and scientific service, which supports the preparation, implementation and monitoring of EU policies, in particular the </w:t>
      </w:r>
      <w:r w:rsidR="00E02CEF">
        <w:rPr>
          <w:rFonts w:ascii="Times New Roman" w:hAnsi="Times New Roman" w:cs="Times New Roman"/>
          <w:bCs/>
          <w:noProof/>
          <w:color w:val="000000" w:themeColor="text1"/>
          <w:sz w:val="24"/>
          <w:szCs w:val="24"/>
          <w:lang w:val="mt-MT"/>
        </w:rPr>
        <w:t>N</w:t>
      </w:r>
      <w:r w:rsidR="00E02CEF" w:rsidRPr="001E3C9B">
        <w:rPr>
          <w:rFonts w:ascii="Times New Roman" w:hAnsi="Times New Roman" w:cs="Times New Roman"/>
          <w:bCs/>
          <w:noProof/>
          <w:color w:val="000000" w:themeColor="text1"/>
          <w:sz w:val="24"/>
          <w:szCs w:val="24"/>
          <w:lang w:val="mt-MT"/>
        </w:rPr>
        <w:t xml:space="preserve">uclear </w:t>
      </w:r>
      <w:r w:rsidRPr="001E3C9B">
        <w:rPr>
          <w:rFonts w:ascii="Times New Roman" w:hAnsi="Times New Roman" w:cs="Times New Roman"/>
          <w:bCs/>
          <w:noProof/>
          <w:color w:val="000000" w:themeColor="text1"/>
          <w:sz w:val="24"/>
          <w:szCs w:val="24"/>
          <w:lang w:val="mt-MT"/>
        </w:rPr>
        <w:t>Directives</w:t>
      </w:r>
      <w:r w:rsidRPr="001E3C9B">
        <w:rPr>
          <w:rStyle w:val="FootnoteReference"/>
          <w:rFonts w:ascii="Times New Roman" w:hAnsi="Times New Roman" w:cs="Times New Roman"/>
          <w:bCs/>
          <w:noProof/>
          <w:color w:val="000000" w:themeColor="text1"/>
          <w:sz w:val="24"/>
          <w:szCs w:val="24"/>
          <w:lang w:val="mt-MT"/>
        </w:rPr>
        <w:footnoteReference w:id="15"/>
      </w:r>
      <w:r w:rsidRPr="001E3C9B">
        <w:rPr>
          <w:rFonts w:ascii="Times New Roman" w:hAnsi="Times New Roman" w:cs="Times New Roman"/>
          <w:bCs/>
          <w:noProof/>
          <w:color w:val="000000" w:themeColor="text1"/>
          <w:sz w:val="24"/>
          <w:szCs w:val="24"/>
          <w:lang w:val="mt-MT"/>
        </w:rPr>
        <w:t xml:space="preserve"> (</w:t>
      </w:r>
      <w:r w:rsidR="00E02CEF">
        <w:rPr>
          <w:rFonts w:ascii="Times New Roman" w:hAnsi="Times New Roman" w:cs="Times New Roman"/>
          <w:bCs/>
          <w:noProof/>
          <w:color w:val="000000" w:themeColor="text1"/>
          <w:sz w:val="24"/>
          <w:szCs w:val="24"/>
          <w:lang w:val="mt-MT"/>
        </w:rPr>
        <w:t xml:space="preserve">i.e. the </w:t>
      </w:r>
      <w:r w:rsidRPr="001E3C9B">
        <w:rPr>
          <w:rFonts w:ascii="Times New Roman" w:hAnsi="Times New Roman" w:cs="Times New Roman"/>
          <w:bCs/>
          <w:noProof/>
          <w:color w:val="000000" w:themeColor="text1"/>
          <w:sz w:val="24"/>
          <w:szCs w:val="24"/>
          <w:lang w:val="mt-MT"/>
        </w:rPr>
        <w:t xml:space="preserve">Nuclear Safety, Basic Safety Standards, </w:t>
      </w:r>
      <w:r w:rsidR="00D45902">
        <w:rPr>
          <w:rFonts w:ascii="Times New Roman" w:hAnsi="Times New Roman" w:cs="Times New Roman"/>
          <w:bCs/>
          <w:noProof/>
          <w:color w:val="000000" w:themeColor="text1"/>
          <w:sz w:val="24"/>
          <w:szCs w:val="24"/>
          <w:lang w:val="mt-MT"/>
        </w:rPr>
        <w:t xml:space="preserve">Safety of </w:t>
      </w:r>
      <w:r w:rsidR="00E96EC5">
        <w:rPr>
          <w:rFonts w:ascii="Times New Roman" w:hAnsi="Times New Roman" w:cs="Times New Roman"/>
          <w:bCs/>
          <w:noProof/>
          <w:color w:val="000000" w:themeColor="text1"/>
          <w:sz w:val="24"/>
          <w:szCs w:val="24"/>
          <w:lang w:val="mt-MT"/>
        </w:rPr>
        <w:t>Radioactive</w:t>
      </w:r>
      <w:r w:rsidR="00E96EC5" w:rsidRPr="001E3C9B">
        <w:rPr>
          <w:rFonts w:ascii="Times New Roman" w:hAnsi="Times New Roman" w:cs="Times New Roman"/>
          <w:bCs/>
          <w:noProof/>
          <w:color w:val="000000" w:themeColor="text1"/>
          <w:sz w:val="24"/>
          <w:szCs w:val="24"/>
          <w:lang w:val="mt-MT"/>
        </w:rPr>
        <w:t xml:space="preserve"> </w:t>
      </w:r>
      <w:r w:rsidRPr="001E3C9B">
        <w:rPr>
          <w:rFonts w:ascii="Times New Roman" w:hAnsi="Times New Roman" w:cs="Times New Roman"/>
          <w:bCs/>
          <w:noProof/>
          <w:color w:val="000000" w:themeColor="text1"/>
          <w:sz w:val="24"/>
          <w:szCs w:val="24"/>
          <w:lang w:val="mt-MT"/>
        </w:rPr>
        <w:t>Waste</w:t>
      </w:r>
      <w:r w:rsidR="00D45902">
        <w:rPr>
          <w:rFonts w:ascii="Times New Roman" w:hAnsi="Times New Roman" w:cs="Times New Roman"/>
          <w:bCs/>
          <w:noProof/>
          <w:color w:val="000000" w:themeColor="text1"/>
          <w:sz w:val="24"/>
          <w:szCs w:val="24"/>
          <w:lang w:val="mt-MT"/>
        </w:rPr>
        <w:t xml:space="preserve"> and Spent Fuel,</w:t>
      </w:r>
      <w:r w:rsidRPr="001E3C9B">
        <w:rPr>
          <w:rFonts w:ascii="Times New Roman" w:hAnsi="Times New Roman" w:cs="Times New Roman"/>
          <w:bCs/>
          <w:noProof/>
          <w:color w:val="000000" w:themeColor="text1"/>
          <w:sz w:val="24"/>
          <w:szCs w:val="24"/>
          <w:lang w:val="mt-MT"/>
        </w:rPr>
        <w:t xml:space="preserve"> and Shipments </w:t>
      </w:r>
      <w:r w:rsidR="00D45902">
        <w:rPr>
          <w:rFonts w:ascii="Times New Roman" w:hAnsi="Times New Roman" w:cs="Times New Roman"/>
          <w:bCs/>
          <w:noProof/>
          <w:color w:val="000000" w:themeColor="text1"/>
          <w:sz w:val="24"/>
          <w:szCs w:val="24"/>
          <w:lang w:val="mt-MT"/>
        </w:rPr>
        <w:t>of</w:t>
      </w:r>
      <w:r w:rsidR="00D45902" w:rsidRPr="001E3C9B">
        <w:rPr>
          <w:rFonts w:ascii="Times New Roman" w:hAnsi="Times New Roman" w:cs="Times New Roman"/>
          <w:bCs/>
          <w:noProof/>
          <w:color w:val="000000" w:themeColor="text1"/>
          <w:sz w:val="24"/>
          <w:szCs w:val="24"/>
          <w:lang w:val="mt-MT"/>
        </w:rPr>
        <w:t xml:space="preserve"> </w:t>
      </w:r>
      <w:r w:rsidRPr="001E3C9B">
        <w:rPr>
          <w:rFonts w:ascii="Times New Roman" w:hAnsi="Times New Roman" w:cs="Times New Roman"/>
          <w:bCs/>
          <w:noProof/>
          <w:color w:val="000000" w:themeColor="text1"/>
          <w:sz w:val="24"/>
          <w:szCs w:val="24"/>
          <w:lang w:val="mt-MT"/>
        </w:rPr>
        <w:t>Radioactive Waste</w:t>
      </w:r>
      <w:r w:rsidR="00D45902">
        <w:rPr>
          <w:rFonts w:ascii="Times New Roman" w:hAnsi="Times New Roman" w:cs="Times New Roman"/>
          <w:bCs/>
          <w:noProof/>
          <w:color w:val="000000" w:themeColor="text1"/>
          <w:sz w:val="24"/>
          <w:szCs w:val="24"/>
          <w:lang w:val="mt-MT"/>
        </w:rPr>
        <w:t xml:space="preserve"> and Spent Fuel</w:t>
      </w:r>
      <w:r w:rsidRPr="001E3C9B">
        <w:rPr>
          <w:rFonts w:ascii="Times New Roman" w:hAnsi="Times New Roman" w:cs="Times New Roman"/>
          <w:bCs/>
          <w:noProof/>
          <w:color w:val="000000" w:themeColor="text1"/>
          <w:sz w:val="24"/>
          <w:szCs w:val="24"/>
          <w:lang w:val="mt-MT"/>
        </w:rPr>
        <w:t xml:space="preserve"> Directives). Another example was in the area of safeguards</w:t>
      </w:r>
      <w:r w:rsidR="000B0663">
        <w:rPr>
          <w:rFonts w:ascii="Times New Roman" w:hAnsi="Times New Roman" w:cs="Times New Roman"/>
          <w:bCs/>
          <w:noProof/>
          <w:color w:val="000000" w:themeColor="text1"/>
          <w:sz w:val="24"/>
          <w:szCs w:val="24"/>
          <w:lang w:val="mt-MT"/>
        </w:rPr>
        <w:t>,</w:t>
      </w:r>
      <w:r w:rsidRPr="001E3C9B">
        <w:rPr>
          <w:rFonts w:ascii="Times New Roman" w:hAnsi="Times New Roman" w:cs="Times New Roman"/>
          <w:bCs/>
          <w:noProof/>
          <w:color w:val="000000" w:themeColor="text1"/>
          <w:sz w:val="24"/>
          <w:szCs w:val="24"/>
          <w:lang w:val="mt-MT"/>
        </w:rPr>
        <w:t xml:space="preserve"> where JRC expertise was essential </w:t>
      </w:r>
      <w:r w:rsidR="005A0893" w:rsidRPr="001E3C9B">
        <w:rPr>
          <w:rFonts w:ascii="Times New Roman" w:hAnsi="Times New Roman" w:cs="Times New Roman"/>
          <w:bCs/>
          <w:noProof/>
          <w:color w:val="000000" w:themeColor="text1"/>
          <w:sz w:val="24"/>
          <w:szCs w:val="24"/>
          <w:lang w:val="mt-MT"/>
        </w:rPr>
        <w:t>in</w:t>
      </w:r>
      <w:r w:rsidRPr="001E3C9B">
        <w:rPr>
          <w:rFonts w:ascii="Times New Roman" w:hAnsi="Times New Roman" w:cs="Times New Roman"/>
          <w:bCs/>
          <w:noProof/>
          <w:color w:val="000000" w:themeColor="text1"/>
          <w:sz w:val="24"/>
          <w:szCs w:val="24"/>
          <w:lang w:val="mt-MT"/>
        </w:rPr>
        <w:t xml:space="preserve"> providing the necessary support to the Euratom </w:t>
      </w:r>
      <w:r w:rsidR="006012E8">
        <w:rPr>
          <w:rFonts w:ascii="Times New Roman" w:hAnsi="Times New Roman" w:cs="Times New Roman"/>
          <w:bCs/>
          <w:noProof/>
          <w:color w:val="000000" w:themeColor="text1"/>
          <w:sz w:val="24"/>
          <w:szCs w:val="24"/>
          <w:lang w:val="mt-MT"/>
        </w:rPr>
        <w:t>s</w:t>
      </w:r>
      <w:r w:rsidRPr="001E3C9B">
        <w:rPr>
          <w:rFonts w:ascii="Times New Roman" w:hAnsi="Times New Roman" w:cs="Times New Roman"/>
          <w:bCs/>
          <w:noProof/>
          <w:color w:val="000000" w:themeColor="text1"/>
          <w:sz w:val="24"/>
          <w:szCs w:val="24"/>
          <w:lang w:val="mt-MT"/>
        </w:rPr>
        <w:t>afeguards system.</w:t>
      </w:r>
    </w:p>
    <w:p w14:paraId="546D9392" w14:textId="5325AFA6" w:rsidR="005A0893" w:rsidRPr="001E3C9B" w:rsidRDefault="001B42ED" w:rsidP="00C40390">
      <w:pPr>
        <w:spacing w:after="120"/>
        <w:jc w:val="both"/>
        <w:rPr>
          <w:rFonts w:ascii="Times New Roman" w:hAnsi="Times New Roman" w:cs="Times New Roman"/>
          <w:bCs/>
          <w:noProof/>
          <w:color w:val="000000" w:themeColor="text1"/>
          <w:sz w:val="24"/>
          <w:szCs w:val="24"/>
          <w:lang w:val="mt-MT"/>
        </w:rPr>
      </w:pPr>
      <w:r w:rsidRPr="001E3C9B">
        <w:rPr>
          <w:rFonts w:ascii="Times New Roman" w:hAnsi="Times New Roman" w:cs="Times New Roman"/>
          <w:bCs/>
          <w:noProof/>
          <w:color w:val="000000" w:themeColor="text1"/>
          <w:sz w:val="24"/>
          <w:szCs w:val="24"/>
          <w:lang w:val="mt-MT"/>
        </w:rPr>
        <w:t xml:space="preserve">Overall, through the </w:t>
      </w:r>
      <w:r w:rsidR="005A0893" w:rsidRPr="001E3C9B">
        <w:rPr>
          <w:rFonts w:ascii="Times New Roman" w:hAnsi="Times New Roman" w:cs="Times New Roman"/>
          <w:bCs/>
          <w:noProof/>
          <w:color w:val="000000" w:themeColor="text1"/>
          <w:sz w:val="24"/>
          <w:szCs w:val="24"/>
          <w:lang w:val="mt-MT"/>
        </w:rPr>
        <w:t>P</w:t>
      </w:r>
      <w:r w:rsidRPr="001E3C9B">
        <w:rPr>
          <w:rFonts w:ascii="Times New Roman" w:hAnsi="Times New Roman" w:cs="Times New Roman"/>
          <w:bCs/>
          <w:noProof/>
          <w:color w:val="000000" w:themeColor="text1"/>
          <w:sz w:val="24"/>
          <w:szCs w:val="24"/>
          <w:lang w:val="mt-MT"/>
        </w:rPr>
        <w:t xml:space="preserve">rogramme, the JRC was able to develop further knowledge and maintain </w:t>
      </w:r>
      <w:r w:rsidR="00E02CEF">
        <w:rPr>
          <w:rFonts w:ascii="Times New Roman" w:hAnsi="Times New Roman" w:cs="Times New Roman"/>
          <w:bCs/>
          <w:noProof/>
          <w:color w:val="000000" w:themeColor="text1"/>
          <w:sz w:val="24"/>
          <w:szCs w:val="24"/>
          <w:lang w:val="mt-MT"/>
        </w:rPr>
        <w:t>skills</w:t>
      </w:r>
      <w:r w:rsidR="00E02CEF" w:rsidRPr="001E3C9B">
        <w:rPr>
          <w:rFonts w:ascii="Times New Roman" w:hAnsi="Times New Roman" w:cs="Times New Roman"/>
          <w:bCs/>
          <w:noProof/>
          <w:color w:val="000000" w:themeColor="text1"/>
          <w:sz w:val="24"/>
          <w:szCs w:val="24"/>
          <w:lang w:val="mt-MT"/>
        </w:rPr>
        <w:t xml:space="preserve"> </w:t>
      </w:r>
      <w:r w:rsidRPr="001E3C9B">
        <w:rPr>
          <w:rFonts w:ascii="Times New Roman" w:hAnsi="Times New Roman" w:cs="Times New Roman"/>
          <w:bCs/>
          <w:noProof/>
          <w:color w:val="000000" w:themeColor="text1"/>
          <w:sz w:val="24"/>
          <w:szCs w:val="24"/>
          <w:lang w:val="mt-MT"/>
        </w:rPr>
        <w:t>and expertise, therefore bringing added value to Euratom. This is exemplified</w:t>
      </w:r>
      <w:r w:rsidR="005A0893" w:rsidRPr="001E3C9B">
        <w:rPr>
          <w:rFonts w:ascii="Times New Roman" w:hAnsi="Times New Roman" w:cs="Times New Roman"/>
          <w:bCs/>
          <w:noProof/>
          <w:color w:val="000000" w:themeColor="text1"/>
          <w:sz w:val="24"/>
          <w:szCs w:val="24"/>
          <w:lang w:val="mt-MT"/>
        </w:rPr>
        <w:t>,</w:t>
      </w:r>
      <w:r w:rsidRPr="001E3C9B">
        <w:rPr>
          <w:rFonts w:ascii="Times New Roman" w:hAnsi="Times New Roman" w:cs="Times New Roman"/>
          <w:bCs/>
          <w:noProof/>
          <w:color w:val="000000" w:themeColor="text1"/>
          <w:sz w:val="24"/>
          <w:szCs w:val="24"/>
          <w:lang w:val="mt-MT"/>
        </w:rPr>
        <w:t xml:space="preserve"> </w:t>
      </w:r>
      <w:r w:rsidR="005A0893" w:rsidRPr="001E3C9B">
        <w:rPr>
          <w:rFonts w:ascii="Times New Roman" w:hAnsi="Times New Roman" w:cs="Times New Roman"/>
          <w:bCs/>
          <w:noProof/>
          <w:color w:val="000000" w:themeColor="text1"/>
          <w:sz w:val="24"/>
          <w:szCs w:val="24"/>
          <w:lang w:val="mt-MT"/>
        </w:rPr>
        <w:t xml:space="preserve">for </w:t>
      </w:r>
      <w:r w:rsidRPr="001E3C9B">
        <w:rPr>
          <w:rFonts w:ascii="Times New Roman" w:hAnsi="Times New Roman" w:cs="Times New Roman"/>
          <w:bCs/>
          <w:noProof/>
          <w:color w:val="000000" w:themeColor="text1"/>
          <w:sz w:val="24"/>
          <w:szCs w:val="24"/>
          <w:lang w:val="mt-MT"/>
        </w:rPr>
        <w:t>e</w:t>
      </w:r>
      <w:r w:rsidR="005A0893" w:rsidRPr="001E3C9B">
        <w:rPr>
          <w:rFonts w:ascii="Times New Roman" w:hAnsi="Times New Roman" w:cs="Times New Roman"/>
          <w:bCs/>
          <w:noProof/>
          <w:color w:val="000000" w:themeColor="text1"/>
          <w:sz w:val="24"/>
          <w:szCs w:val="24"/>
          <w:lang w:val="mt-MT"/>
        </w:rPr>
        <w:t>xample,</w:t>
      </w:r>
      <w:r w:rsidRPr="001E3C9B">
        <w:rPr>
          <w:rFonts w:ascii="Times New Roman" w:hAnsi="Times New Roman" w:cs="Times New Roman"/>
          <w:bCs/>
          <w:noProof/>
          <w:color w:val="000000" w:themeColor="text1"/>
          <w:sz w:val="24"/>
          <w:szCs w:val="24"/>
          <w:lang w:val="mt-MT"/>
        </w:rPr>
        <w:t xml:space="preserve"> </w:t>
      </w:r>
      <w:r w:rsidR="00E02CEF">
        <w:rPr>
          <w:rFonts w:ascii="Times New Roman" w:hAnsi="Times New Roman" w:cs="Times New Roman"/>
          <w:bCs/>
          <w:noProof/>
          <w:color w:val="000000" w:themeColor="text1"/>
          <w:sz w:val="24"/>
          <w:szCs w:val="24"/>
          <w:lang w:val="mt-MT"/>
        </w:rPr>
        <w:t>in</w:t>
      </w:r>
      <w:r w:rsidR="005A0893" w:rsidRPr="001E3C9B">
        <w:rPr>
          <w:rFonts w:ascii="Times New Roman" w:hAnsi="Times New Roman" w:cs="Times New Roman"/>
          <w:bCs/>
          <w:noProof/>
          <w:color w:val="000000" w:themeColor="text1"/>
          <w:sz w:val="24"/>
          <w:szCs w:val="24"/>
          <w:lang w:val="mt-MT"/>
        </w:rPr>
        <w:t>:</w:t>
      </w:r>
    </w:p>
    <w:p w14:paraId="6C001A43" w14:textId="7B20CDD6" w:rsidR="005A0893" w:rsidRPr="00B977EA" w:rsidRDefault="001B42ED" w:rsidP="005A0893">
      <w:pPr>
        <w:pStyle w:val="ListParagraph"/>
        <w:numPr>
          <w:ilvl w:val="0"/>
          <w:numId w:val="53"/>
        </w:numPr>
        <w:spacing w:after="120"/>
        <w:rPr>
          <w:rFonts w:cs="Times New Roman"/>
          <w:noProof/>
          <w:color w:val="000000" w:themeColor="text1"/>
          <w:szCs w:val="24"/>
        </w:rPr>
      </w:pPr>
      <w:r w:rsidRPr="00B977EA">
        <w:rPr>
          <w:rFonts w:cs="Times New Roman"/>
          <w:bCs/>
          <w:noProof/>
          <w:color w:val="000000" w:themeColor="text1"/>
          <w:szCs w:val="24"/>
          <w:lang w:val="mt-MT"/>
        </w:rPr>
        <w:t>the pooling of operational experiences in the EU through the Clearinghouse, which contributes to improved nuclear safety</w:t>
      </w:r>
      <w:r w:rsidR="00E02CEF">
        <w:rPr>
          <w:rFonts w:cs="Times New Roman"/>
          <w:bCs/>
          <w:noProof/>
          <w:color w:val="000000" w:themeColor="text1"/>
          <w:szCs w:val="24"/>
          <w:lang w:val="mt-MT"/>
        </w:rPr>
        <w:t>;</w:t>
      </w:r>
    </w:p>
    <w:p w14:paraId="521BB3E1" w14:textId="67D0487F" w:rsidR="005A0893" w:rsidRPr="00B977EA" w:rsidRDefault="001B42ED" w:rsidP="005A0893">
      <w:pPr>
        <w:pStyle w:val="ListParagraph"/>
        <w:numPr>
          <w:ilvl w:val="0"/>
          <w:numId w:val="53"/>
        </w:numPr>
        <w:spacing w:after="120"/>
        <w:rPr>
          <w:rFonts w:cs="Times New Roman"/>
          <w:noProof/>
          <w:color w:val="000000" w:themeColor="text1"/>
          <w:szCs w:val="24"/>
        </w:rPr>
      </w:pPr>
      <w:r w:rsidRPr="00B977EA">
        <w:rPr>
          <w:rFonts w:cs="Times New Roman"/>
          <w:bCs/>
          <w:noProof/>
          <w:color w:val="000000" w:themeColor="text1"/>
          <w:szCs w:val="24"/>
          <w:lang w:val="mt-MT"/>
        </w:rPr>
        <w:t xml:space="preserve">the access to JRC nuclear infrastructures </w:t>
      </w:r>
      <w:r w:rsidR="00E02CEF">
        <w:rPr>
          <w:rFonts w:cs="Times New Roman"/>
          <w:bCs/>
          <w:noProof/>
          <w:color w:val="000000" w:themeColor="text1"/>
          <w:szCs w:val="24"/>
          <w:lang w:val="mt-MT"/>
        </w:rPr>
        <w:t>as part</w:t>
      </w:r>
      <w:r w:rsidRPr="00B977EA">
        <w:rPr>
          <w:rFonts w:cs="Times New Roman"/>
          <w:bCs/>
          <w:noProof/>
          <w:color w:val="000000" w:themeColor="text1"/>
          <w:szCs w:val="24"/>
          <w:lang w:val="mt-MT"/>
        </w:rPr>
        <w:t xml:space="preserve"> of EU projects, allowing external users to perform experiments not possible in their </w:t>
      </w:r>
      <w:r w:rsidR="00E02CEF">
        <w:rPr>
          <w:rFonts w:cs="Times New Roman"/>
          <w:bCs/>
          <w:noProof/>
          <w:color w:val="000000" w:themeColor="text1"/>
          <w:szCs w:val="24"/>
          <w:lang w:val="mt-MT"/>
        </w:rPr>
        <w:t xml:space="preserve">home </w:t>
      </w:r>
      <w:r w:rsidRPr="00B977EA">
        <w:rPr>
          <w:rFonts w:cs="Times New Roman"/>
          <w:bCs/>
          <w:noProof/>
          <w:color w:val="000000" w:themeColor="text1"/>
          <w:szCs w:val="24"/>
          <w:lang w:val="mt-MT"/>
        </w:rPr>
        <w:t>organi</w:t>
      </w:r>
      <w:r w:rsidR="005A0893" w:rsidRPr="00B977EA">
        <w:rPr>
          <w:rFonts w:cs="Times New Roman"/>
          <w:bCs/>
          <w:noProof/>
          <w:color w:val="000000" w:themeColor="text1"/>
          <w:szCs w:val="24"/>
          <w:lang w:val="mt-MT"/>
        </w:rPr>
        <w:t>s</w:t>
      </w:r>
      <w:r w:rsidRPr="00B977EA">
        <w:rPr>
          <w:rFonts w:cs="Times New Roman"/>
          <w:bCs/>
          <w:noProof/>
          <w:color w:val="000000" w:themeColor="text1"/>
          <w:szCs w:val="24"/>
          <w:lang w:val="mt-MT"/>
        </w:rPr>
        <w:t>ation</w:t>
      </w:r>
      <w:r w:rsidR="00937CAE">
        <w:rPr>
          <w:rFonts w:cs="Times New Roman"/>
          <w:bCs/>
          <w:noProof/>
          <w:color w:val="000000" w:themeColor="text1"/>
          <w:szCs w:val="24"/>
          <w:lang w:val="mt-MT"/>
        </w:rPr>
        <w:t>;</w:t>
      </w:r>
    </w:p>
    <w:p w14:paraId="4771C032" w14:textId="4FC243B2" w:rsidR="00521C87" w:rsidRDefault="001B42ED" w:rsidP="00F658D0">
      <w:pPr>
        <w:pStyle w:val="ListParagraph"/>
        <w:numPr>
          <w:ilvl w:val="0"/>
          <w:numId w:val="53"/>
        </w:numPr>
        <w:spacing w:after="120"/>
        <w:rPr>
          <w:rFonts w:cs="Times New Roman"/>
          <w:bCs/>
          <w:noProof/>
          <w:color w:val="000000" w:themeColor="text1"/>
          <w:szCs w:val="24"/>
          <w:lang w:val="mt-MT"/>
        </w:rPr>
      </w:pPr>
      <w:r w:rsidRPr="00B977EA">
        <w:rPr>
          <w:rFonts w:cs="Times New Roman"/>
          <w:bCs/>
          <w:noProof/>
          <w:color w:val="000000" w:themeColor="text1"/>
          <w:szCs w:val="24"/>
          <w:lang w:val="mt-MT"/>
        </w:rPr>
        <w:t>the manning of an EU security</w:t>
      </w:r>
      <w:r w:rsidR="00E02CEF">
        <w:rPr>
          <w:rFonts w:cs="Times New Roman"/>
          <w:bCs/>
          <w:noProof/>
          <w:color w:val="000000" w:themeColor="text1"/>
          <w:szCs w:val="24"/>
          <w:lang w:val="mt-MT"/>
        </w:rPr>
        <w:t>-</w:t>
      </w:r>
      <w:r w:rsidRPr="00B977EA">
        <w:rPr>
          <w:rFonts w:cs="Times New Roman"/>
          <w:bCs/>
          <w:noProof/>
          <w:color w:val="000000" w:themeColor="text1"/>
          <w:szCs w:val="24"/>
          <w:lang w:val="mt-MT"/>
        </w:rPr>
        <w:t>training centre providing training in nuclear safeguards and security to front</w:t>
      </w:r>
      <w:r w:rsidR="00E02CEF">
        <w:rPr>
          <w:rFonts w:cs="Times New Roman"/>
          <w:bCs/>
          <w:noProof/>
          <w:color w:val="000000" w:themeColor="text1"/>
          <w:szCs w:val="24"/>
          <w:lang w:val="mt-MT"/>
        </w:rPr>
        <w:t>-</w:t>
      </w:r>
      <w:r w:rsidRPr="00B977EA">
        <w:rPr>
          <w:rFonts w:cs="Times New Roman"/>
          <w:bCs/>
          <w:noProof/>
          <w:color w:val="000000" w:themeColor="text1"/>
          <w:szCs w:val="24"/>
          <w:lang w:val="mt-MT"/>
        </w:rPr>
        <w:t xml:space="preserve">line officers, or the coordination of Euratom’s research efforts in Generation IV systems </w:t>
      </w:r>
      <w:r w:rsidR="009D18D0" w:rsidRPr="00B977EA">
        <w:rPr>
          <w:rFonts w:cs="Times New Roman"/>
          <w:bCs/>
          <w:noProof/>
          <w:color w:val="000000" w:themeColor="text1"/>
          <w:szCs w:val="24"/>
          <w:lang w:val="mt-MT"/>
        </w:rPr>
        <w:t>as Euratom implementing agent</w:t>
      </w:r>
      <w:r w:rsidRPr="00B977EA">
        <w:rPr>
          <w:rFonts w:cs="Times New Roman"/>
          <w:bCs/>
          <w:noProof/>
          <w:color w:val="000000" w:themeColor="text1"/>
          <w:szCs w:val="24"/>
          <w:lang w:val="mt-MT"/>
        </w:rPr>
        <w:t xml:space="preserve"> in the Generation IV International Forum.</w:t>
      </w:r>
    </w:p>
    <w:p w14:paraId="02F6C3CD" w14:textId="13CF896C" w:rsidR="00521C87" w:rsidRDefault="00521C87">
      <w:pPr>
        <w:rPr>
          <w:rFonts w:cs="Times New Roman"/>
          <w:bCs/>
          <w:noProof/>
          <w:color w:val="000000" w:themeColor="text1"/>
          <w:szCs w:val="24"/>
          <w:lang w:val="mt-MT"/>
        </w:rPr>
      </w:pPr>
      <w:r>
        <w:rPr>
          <w:rFonts w:cs="Times New Roman"/>
          <w:bCs/>
          <w:noProof/>
          <w:color w:val="000000" w:themeColor="text1"/>
          <w:szCs w:val="24"/>
          <w:lang w:val="mt-MT"/>
        </w:rPr>
        <w:br w:type="page"/>
      </w:r>
    </w:p>
    <w:p w14:paraId="1BD7C143" w14:textId="77777777" w:rsidR="00A433F8" w:rsidRPr="00521C87" w:rsidRDefault="00A433F8" w:rsidP="00521C87">
      <w:pPr>
        <w:rPr>
          <w:rFonts w:ascii="Times New Roman" w:eastAsiaTheme="minorEastAsia" w:hAnsi="Times New Roman" w:cs="Times New Roman"/>
          <w:bCs/>
          <w:noProof/>
          <w:color w:val="000000" w:themeColor="text1"/>
          <w:sz w:val="24"/>
          <w:szCs w:val="24"/>
          <w:lang w:val="mt-MT" w:eastAsia="en-GB"/>
        </w:rPr>
      </w:pPr>
    </w:p>
    <w:p w14:paraId="47186A27" w14:textId="3A3AEB40" w:rsidR="00710E39" w:rsidRPr="007C4BD5" w:rsidRDefault="007B0AF6" w:rsidP="007C4BD5">
      <w:pPr>
        <w:pStyle w:val="Heading1"/>
        <w:spacing w:before="0" w:after="120"/>
        <w:jc w:val="both"/>
        <w:rPr>
          <w:rFonts w:ascii="Times New Roman" w:hAnsi="Times New Roman" w:cs="Times New Roman"/>
          <w:noProof/>
          <w:color w:val="000000" w:themeColor="text1"/>
        </w:rPr>
      </w:pPr>
      <w:r w:rsidRPr="007C4BD5">
        <w:rPr>
          <w:rFonts w:ascii="Times New Roman" w:hAnsi="Times New Roman" w:cs="Times New Roman"/>
          <w:noProof/>
          <w:color w:val="000000" w:themeColor="text1"/>
        </w:rPr>
        <w:t>C</w:t>
      </w:r>
      <w:r w:rsidR="00710E39" w:rsidRPr="007C4BD5">
        <w:rPr>
          <w:rFonts w:ascii="Times New Roman" w:hAnsi="Times New Roman" w:cs="Times New Roman"/>
          <w:noProof/>
          <w:color w:val="000000" w:themeColor="text1"/>
        </w:rPr>
        <w:t xml:space="preserve">onclusions </w:t>
      </w:r>
      <w:r w:rsidRPr="007C4BD5">
        <w:rPr>
          <w:rFonts w:ascii="Times New Roman" w:hAnsi="Times New Roman" w:cs="Times New Roman"/>
          <w:noProof/>
          <w:color w:val="000000" w:themeColor="text1"/>
        </w:rPr>
        <w:t xml:space="preserve">and lessons learned </w:t>
      </w:r>
      <w:r w:rsidR="00710E39" w:rsidRPr="007C4BD5">
        <w:rPr>
          <w:rFonts w:ascii="Times New Roman" w:hAnsi="Times New Roman" w:cs="Times New Roman"/>
          <w:noProof/>
          <w:color w:val="000000" w:themeColor="text1"/>
        </w:rPr>
        <w:t>to feed into the decision-making process</w:t>
      </w:r>
    </w:p>
    <w:p w14:paraId="4D0AB2AF" w14:textId="77777777" w:rsidR="00EF4D22" w:rsidRDefault="00EF4D22" w:rsidP="006364D4">
      <w:pPr>
        <w:spacing w:after="0" w:line="240" w:lineRule="auto"/>
        <w:jc w:val="both"/>
        <w:rPr>
          <w:rFonts w:ascii="Times New Roman" w:eastAsia="Times New Roman" w:hAnsi="Times New Roman" w:cs="Times New Roman"/>
          <w:noProof/>
          <w:color w:val="0E101A"/>
          <w:sz w:val="24"/>
          <w:szCs w:val="24"/>
          <w:lang w:val="en-IE" w:eastAsia="en-IE"/>
        </w:rPr>
      </w:pPr>
    </w:p>
    <w:p w14:paraId="72DABF23" w14:textId="337ACD1E" w:rsidR="00BA3A82" w:rsidRPr="007C4BD5" w:rsidRDefault="00BA3A82" w:rsidP="007C4BD5">
      <w:pPr>
        <w:numPr>
          <w:ilvl w:val="1"/>
          <w:numId w:val="1"/>
        </w:numPr>
        <w:spacing w:after="120"/>
        <w:jc w:val="both"/>
        <w:rPr>
          <w:rFonts w:ascii="Times New Roman" w:hAnsi="Times New Roman" w:cs="Times New Roman"/>
          <w:b/>
          <w:bCs/>
          <w:noProof/>
          <w:color w:val="000000" w:themeColor="text1"/>
          <w:sz w:val="24"/>
          <w:szCs w:val="24"/>
        </w:rPr>
      </w:pPr>
      <w:r w:rsidRPr="007C4BD5">
        <w:rPr>
          <w:rFonts w:ascii="Times New Roman" w:hAnsi="Times New Roman" w:cs="Times New Roman"/>
          <w:b/>
          <w:bCs/>
          <w:noProof/>
          <w:color w:val="000000" w:themeColor="text1"/>
          <w:sz w:val="24"/>
          <w:szCs w:val="24"/>
        </w:rPr>
        <w:t>Conclusions</w:t>
      </w:r>
    </w:p>
    <w:p w14:paraId="7ADCE788" w14:textId="4F0B1748" w:rsidR="00380A83" w:rsidRDefault="007F51B2" w:rsidP="00380A83">
      <w:pPr>
        <w:spacing w:after="120"/>
        <w:jc w:val="both"/>
        <w:rPr>
          <w:rFonts w:ascii="Times New Roman" w:eastAsia="Times New Roman" w:hAnsi="Times New Roman" w:cs="Times New Roman"/>
          <w:noProof/>
          <w:color w:val="0E101A"/>
          <w:sz w:val="24"/>
          <w:szCs w:val="24"/>
          <w:lang w:val="en-IE" w:eastAsia="en-IE"/>
        </w:rPr>
      </w:pPr>
      <w:r>
        <w:rPr>
          <w:rFonts w:ascii="Times New Roman" w:eastAsia="Times New Roman" w:hAnsi="Times New Roman" w:cs="Times New Roman"/>
          <w:noProof/>
          <w:color w:val="0E101A"/>
          <w:sz w:val="24"/>
          <w:szCs w:val="24"/>
          <w:lang w:val="en-IE" w:eastAsia="en-IE"/>
        </w:rPr>
        <w:t>The e</w:t>
      </w:r>
      <w:r w:rsidR="00380A83" w:rsidRPr="00BB39D5">
        <w:rPr>
          <w:rFonts w:ascii="Times New Roman" w:eastAsia="Times New Roman" w:hAnsi="Times New Roman" w:cs="Times New Roman"/>
          <w:noProof/>
          <w:color w:val="0E101A"/>
          <w:sz w:val="24"/>
          <w:szCs w:val="24"/>
          <w:lang w:val="en-IE" w:eastAsia="en-IE"/>
        </w:rPr>
        <w:t>valuation concludes that the Programme significantly supported nuclear safety, security and radiation protection</w:t>
      </w:r>
      <w:r w:rsidR="00380A83">
        <w:rPr>
          <w:rFonts w:ascii="Times New Roman" w:eastAsia="Times New Roman" w:hAnsi="Times New Roman" w:cs="Times New Roman"/>
          <w:noProof/>
          <w:color w:val="0E101A"/>
          <w:sz w:val="24"/>
          <w:szCs w:val="24"/>
          <w:lang w:val="en-IE" w:eastAsia="en-IE"/>
        </w:rPr>
        <w:t xml:space="preserve"> in the EU</w:t>
      </w:r>
      <w:r w:rsidR="00380A83" w:rsidRPr="00BB39D5">
        <w:rPr>
          <w:rFonts w:ascii="Times New Roman" w:eastAsia="Times New Roman" w:hAnsi="Times New Roman" w:cs="Times New Roman"/>
          <w:noProof/>
          <w:color w:val="0E101A"/>
          <w:sz w:val="24"/>
          <w:szCs w:val="24"/>
          <w:lang w:val="en-IE" w:eastAsia="en-IE"/>
        </w:rPr>
        <w:t xml:space="preserve">, helping to ensure that Europe meets the highest standards in these fields. At the same time, the </w:t>
      </w:r>
      <w:r>
        <w:rPr>
          <w:rFonts w:ascii="Times New Roman" w:eastAsia="Times New Roman" w:hAnsi="Times New Roman" w:cs="Times New Roman"/>
          <w:noProof/>
          <w:color w:val="0E101A"/>
          <w:sz w:val="24"/>
          <w:szCs w:val="24"/>
          <w:lang w:val="en-IE" w:eastAsia="en-IE"/>
        </w:rPr>
        <w:t>P</w:t>
      </w:r>
      <w:r w:rsidR="00380A83" w:rsidRPr="00BB39D5">
        <w:rPr>
          <w:rFonts w:ascii="Times New Roman" w:eastAsia="Times New Roman" w:hAnsi="Times New Roman" w:cs="Times New Roman"/>
          <w:noProof/>
          <w:color w:val="0E101A"/>
          <w:sz w:val="24"/>
          <w:szCs w:val="24"/>
          <w:lang w:val="en-IE" w:eastAsia="en-IE"/>
        </w:rPr>
        <w:t xml:space="preserve">rogramme contributed to the long-term decarbonisation of the EU energy system by providing a knowledge base and solutions for the long-term operation of existing </w:t>
      </w:r>
      <w:r w:rsidR="00D5674F">
        <w:rPr>
          <w:rFonts w:ascii="Times New Roman" w:eastAsia="Times New Roman" w:hAnsi="Times New Roman" w:cs="Times New Roman"/>
          <w:noProof/>
          <w:color w:val="0E101A"/>
          <w:sz w:val="24"/>
          <w:szCs w:val="24"/>
          <w:lang w:val="en-IE" w:eastAsia="en-IE"/>
        </w:rPr>
        <w:t>NPPs</w:t>
      </w:r>
      <w:r w:rsidR="00A06DD4">
        <w:rPr>
          <w:rFonts w:ascii="Times New Roman" w:eastAsia="Times New Roman" w:hAnsi="Times New Roman" w:cs="Times New Roman"/>
          <w:noProof/>
          <w:color w:val="0E101A"/>
          <w:sz w:val="24"/>
          <w:szCs w:val="24"/>
          <w:lang w:val="en-IE" w:eastAsia="en-IE"/>
        </w:rPr>
        <w:t>. The Programme also helped to</w:t>
      </w:r>
      <w:r w:rsidR="00380A83" w:rsidRPr="00BB39D5">
        <w:rPr>
          <w:rFonts w:ascii="Times New Roman" w:eastAsia="Times New Roman" w:hAnsi="Times New Roman" w:cs="Times New Roman"/>
          <w:noProof/>
          <w:color w:val="0E101A"/>
          <w:sz w:val="24"/>
          <w:szCs w:val="24"/>
          <w:lang w:val="en-IE" w:eastAsia="en-IE"/>
        </w:rPr>
        <w:t xml:space="preserve"> </w:t>
      </w:r>
      <w:r w:rsidR="00380A83">
        <w:rPr>
          <w:rFonts w:ascii="Times New Roman" w:eastAsia="Times New Roman" w:hAnsi="Times New Roman" w:cs="Times New Roman"/>
          <w:noProof/>
          <w:color w:val="0E101A"/>
          <w:sz w:val="24"/>
          <w:szCs w:val="24"/>
          <w:lang w:val="en-IE" w:eastAsia="en-IE"/>
        </w:rPr>
        <w:t>advanc</w:t>
      </w:r>
      <w:r w:rsidR="00A06DD4">
        <w:rPr>
          <w:rFonts w:ascii="Times New Roman" w:eastAsia="Times New Roman" w:hAnsi="Times New Roman" w:cs="Times New Roman"/>
          <w:noProof/>
          <w:color w:val="0E101A"/>
          <w:sz w:val="24"/>
          <w:szCs w:val="24"/>
          <w:lang w:val="en-IE" w:eastAsia="en-IE"/>
        </w:rPr>
        <w:t>e</w:t>
      </w:r>
      <w:r w:rsidR="00380A83">
        <w:rPr>
          <w:rFonts w:ascii="Times New Roman" w:eastAsia="Times New Roman" w:hAnsi="Times New Roman" w:cs="Times New Roman"/>
          <w:noProof/>
          <w:color w:val="0E101A"/>
          <w:sz w:val="24"/>
          <w:szCs w:val="24"/>
          <w:lang w:val="en-IE" w:eastAsia="en-IE"/>
        </w:rPr>
        <w:t xml:space="preserve"> </w:t>
      </w:r>
      <w:r w:rsidR="00D20757">
        <w:rPr>
          <w:rFonts w:ascii="Times New Roman" w:eastAsia="Times New Roman" w:hAnsi="Times New Roman" w:cs="Times New Roman"/>
          <w:noProof/>
          <w:color w:val="0E101A"/>
          <w:sz w:val="24"/>
          <w:szCs w:val="24"/>
          <w:lang w:val="en-IE" w:eastAsia="en-IE"/>
        </w:rPr>
        <w:t xml:space="preserve">both: (i) </w:t>
      </w:r>
      <w:r w:rsidR="00A06DD4">
        <w:rPr>
          <w:rFonts w:ascii="Times New Roman" w:eastAsia="Times New Roman" w:hAnsi="Times New Roman" w:cs="Times New Roman"/>
          <w:noProof/>
          <w:color w:val="0E101A"/>
          <w:sz w:val="24"/>
          <w:szCs w:val="24"/>
          <w:lang w:val="en-IE" w:eastAsia="en-IE"/>
        </w:rPr>
        <w:t xml:space="preserve">the </w:t>
      </w:r>
      <w:r w:rsidR="00380A83">
        <w:rPr>
          <w:rFonts w:ascii="Times New Roman" w:eastAsia="Times New Roman" w:hAnsi="Times New Roman" w:cs="Times New Roman"/>
          <w:noProof/>
          <w:color w:val="0E101A"/>
          <w:sz w:val="24"/>
          <w:szCs w:val="24"/>
          <w:lang w:val="en-IE" w:eastAsia="en-IE"/>
        </w:rPr>
        <w:t xml:space="preserve">knowledge and technologies necessary for </w:t>
      </w:r>
      <w:r w:rsidR="00380A83" w:rsidRPr="00BB39D5">
        <w:rPr>
          <w:rFonts w:ascii="Times New Roman" w:eastAsia="Times New Roman" w:hAnsi="Times New Roman" w:cs="Times New Roman"/>
          <w:noProof/>
          <w:color w:val="0E101A"/>
          <w:sz w:val="24"/>
          <w:szCs w:val="24"/>
          <w:lang w:val="en-IE" w:eastAsia="en-IE"/>
        </w:rPr>
        <w:t>the development of fusion energy</w:t>
      </w:r>
      <w:r w:rsidR="00D20757">
        <w:rPr>
          <w:rFonts w:ascii="Times New Roman" w:eastAsia="Times New Roman" w:hAnsi="Times New Roman" w:cs="Times New Roman"/>
          <w:noProof/>
          <w:color w:val="0E101A"/>
          <w:sz w:val="24"/>
          <w:szCs w:val="24"/>
          <w:lang w:val="en-IE" w:eastAsia="en-IE"/>
        </w:rPr>
        <w:t>;</w:t>
      </w:r>
      <w:r w:rsidR="00380A83" w:rsidRPr="00BB39D5">
        <w:rPr>
          <w:rFonts w:ascii="Times New Roman" w:eastAsia="Times New Roman" w:hAnsi="Times New Roman" w:cs="Times New Roman"/>
          <w:noProof/>
          <w:color w:val="0E101A"/>
          <w:sz w:val="24"/>
          <w:szCs w:val="24"/>
          <w:lang w:val="en-IE" w:eastAsia="en-IE"/>
        </w:rPr>
        <w:t xml:space="preserve"> and</w:t>
      </w:r>
      <w:r w:rsidR="00D20757">
        <w:rPr>
          <w:rFonts w:ascii="Times New Roman" w:eastAsia="Times New Roman" w:hAnsi="Times New Roman" w:cs="Times New Roman"/>
          <w:noProof/>
          <w:color w:val="0E101A"/>
          <w:sz w:val="24"/>
          <w:szCs w:val="24"/>
          <w:lang w:val="en-IE" w:eastAsia="en-IE"/>
        </w:rPr>
        <w:t xml:space="preserve"> (ii)</w:t>
      </w:r>
      <w:r w:rsidR="00380A83" w:rsidRPr="00BB39D5">
        <w:rPr>
          <w:rFonts w:ascii="Times New Roman" w:eastAsia="Times New Roman" w:hAnsi="Times New Roman" w:cs="Times New Roman"/>
          <w:noProof/>
          <w:color w:val="0E101A"/>
          <w:sz w:val="24"/>
          <w:szCs w:val="24"/>
          <w:lang w:val="en-IE" w:eastAsia="en-IE"/>
        </w:rPr>
        <w:t xml:space="preserve"> the safety case for advanced nuclear systems.</w:t>
      </w:r>
      <w:r w:rsidR="00380A83">
        <w:rPr>
          <w:rFonts w:ascii="Times New Roman" w:eastAsia="Times New Roman" w:hAnsi="Times New Roman" w:cs="Times New Roman"/>
          <w:noProof/>
          <w:color w:val="0E101A"/>
          <w:sz w:val="24"/>
          <w:szCs w:val="24"/>
          <w:lang w:val="en-IE" w:eastAsia="en-IE"/>
        </w:rPr>
        <w:t xml:space="preserve"> </w:t>
      </w:r>
    </w:p>
    <w:p w14:paraId="3F832A91" w14:textId="5F7FD93A" w:rsidR="00BA3A82" w:rsidRPr="001706C4" w:rsidRDefault="00D20757" w:rsidP="001706C4">
      <w:pPr>
        <w:spacing w:after="120"/>
        <w:jc w:val="both"/>
        <w:rPr>
          <w:rFonts w:ascii="Times New Roman" w:hAnsi="Times New Roman" w:cs="Times New Roman"/>
          <w:b/>
          <w:bCs/>
          <w:noProof/>
          <w:color w:val="000000" w:themeColor="text1"/>
          <w:sz w:val="24"/>
          <w:szCs w:val="24"/>
          <w:u w:val="single"/>
        </w:rPr>
      </w:pPr>
      <w:r>
        <w:rPr>
          <w:rFonts w:ascii="Times New Roman" w:eastAsia="Times New Roman" w:hAnsi="Times New Roman" w:cs="Times New Roman"/>
          <w:noProof/>
          <w:color w:val="0E101A"/>
          <w:sz w:val="24"/>
          <w:szCs w:val="24"/>
          <w:u w:val="single"/>
          <w:lang w:val="en-IE" w:eastAsia="en-IE"/>
        </w:rPr>
        <w:t>The e</w:t>
      </w:r>
      <w:r w:rsidR="00380A83" w:rsidRPr="001706C4">
        <w:rPr>
          <w:rFonts w:ascii="Times New Roman" w:eastAsia="Times New Roman" w:hAnsi="Times New Roman" w:cs="Times New Roman"/>
          <w:noProof/>
          <w:color w:val="0E101A"/>
          <w:sz w:val="24"/>
          <w:szCs w:val="24"/>
          <w:u w:val="single"/>
          <w:lang w:val="en-IE" w:eastAsia="en-IE"/>
        </w:rPr>
        <w:t>valuation provides a number of important conclusions</w:t>
      </w:r>
      <w:r>
        <w:rPr>
          <w:rFonts w:ascii="Times New Roman" w:eastAsia="Times New Roman" w:hAnsi="Times New Roman" w:cs="Times New Roman"/>
          <w:noProof/>
          <w:color w:val="0E101A"/>
          <w:sz w:val="24"/>
          <w:szCs w:val="24"/>
          <w:u w:val="single"/>
          <w:lang w:val="en-IE" w:eastAsia="en-IE"/>
        </w:rPr>
        <w:t>, six of which are set out in the paragraphs below.</w:t>
      </w:r>
    </w:p>
    <w:p w14:paraId="0F5D34EF" w14:textId="47059096" w:rsidR="00480E78" w:rsidRDefault="00480E78" w:rsidP="00480E78">
      <w:pPr>
        <w:pStyle w:val="ListParagraph"/>
        <w:numPr>
          <w:ilvl w:val="0"/>
          <w:numId w:val="56"/>
        </w:numPr>
        <w:spacing w:after="0" w:line="240" w:lineRule="auto"/>
        <w:contextualSpacing/>
        <w:rPr>
          <w:rFonts w:cs="Times New Roman"/>
          <w:noProof/>
          <w:szCs w:val="24"/>
        </w:rPr>
      </w:pPr>
      <w:r w:rsidRPr="00055191">
        <w:rPr>
          <w:rFonts w:cs="Times New Roman"/>
          <w:noProof/>
          <w:szCs w:val="24"/>
        </w:rPr>
        <w:t xml:space="preserve">Through cooperative research, the </w:t>
      </w:r>
      <w:r w:rsidR="007F51B2">
        <w:rPr>
          <w:rFonts w:cs="Times New Roman"/>
          <w:noProof/>
          <w:szCs w:val="24"/>
        </w:rPr>
        <w:t>P</w:t>
      </w:r>
      <w:r w:rsidRPr="00055191">
        <w:rPr>
          <w:rFonts w:cs="Times New Roman"/>
          <w:noProof/>
          <w:szCs w:val="24"/>
        </w:rPr>
        <w:t>rogramme enabled a Europe-wide approach to</w:t>
      </w:r>
      <w:r w:rsidR="00D20757">
        <w:rPr>
          <w:rFonts w:cs="Times New Roman"/>
          <w:noProof/>
          <w:szCs w:val="24"/>
        </w:rPr>
        <w:t xml:space="preserve"> both: (i)</w:t>
      </w:r>
      <w:r w:rsidRPr="00055191">
        <w:rPr>
          <w:rFonts w:cs="Times New Roman"/>
          <w:noProof/>
          <w:szCs w:val="24"/>
        </w:rPr>
        <w:t xml:space="preserve"> the improvement of nuclear safety and radiation protection in all areas of application</w:t>
      </w:r>
      <w:r w:rsidR="00D20757">
        <w:rPr>
          <w:rFonts w:cs="Times New Roman"/>
          <w:noProof/>
          <w:szCs w:val="24"/>
        </w:rPr>
        <w:t>; and (ii)</w:t>
      </w:r>
      <w:r w:rsidRPr="00055191">
        <w:rPr>
          <w:rFonts w:cs="Times New Roman"/>
          <w:noProof/>
          <w:szCs w:val="24"/>
        </w:rPr>
        <w:t xml:space="preserve"> the challenge of develop</w:t>
      </w:r>
      <w:r w:rsidR="00D20757">
        <w:rPr>
          <w:rFonts w:cs="Times New Roman"/>
          <w:noProof/>
          <w:szCs w:val="24"/>
        </w:rPr>
        <w:t>ing</w:t>
      </w:r>
      <w:r w:rsidRPr="00055191">
        <w:rPr>
          <w:rFonts w:cs="Times New Roman"/>
          <w:noProof/>
          <w:szCs w:val="24"/>
        </w:rPr>
        <w:t xml:space="preserve"> fusion as</w:t>
      </w:r>
      <w:r w:rsidR="00D20757">
        <w:rPr>
          <w:rFonts w:cs="Times New Roman"/>
          <w:noProof/>
          <w:szCs w:val="24"/>
        </w:rPr>
        <w:t xml:space="preserve"> an</w:t>
      </w:r>
      <w:r w:rsidRPr="00055191">
        <w:rPr>
          <w:rFonts w:cs="Times New Roman"/>
          <w:noProof/>
          <w:szCs w:val="24"/>
        </w:rPr>
        <w:t xml:space="preserve"> energy source. </w:t>
      </w:r>
      <w:r w:rsidR="007F51B2">
        <w:rPr>
          <w:rFonts w:cs="Times New Roman"/>
          <w:noProof/>
          <w:szCs w:val="24"/>
        </w:rPr>
        <w:t>The</w:t>
      </w:r>
      <w:r w:rsidRPr="00055191">
        <w:rPr>
          <w:rFonts w:cs="Times New Roman"/>
          <w:noProof/>
          <w:szCs w:val="24"/>
        </w:rPr>
        <w:t xml:space="preserve"> </w:t>
      </w:r>
      <w:r w:rsidR="007F51B2">
        <w:rPr>
          <w:rFonts w:cs="Times New Roman"/>
          <w:noProof/>
          <w:szCs w:val="24"/>
        </w:rPr>
        <w:t>P</w:t>
      </w:r>
      <w:r w:rsidRPr="00055191">
        <w:rPr>
          <w:rFonts w:cs="Times New Roman"/>
          <w:noProof/>
          <w:szCs w:val="24"/>
        </w:rPr>
        <w:t xml:space="preserve">rogramme significantly </w:t>
      </w:r>
      <w:r w:rsidR="00D20757">
        <w:rPr>
          <w:rFonts w:cs="Times New Roman"/>
          <w:noProof/>
          <w:szCs w:val="24"/>
        </w:rPr>
        <w:t>increased</w:t>
      </w:r>
      <w:r w:rsidR="00D20757" w:rsidRPr="00055191">
        <w:rPr>
          <w:rFonts w:cs="Times New Roman"/>
          <w:noProof/>
          <w:szCs w:val="24"/>
        </w:rPr>
        <w:t xml:space="preserve"> </w:t>
      </w:r>
      <w:r w:rsidRPr="00055191">
        <w:rPr>
          <w:rFonts w:cs="Times New Roman"/>
          <w:noProof/>
          <w:szCs w:val="24"/>
        </w:rPr>
        <w:t>the EU</w:t>
      </w:r>
      <w:r w:rsidR="00D20757">
        <w:rPr>
          <w:rFonts w:cs="Times New Roman"/>
          <w:noProof/>
          <w:szCs w:val="24"/>
        </w:rPr>
        <w:t>’</w:t>
      </w:r>
      <w:r w:rsidRPr="00055191">
        <w:rPr>
          <w:rFonts w:cs="Times New Roman"/>
          <w:noProof/>
          <w:szCs w:val="24"/>
        </w:rPr>
        <w:t xml:space="preserve">s ability to mobilise a wider pool of excellence, expertise and multidisciplinarity in nuclear research, achieving impacts that extend far beyond what </w:t>
      </w:r>
      <w:r w:rsidR="007F51B2">
        <w:rPr>
          <w:rFonts w:cs="Times New Roman"/>
          <w:noProof/>
          <w:szCs w:val="24"/>
        </w:rPr>
        <w:t>w</w:t>
      </w:r>
      <w:r w:rsidRPr="00055191">
        <w:rPr>
          <w:rFonts w:cs="Times New Roman"/>
          <w:noProof/>
          <w:szCs w:val="24"/>
        </w:rPr>
        <w:t xml:space="preserve">ould have been achieved at national or regional level. </w:t>
      </w:r>
      <w:r w:rsidRPr="0064007A">
        <w:rPr>
          <w:rFonts w:cs="Times New Roman"/>
          <w:noProof/>
          <w:szCs w:val="24"/>
        </w:rPr>
        <w:t xml:space="preserve">This is of particular benefit to smaller Member States, which </w:t>
      </w:r>
      <w:r w:rsidR="00D20757">
        <w:rPr>
          <w:rFonts w:cs="Times New Roman"/>
          <w:noProof/>
          <w:szCs w:val="24"/>
        </w:rPr>
        <w:t>were able to</w:t>
      </w:r>
      <w:r w:rsidR="00D20757" w:rsidRPr="0064007A">
        <w:rPr>
          <w:rFonts w:cs="Times New Roman"/>
          <w:noProof/>
          <w:szCs w:val="24"/>
        </w:rPr>
        <w:t xml:space="preserve"> </w:t>
      </w:r>
      <w:r w:rsidRPr="0064007A">
        <w:rPr>
          <w:rFonts w:cs="Times New Roman"/>
          <w:noProof/>
          <w:szCs w:val="24"/>
        </w:rPr>
        <w:t>take advantage of economies of scale afforded by the Europe-wide pooling effect</w:t>
      </w:r>
      <w:r>
        <w:rPr>
          <w:rFonts w:cs="Times New Roman"/>
          <w:noProof/>
          <w:szCs w:val="24"/>
        </w:rPr>
        <w:t xml:space="preserve"> and open access to JRC facilities</w:t>
      </w:r>
      <w:r w:rsidRPr="0064007A">
        <w:rPr>
          <w:rFonts w:cs="Times New Roman"/>
          <w:noProof/>
          <w:szCs w:val="24"/>
        </w:rPr>
        <w:t>.</w:t>
      </w:r>
    </w:p>
    <w:p w14:paraId="05C4671B" w14:textId="77777777" w:rsidR="00480E78" w:rsidRPr="0064007A" w:rsidRDefault="00480E78" w:rsidP="00480E78">
      <w:pPr>
        <w:pStyle w:val="ListParagraph"/>
        <w:spacing w:after="0" w:line="240" w:lineRule="auto"/>
        <w:rPr>
          <w:rFonts w:cs="Times New Roman"/>
          <w:noProof/>
          <w:szCs w:val="24"/>
        </w:rPr>
      </w:pPr>
    </w:p>
    <w:p w14:paraId="5AB425B6" w14:textId="0542F4FA" w:rsidR="00480E78" w:rsidRPr="00D858FA" w:rsidRDefault="00480E78" w:rsidP="00480E78">
      <w:pPr>
        <w:pStyle w:val="ListParagraph"/>
        <w:numPr>
          <w:ilvl w:val="0"/>
          <w:numId w:val="55"/>
        </w:numPr>
        <w:pBdr>
          <w:top w:val="single" w:sz="4" w:space="1" w:color="auto"/>
          <w:left w:val="single" w:sz="4" w:space="4" w:color="auto"/>
          <w:bottom w:val="single" w:sz="4" w:space="1" w:color="auto"/>
          <w:right w:val="single" w:sz="4" w:space="4" w:color="auto"/>
        </w:pBdr>
        <w:spacing w:after="0" w:line="240" w:lineRule="auto"/>
        <w:contextualSpacing/>
        <w:rPr>
          <w:rFonts w:cs="Times New Roman"/>
          <w:noProof/>
          <w:szCs w:val="24"/>
        </w:rPr>
      </w:pPr>
      <w:r w:rsidRPr="00854965">
        <w:rPr>
          <w:rFonts w:cs="Times New Roman"/>
          <w:noProof/>
          <w:szCs w:val="24"/>
        </w:rPr>
        <w:t>402</w:t>
      </w:r>
      <w:r w:rsidRPr="007F51B2">
        <w:rPr>
          <w:rFonts w:cs="Times New Roman"/>
          <w:noProof/>
          <w:szCs w:val="24"/>
        </w:rPr>
        <w:t xml:space="preserve"> </w:t>
      </w:r>
      <w:r w:rsidRPr="00D858FA">
        <w:rPr>
          <w:rFonts w:cs="Times New Roman"/>
          <w:noProof/>
          <w:szCs w:val="24"/>
        </w:rPr>
        <w:t>organisations participated in EJPs for rese</w:t>
      </w:r>
      <w:r w:rsidR="00750F66">
        <w:rPr>
          <w:rFonts w:cs="Times New Roman"/>
          <w:noProof/>
          <w:szCs w:val="24"/>
        </w:rPr>
        <w:t>a</w:t>
      </w:r>
      <w:r w:rsidRPr="00D858FA">
        <w:rPr>
          <w:rFonts w:cs="Times New Roman"/>
          <w:noProof/>
          <w:szCs w:val="24"/>
        </w:rPr>
        <w:t xml:space="preserve">rch in radiation protection, </w:t>
      </w:r>
      <w:r>
        <w:rPr>
          <w:rFonts w:cs="Times New Roman"/>
          <w:noProof/>
          <w:szCs w:val="24"/>
        </w:rPr>
        <w:t>radioactive</w:t>
      </w:r>
      <w:r w:rsidR="00E86DB0">
        <w:rPr>
          <w:rFonts w:cs="Times New Roman"/>
          <w:noProof/>
          <w:szCs w:val="24"/>
        </w:rPr>
        <w:t>-</w:t>
      </w:r>
      <w:r w:rsidRPr="00D858FA">
        <w:rPr>
          <w:rFonts w:cs="Times New Roman"/>
          <w:noProof/>
          <w:szCs w:val="24"/>
        </w:rPr>
        <w:t>waste management and fusion</w:t>
      </w:r>
    </w:p>
    <w:p w14:paraId="4C17AC14" w14:textId="1A1900EA" w:rsidR="00480E78" w:rsidRDefault="00D20757" w:rsidP="00480E78">
      <w:pPr>
        <w:pStyle w:val="ListParagraph"/>
        <w:numPr>
          <w:ilvl w:val="0"/>
          <w:numId w:val="55"/>
        </w:numPr>
        <w:pBdr>
          <w:top w:val="single" w:sz="4" w:space="1" w:color="auto"/>
          <w:left w:val="single" w:sz="4" w:space="4" w:color="auto"/>
          <w:bottom w:val="single" w:sz="4" w:space="1" w:color="auto"/>
          <w:right w:val="single" w:sz="4" w:space="4" w:color="auto"/>
        </w:pBdr>
        <w:spacing w:after="0" w:line="240" w:lineRule="auto"/>
        <w:contextualSpacing/>
        <w:rPr>
          <w:rFonts w:cs="Times New Roman"/>
          <w:noProof/>
          <w:szCs w:val="24"/>
        </w:rPr>
      </w:pPr>
      <w:r>
        <w:rPr>
          <w:rFonts w:cs="Times New Roman"/>
          <w:noProof/>
          <w:szCs w:val="24"/>
        </w:rPr>
        <w:t>A doubling</w:t>
      </w:r>
      <w:r w:rsidR="00480E78" w:rsidRPr="00854965">
        <w:rPr>
          <w:rFonts w:cs="Times New Roman"/>
          <w:noProof/>
          <w:szCs w:val="24"/>
        </w:rPr>
        <w:t xml:space="preserve"> </w:t>
      </w:r>
      <w:r w:rsidR="00690ABF">
        <w:rPr>
          <w:rFonts w:cs="Times New Roman"/>
          <w:noProof/>
          <w:szCs w:val="24"/>
        </w:rPr>
        <w:t xml:space="preserve">in the number of researchers travelling outside their home institution </w:t>
      </w:r>
      <w:r w:rsidR="00480E78" w:rsidRPr="00854965">
        <w:rPr>
          <w:rFonts w:cs="Times New Roman"/>
          <w:noProof/>
          <w:szCs w:val="24"/>
        </w:rPr>
        <w:t>(from 872 in 2014 to 1734 in 2020)</w:t>
      </w:r>
      <w:r w:rsidR="00480E78" w:rsidRPr="007F51B2">
        <w:rPr>
          <w:rFonts w:cs="Times New Roman"/>
          <w:noProof/>
          <w:szCs w:val="24"/>
        </w:rPr>
        <w:t xml:space="preserve"> </w:t>
      </w:r>
      <w:r w:rsidR="00690ABF">
        <w:rPr>
          <w:rFonts w:cs="Times New Roman"/>
          <w:noProof/>
          <w:szCs w:val="24"/>
        </w:rPr>
        <w:t>to work on the</w:t>
      </w:r>
      <w:r w:rsidR="00690ABF" w:rsidRPr="00D858FA">
        <w:rPr>
          <w:rFonts w:cs="Times New Roman"/>
          <w:noProof/>
          <w:szCs w:val="24"/>
        </w:rPr>
        <w:t xml:space="preserve"> </w:t>
      </w:r>
      <w:r w:rsidR="00480E78" w:rsidRPr="00D858FA">
        <w:rPr>
          <w:rFonts w:cs="Times New Roman"/>
          <w:noProof/>
          <w:szCs w:val="24"/>
        </w:rPr>
        <w:t>joint exploitation of fusion experimental facilit</w:t>
      </w:r>
      <w:r w:rsidR="00750F66">
        <w:rPr>
          <w:rFonts w:cs="Times New Roman"/>
          <w:noProof/>
          <w:szCs w:val="24"/>
        </w:rPr>
        <w:t>i</w:t>
      </w:r>
      <w:r w:rsidR="00480E78" w:rsidRPr="00D858FA">
        <w:rPr>
          <w:rFonts w:cs="Times New Roman"/>
          <w:noProof/>
          <w:szCs w:val="24"/>
        </w:rPr>
        <w:t>es</w:t>
      </w:r>
    </w:p>
    <w:p w14:paraId="433169DC" w14:textId="77777777" w:rsidR="00480E78" w:rsidRPr="0026690E" w:rsidRDefault="00480E78" w:rsidP="00480E78">
      <w:pPr>
        <w:pStyle w:val="ListParagraph"/>
        <w:numPr>
          <w:ilvl w:val="0"/>
          <w:numId w:val="55"/>
        </w:numPr>
        <w:pBdr>
          <w:top w:val="single" w:sz="4" w:space="1" w:color="auto"/>
          <w:left w:val="single" w:sz="4" w:space="4" w:color="auto"/>
          <w:bottom w:val="single" w:sz="4" w:space="1" w:color="auto"/>
          <w:right w:val="single" w:sz="4" w:space="4" w:color="auto"/>
        </w:pBdr>
        <w:spacing w:after="0" w:line="240" w:lineRule="auto"/>
        <w:contextualSpacing/>
        <w:rPr>
          <w:rFonts w:cs="Times New Roman"/>
          <w:noProof/>
          <w:szCs w:val="24"/>
        </w:rPr>
      </w:pPr>
      <w:r w:rsidRPr="00854965">
        <w:rPr>
          <w:rFonts w:cs="Times New Roman"/>
          <w:noProof/>
          <w:color w:val="000000" w:themeColor="text1"/>
          <w:szCs w:val="24"/>
        </w:rPr>
        <w:t>84</w:t>
      </w:r>
      <w:r w:rsidRPr="007F51B2">
        <w:rPr>
          <w:rFonts w:cs="Times New Roman"/>
          <w:noProof/>
          <w:color w:val="000000" w:themeColor="text1"/>
          <w:szCs w:val="24"/>
        </w:rPr>
        <w:t xml:space="preserve"> </w:t>
      </w:r>
      <w:r w:rsidRPr="0026690E">
        <w:rPr>
          <w:rFonts w:cs="Times New Roman"/>
          <w:noProof/>
          <w:color w:val="000000" w:themeColor="text1"/>
          <w:szCs w:val="24"/>
        </w:rPr>
        <w:t>institutions from 23 Member States benefited from open access to JRC facilities</w:t>
      </w:r>
    </w:p>
    <w:p w14:paraId="59B6FAA8" w14:textId="77777777" w:rsidR="00480E78" w:rsidRDefault="00480E78" w:rsidP="00480E78">
      <w:pPr>
        <w:spacing w:after="0" w:line="240" w:lineRule="auto"/>
        <w:jc w:val="both"/>
        <w:rPr>
          <w:rFonts w:ascii="Times New Roman" w:hAnsi="Times New Roman" w:cs="Times New Roman"/>
          <w:noProof/>
          <w:sz w:val="24"/>
          <w:szCs w:val="24"/>
        </w:rPr>
      </w:pPr>
    </w:p>
    <w:p w14:paraId="5BBAE1C9" w14:textId="294B7129" w:rsidR="00480E78" w:rsidRDefault="00690ABF" w:rsidP="00480E78">
      <w:pPr>
        <w:spacing w:after="0" w:line="240" w:lineRule="auto"/>
        <w:ind w:left="720"/>
        <w:jc w:val="both"/>
        <w:rPr>
          <w:rFonts w:ascii="Times New Roman" w:hAnsi="Times New Roman" w:cs="Times New Roman"/>
          <w:noProof/>
          <w:sz w:val="24"/>
          <w:szCs w:val="24"/>
        </w:rPr>
      </w:pPr>
      <w:r w:rsidRPr="00620A82">
        <w:rPr>
          <w:rFonts w:ascii="Times New Roman" w:hAnsi="Times New Roman" w:cs="Times New Roman"/>
          <w:noProof/>
          <w:sz w:val="24"/>
          <w:szCs w:val="24"/>
        </w:rPr>
        <w:t xml:space="preserve">The evaluation </w:t>
      </w:r>
      <w:r w:rsidR="00480E78" w:rsidRPr="00620A82">
        <w:rPr>
          <w:rFonts w:ascii="Times New Roman" w:hAnsi="Times New Roman" w:cs="Times New Roman"/>
          <w:noProof/>
          <w:sz w:val="24"/>
          <w:szCs w:val="24"/>
        </w:rPr>
        <w:t xml:space="preserve">showed  </w:t>
      </w:r>
      <w:r w:rsidR="00620A82">
        <w:rPr>
          <w:rFonts w:ascii="Times New Roman" w:hAnsi="Times New Roman" w:cs="Times New Roman"/>
          <w:noProof/>
          <w:sz w:val="24"/>
          <w:szCs w:val="24"/>
        </w:rPr>
        <w:t>important</w:t>
      </w:r>
      <w:r w:rsidR="00480E78" w:rsidRPr="00620A82">
        <w:rPr>
          <w:rFonts w:ascii="Times New Roman" w:hAnsi="Times New Roman" w:cs="Times New Roman"/>
          <w:noProof/>
          <w:sz w:val="24"/>
          <w:szCs w:val="24"/>
        </w:rPr>
        <w:t xml:space="preserve"> </w:t>
      </w:r>
      <w:r w:rsidR="00620A82">
        <w:rPr>
          <w:rFonts w:ascii="Times New Roman" w:hAnsi="Times New Roman" w:cs="Times New Roman"/>
          <w:noProof/>
          <w:sz w:val="24"/>
          <w:szCs w:val="24"/>
        </w:rPr>
        <w:t xml:space="preserve">involvement </w:t>
      </w:r>
      <w:r w:rsidR="00480E78" w:rsidRPr="00620A82">
        <w:rPr>
          <w:rFonts w:ascii="Times New Roman" w:hAnsi="Times New Roman" w:cs="Times New Roman"/>
          <w:noProof/>
          <w:sz w:val="24"/>
          <w:szCs w:val="24"/>
        </w:rPr>
        <w:t>of Member States which joined the EU after 2004</w:t>
      </w:r>
      <w:r w:rsidRPr="00620A82">
        <w:rPr>
          <w:rFonts w:ascii="Times New Roman" w:hAnsi="Times New Roman" w:cs="Times New Roman"/>
          <w:noProof/>
          <w:sz w:val="24"/>
          <w:szCs w:val="24"/>
        </w:rPr>
        <w:t xml:space="preserve"> </w:t>
      </w:r>
      <w:r w:rsidR="00620A82">
        <w:rPr>
          <w:rFonts w:ascii="Times New Roman" w:hAnsi="Times New Roman" w:cs="Times New Roman"/>
          <w:noProof/>
          <w:sz w:val="24"/>
          <w:szCs w:val="24"/>
        </w:rPr>
        <w:t xml:space="preserve">as </w:t>
      </w:r>
      <w:r w:rsidRPr="00620A82">
        <w:rPr>
          <w:rFonts w:ascii="Times New Roman" w:hAnsi="Times New Roman" w:cs="Times New Roman"/>
          <w:noProof/>
          <w:sz w:val="24"/>
          <w:szCs w:val="24"/>
        </w:rPr>
        <w:t>89%</w:t>
      </w:r>
      <w:r w:rsidR="00620A82">
        <w:rPr>
          <w:rFonts w:ascii="Times New Roman" w:hAnsi="Times New Roman" w:cs="Times New Roman"/>
          <w:noProof/>
          <w:sz w:val="24"/>
          <w:szCs w:val="24"/>
        </w:rPr>
        <w:t xml:space="preserve"> of projects involved at least one entity from these Member States</w:t>
      </w:r>
      <w:r w:rsidR="00480E78" w:rsidRPr="00620A82">
        <w:rPr>
          <w:rFonts w:ascii="Times New Roman" w:hAnsi="Times New Roman" w:cs="Times New Roman"/>
          <w:noProof/>
          <w:sz w:val="24"/>
          <w:szCs w:val="24"/>
        </w:rPr>
        <w:t xml:space="preserve">. Member States not using nuclear power participated mainly in projects </w:t>
      </w:r>
      <w:r w:rsidR="00E86DB0" w:rsidRPr="00620A82">
        <w:rPr>
          <w:rFonts w:ascii="Times New Roman" w:hAnsi="Times New Roman" w:cs="Times New Roman"/>
          <w:noProof/>
          <w:sz w:val="24"/>
          <w:szCs w:val="24"/>
        </w:rPr>
        <w:t xml:space="preserve">on </w:t>
      </w:r>
      <w:r w:rsidR="00480E78" w:rsidRPr="00620A82">
        <w:rPr>
          <w:rFonts w:ascii="Times New Roman" w:hAnsi="Times New Roman" w:cs="Times New Roman"/>
          <w:noProof/>
          <w:sz w:val="24"/>
          <w:szCs w:val="24"/>
        </w:rPr>
        <w:t>radiation protection, medical applications and</w:t>
      </w:r>
      <w:r w:rsidR="00480E78" w:rsidRPr="003838BD">
        <w:rPr>
          <w:rFonts w:ascii="Times New Roman" w:hAnsi="Times New Roman" w:cs="Times New Roman"/>
          <w:noProof/>
          <w:sz w:val="24"/>
          <w:szCs w:val="24"/>
        </w:rPr>
        <w:t xml:space="preserve"> </w:t>
      </w:r>
      <w:r w:rsidR="00E96EC5">
        <w:rPr>
          <w:rFonts w:ascii="Times New Roman" w:hAnsi="Times New Roman" w:cs="Times New Roman"/>
          <w:noProof/>
          <w:sz w:val="24"/>
          <w:szCs w:val="24"/>
        </w:rPr>
        <w:t>radioactive</w:t>
      </w:r>
      <w:r w:rsidR="00E86DB0">
        <w:rPr>
          <w:rFonts w:ascii="Times New Roman" w:hAnsi="Times New Roman" w:cs="Times New Roman"/>
          <w:noProof/>
          <w:sz w:val="24"/>
          <w:szCs w:val="24"/>
        </w:rPr>
        <w:t>-</w:t>
      </w:r>
      <w:r w:rsidR="00480E78" w:rsidRPr="003838BD">
        <w:rPr>
          <w:rFonts w:ascii="Times New Roman" w:hAnsi="Times New Roman" w:cs="Times New Roman"/>
          <w:noProof/>
          <w:sz w:val="24"/>
          <w:szCs w:val="24"/>
        </w:rPr>
        <w:t>waste</w:t>
      </w:r>
      <w:r w:rsidR="00E86DB0">
        <w:rPr>
          <w:rFonts w:ascii="Times New Roman" w:hAnsi="Times New Roman" w:cs="Times New Roman"/>
          <w:noProof/>
          <w:sz w:val="24"/>
          <w:szCs w:val="24"/>
        </w:rPr>
        <w:t xml:space="preserve"> </w:t>
      </w:r>
      <w:r w:rsidR="00480E78" w:rsidRPr="003838BD">
        <w:rPr>
          <w:rFonts w:ascii="Times New Roman" w:hAnsi="Times New Roman" w:cs="Times New Roman"/>
          <w:noProof/>
          <w:sz w:val="24"/>
          <w:szCs w:val="24"/>
        </w:rPr>
        <w:t>management. Some</w:t>
      </w:r>
      <w:r>
        <w:rPr>
          <w:rFonts w:ascii="Times New Roman" w:hAnsi="Times New Roman" w:cs="Times New Roman"/>
          <w:noProof/>
          <w:sz w:val="24"/>
          <w:szCs w:val="24"/>
        </w:rPr>
        <w:t xml:space="preserve"> Member States</w:t>
      </w:r>
      <w:r w:rsidR="00480E78">
        <w:rPr>
          <w:rFonts w:ascii="Times New Roman" w:hAnsi="Times New Roman" w:cs="Times New Roman"/>
          <w:noProof/>
          <w:sz w:val="24"/>
          <w:szCs w:val="24"/>
        </w:rPr>
        <w:t xml:space="preserve">, </w:t>
      </w:r>
      <w:r w:rsidR="00480E78" w:rsidRPr="003C3FE9">
        <w:rPr>
          <w:rFonts w:ascii="Times New Roman" w:eastAsia="Times New Roman" w:hAnsi="Times New Roman" w:cs="Times New Roman"/>
          <w:noProof/>
          <w:sz w:val="24"/>
          <w:szCs w:val="24"/>
        </w:rPr>
        <w:t>like Austria, Denmark, Greece, Ireland and Portugal</w:t>
      </w:r>
      <w:r w:rsidR="00480E78">
        <w:rPr>
          <w:rFonts w:ascii="Times New Roman" w:eastAsia="Times New Roman" w:hAnsi="Times New Roman" w:cs="Times New Roman"/>
          <w:noProof/>
          <w:sz w:val="24"/>
          <w:szCs w:val="24"/>
        </w:rPr>
        <w:t>,</w:t>
      </w:r>
      <w:r w:rsidR="00480E78" w:rsidRPr="003838BD">
        <w:rPr>
          <w:rFonts w:ascii="Times New Roman" w:hAnsi="Times New Roman" w:cs="Times New Roman"/>
          <w:noProof/>
          <w:sz w:val="24"/>
          <w:szCs w:val="24"/>
        </w:rPr>
        <w:t xml:space="preserve"> also participated in research </w:t>
      </w:r>
      <w:r>
        <w:rPr>
          <w:rFonts w:ascii="Times New Roman" w:hAnsi="Times New Roman" w:cs="Times New Roman"/>
          <w:noProof/>
          <w:sz w:val="24"/>
          <w:szCs w:val="24"/>
        </w:rPr>
        <w:t>on</w:t>
      </w:r>
      <w:r w:rsidRPr="003838BD">
        <w:rPr>
          <w:rFonts w:ascii="Times New Roman" w:hAnsi="Times New Roman" w:cs="Times New Roman"/>
          <w:noProof/>
          <w:sz w:val="24"/>
          <w:szCs w:val="24"/>
        </w:rPr>
        <w:t xml:space="preserve"> </w:t>
      </w:r>
      <w:r w:rsidR="00480E78" w:rsidRPr="003838BD">
        <w:rPr>
          <w:rFonts w:ascii="Times New Roman" w:hAnsi="Times New Roman" w:cs="Times New Roman"/>
          <w:noProof/>
          <w:sz w:val="24"/>
          <w:szCs w:val="24"/>
        </w:rPr>
        <w:t xml:space="preserve">nuclear safety and nuclear data to maintain </w:t>
      </w:r>
      <w:r>
        <w:rPr>
          <w:rFonts w:ascii="Times New Roman" w:hAnsi="Times New Roman" w:cs="Times New Roman"/>
          <w:noProof/>
          <w:sz w:val="24"/>
          <w:szCs w:val="24"/>
        </w:rPr>
        <w:t>skills in these areas</w:t>
      </w:r>
      <w:r w:rsidR="00480E78" w:rsidRPr="003838BD">
        <w:rPr>
          <w:rFonts w:ascii="Times New Roman" w:hAnsi="Times New Roman" w:cs="Times New Roman"/>
          <w:noProof/>
          <w:sz w:val="24"/>
          <w:szCs w:val="24"/>
        </w:rPr>
        <w:t>.</w:t>
      </w:r>
      <w:r w:rsidR="00480E78">
        <w:rPr>
          <w:rFonts w:ascii="Times New Roman" w:hAnsi="Times New Roman" w:cs="Times New Roman"/>
          <w:noProof/>
          <w:sz w:val="24"/>
          <w:szCs w:val="24"/>
        </w:rPr>
        <w:t xml:space="preserve"> </w:t>
      </w:r>
    </w:p>
    <w:p w14:paraId="043CFD87" w14:textId="77777777" w:rsidR="001B2D86" w:rsidRDefault="001B2D86" w:rsidP="00480E78">
      <w:pPr>
        <w:spacing w:after="0" w:line="240" w:lineRule="auto"/>
        <w:ind w:left="720"/>
        <w:jc w:val="both"/>
        <w:rPr>
          <w:rFonts w:cs="Times New Roman"/>
          <w:noProof/>
          <w:szCs w:val="24"/>
          <w:highlight w:val="yellow"/>
        </w:rPr>
      </w:pPr>
    </w:p>
    <w:p w14:paraId="34A429C0" w14:textId="35EB6F6B" w:rsidR="001B2D86" w:rsidRPr="00636ADF" w:rsidRDefault="001B2D86" w:rsidP="00534E75">
      <w:pPr>
        <w:pStyle w:val="ListParagraph"/>
        <w:numPr>
          <w:ilvl w:val="0"/>
          <w:numId w:val="56"/>
        </w:numPr>
        <w:spacing w:after="0" w:line="240" w:lineRule="auto"/>
        <w:contextualSpacing/>
        <w:rPr>
          <w:rFonts w:cs="Times New Roman"/>
          <w:noProof/>
          <w:szCs w:val="24"/>
          <w:lang w:val="en-IE"/>
        </w:rPr>
      </w:pPr>
      <w:r w:rsidRPr="00636ADF">
        <w:rPr>
          <w:rFonts w:cs="Times New Roman"/>
          <w:noProof/>
          <w:szCs w:val="24"/>
        </w:rPr>
        <w:t xml:space="preserve">The </w:t>
      </w:r>
      <w:r w:rsidR="007F51B2">
        <w:rPr>
          <w:rFonts w:cs="Times New Roman"/>
          <w:noProof/>
          <w:szCs w:val="24"/>
        </w:rPr>
        <w:t>P</w:t>
      </w:r>
      <w:r w:rsidRPr="00636ADF">
        <w:rPr>
          <w:rFonts w:cs="Times New Roman"/>
          <w:noProof/>
          <w:szCs w:val="24"/>
        </w:rPr>
        <w:t xml:space="preserve">rogramme played </w:t>
      </w:r>
      <w:r w:rsidR="00690ABF">
        <w:rPr>
          <w:rFonts w:cs="Times New Roman"/>
          <w:noProof/>
          <w:szCs w:val="24"/>
        </w:rPr>
        <w:t>a</w:t>
      </w:r>
      <w:r w:rsidR="005831FB">
        <w:rPr>
          <w:rFonts w:cs="Times New Roman"/>
          <w:noProof/>
          <w:szCs w:val="24"/>
        </w:rPr>
        <w:t xml:space="preserve"> significant</w:t>
      </w:r>
      <w:r w:rsidRPr="00636ADF">
        <w:rPr>
          <w:rFonts w:cs="Times New Roman"/>
          <w:noProof/>
          <w:szCs w:val="24"/>
        </w:rPr>
        <w:t xml:space="preserve"> role in maintaining critical skills and capacities in the nuclear sector. Euratom projects involved around 13</w:t>
      </w:r>
      <w:r w:rsidR="007F51B2">
        <w:rPr>
          <w:rFonts w:cs="Times New Roman"/>
          <w:noProof/>
          <w:szCs w:val="24"/>
        </w:rPr>
        <w:t> </w:t>
      </w:r>
      <w:r w:rsidR="00BA682E">
        <w:rPr>
          <w:rFonts w:cs="Times New Roman"/>
          <w:noProof/>
          <w:szCs w:val="24"/>
        </w:rPr>
        <w:t>815</w:t>
      </w:r>
      <w:r w:rsidR="00BA682E" w:rsidRPr="00636ADF">
        <w:rPr>
          <w:rFonts w:cs="Times New Roman"/>
          <w:noProof/>
          <w:szCs w:val="24"/>
        </w:rPr>
        <w:t xml:space="preserve"> </w:t>
      </w:r>
      <w:r w:rsidRPr="00636ADF">
        <w:rPr>
          <w:rFonts w:cs="Times New Roman"/>
          <w:noProof/>
          <w:szCs w:val="24"/>
        </w:rPr>
        <w:t>researchers</w:t>
      </w:r>
      <w:r w:rsidR="00BA682E">
        <w:rPr>
          <w:rFonts w:cs="Times New Roman"/>
          <w:noProof/>
          <w:szCs w:val="24"/>
        </w:rPr>
        <w:t>, engineers and support staff</w:t>
      </w:r>
      <w:r w:rsidRPr="00636ADF">
        <w:rPr>
          <w:rFonts w:cs="Times New Roman"/>
          <w:noProof/>
          <w:szCs w:val="24"/>
        </w:rPr>
        <w:t xml:space="preserve"> (</w:t>
      </w:r>
      <w:r w:rsidR="00BA682E">
        <w:rPr>
          <w:rFonts w:cs="Times New Roman"/>
          <w:noProof/>
          <w:szCs w:val="24"/>
        </w:rPr>
        <w:t>8 000</w:t>
      </w:r>
      <w:r w:rsidR="00BA682E" w:rsidRPr="00636ADF">
        <w:rPr>
          <w:rFonts w:cs="Times New Roman"/>
          <w:noProof/>
          <w:szCs w:val="24"/>
        </w:rPr>
        <w:t xml:space="preserve"> </w:t>
      </w:r>
      <w:r w:rsidRPr="00636ADF">
        <w:rPr>
          <w:rFonts w:cs="Times New Roman"/>
          <w:noProof/>
          <w:szCs w:val="24"/>
        </w:rPr>
        <w:t>in fission and 5</w:t>
      </w:r>
      <w:r w:rsidR="007F51B2">
        <w:rPr>
          <w:rFonts w:cs="Times New Roman"/>
          <w:noProof/>
          <w:szCs w:val="24"/>
        </w:rPr>
        <w:t> </w:t>
      </w:r>
      <w:r w:rsidRPr="00636ADF">
        <w:rPr>
          <w:rFonts w:cs="Times New Roman"/>
          <w:noProof/>
          <w:szCs w:val="24"/>
        </w:rPr>
        <w:t>8</w:t>
      </w:r>
      <w:r w:rsidR="00BA682E">
        <w:rPr>
          <w:rFonts w:cs="Times New Roman"/>
          <w:noProof/>
          <w:szCs w:val="24"/>
        </w:rPr>
        <w:t>15</w:t>
      </w:r>
      <w:r w:rsidRPr="00636ADF">
        <w:rPr>
          <w:rFonts w:cs="Times New Roman"/>
          <w:noProof/>
          <w:szCs w:val="24"/>
        </w:rPr>
        <w:t xml:space="preserve"> in fusion), providing </w:t>
      </w:r>
      <w:r w:rsidR="00BC2CAA">
        <w:rPr>
          <w:rFonts w:cs="Times New Roman"/>
          <w:noProof/>
          <w:szCs w:val="24"/>
        </w:rPr>
        <w:t>a</w:t>
      </w:r>
      <w:r w:rsidR="00BC2CAA" w:rsidRPr="00636ADF">
        <w:rPr>
          <w:rFonts w:cs="Times New Roman"/>
          <w:noProof/>
          <w:szCs w:val="24"/>
        </w:rPr>
        <w:t xml:space="preserve"> </w:t>
      </w:r>
      <w:r w:rsidRPr="00636ADF">
        <w:rPr>
          <w:rFonts w:cs="Times New Roman"/>
          <w:noProof/>
          <w:szCs w:val="24"/>
        </w:rPr>
        <w:t>supporting environment for</w:t>
      </w:r>
      <w:r w:rsidR="00BC2CAA">
        <w:rPr>
          <w:rFonts w:cs="Times New Roman"/>
          <w:noProof/>
          <w:szCs w:val="24"/>
        </w:rPr>
        <w:t xml:space="preserve"> the</w:t>
      </w:r>
      <w:r w:rsidRPr="00636ADF">
        <w:rPr>
          <w:rFonts w:cs="Times New Roman"/>
          <w:noProof/>
          <w:szCs w:val="24"/>
        </w:rPr>
        <w:t xml:space="preserve"> exchange of ideas and for training </w:t>
      </w:r>
      <w:r w:rsidR="00BC2CAA">
        <w:rPr>
          <w:rFonts w:cs="Times New Roman"/>
          <w:noProof/>
          <w:szCs w:val="24"/>
        </w:rPr>
        <w:t>a</w:t>
      </w:r>
      <w:r w:rsidR="00BC2CAA" w:rsidRPr="00636ADF">
        <w:rPr>
          <w:rFonts w:cs="Times New Roman"/>
          <w:noProof/>
          <w:szCs w:val="24"/>
        </w:rPr>
        <w:t xml:space="preserve"> </w:t>
      </w:r>
      <w:r w:rsidRPr="00636ADF">
        <w:rPr>
          <w:rFonts w:cs="Times New Roman"/>
          <w:noProof/>
          <w:szCs w:val="24"/>
        </w:rPr>
        <w:t>new generation of researchers.</w:t>
      </w:r>
    </w:p>
    <w:p w14:paraId="18E28784" w14:textId="77777777" w:rsidR="001B2D86" w:rsidRPr="00636ADF" w:rsidRDefault="001B2D86" w:rsidP="00534E75">
      <w:pPr>
        <w:pStyle w:val="ListParagraph"/>
        <w:spacing w:after="0" w:line="240" w:lineRule="auto"/>
        <w:rPr>
          <w:rFonts w:cs="Times New Roman"/>
          <w:noProof/>
          <w:szCs w:val="24"/>
          <w:lang w:val="en-IE"/>
        </w:rPr>
      </w:pPr>
    </w:p>
    <w:p w14:paraId="4575817C" w14:textId="288D3471" w:rsidR="001B2D86" w:rsidRPr="007461A8" w:rsidRDefault="001B2D86" w:rsidP="00534E75">
      <w:pPr>
        <w:pStyle w:val="ListParagraph"/>
        <w:numPr>
          <w:ilvl w:val="0"/>
          <w:numId w:val="57"/>
        </w:numPr>
        <w:pBdr>
          <w:top w:val="single" w:sz="4" w:space="1" w:color="auto"/>
          <w:left w:val="single" w:sz="4" w:space="4" w:color="auto"/>
          <w:bottom w:val="single" w:sz="4" w:space="1" w:color="auto"/>
          <w:right w:val="single" w:sz="4" w:space="4" w:color="auto"/>
        </w:pBdr>
        <w:spacing w:after="0" w:line="240" w:lineRule="auto"/>
        <w:contextualSpacing/>
        <w:rPr>
          <w:rFonts w:cs="Times New Roman"/>
          <w:noProof/>
          <w:szCs w:val="24"/>
        </w:rPr>
      </w:pPr>
      <w:r w:rsidRPr="007461A8">
        <w:rPr>
          <w:rFonts w:cs="Times New Roman"/>
          <w:noProof/>
          <w:szCs w:val="24"/>
        </w:rPr>
        <w:t>Increas</w:t>
      </w:r>
      <w:r>
        <w:rPr>
          <w:rFonts w:cs="Times New Roman"/>
          <w:noProof/>
          <w:szCs w:val="24"/>
        </w:rPr>
        <w:t>ed</w:t>
      </w:r>
      <w:r w:rsidRPr="007461A8">
        <w:rPr>
          <w:rFonts w:cs="Times New Roman"/>
          <w:noProof/>
          <w:szCs w:val="24"/>
        </w:rPr>
        <w:t xml:space="preserve"> support for PhDs in fusion </w:t>
      </w:r>
      <w:r w:rsidR="00BC2CAA">
        <w:rPr>
          <w:rFonts w:cs="Times New Roman"/>
          <w:noProof/>
          <w:szCs w:val="24"/>
        </w:rPr>
        <w:t>–</w:t>
      </w:r>
      <w:r w:rsidRPr="007F51B2">
        <w:rPr>
          <w:rFonts w:cs="Times New Roman"/>
          <w:noProof/>
          <w:szCs w:val="24"/>
        </w:rPr>
        <w:t xml:space="preserve"> </w:t>
      </w:r>
      <w:r w:rsidRPr="00854965">
        <w:rPr>
          <w:rFonts w:cs="Times New Roman"/>
          <w:noProof/>
          <w:szCs w:val="24"/>
        </w:rPr>
        <w:t>from 675 per year in 2014 to 734 in 2020</w:t>
      </w:r>
    </w:p>
    <w:p w14:paraId="47F5442B" w14:textId="4C219B6E" w:rsidR="001B2D86" w:rsidRPr="007461A8" w:rsidRDefault="001B2D86" w:rsidP="00534E75">
      <w:pPr>
        <w:pStyle w:val="ListParagraph"/>
        <w:numPr>
          <w:ilvl w:val="0"/>
          <w:numId w:val="57"/>
        </w:numPr>
        <w:pBdr>
          <w:top w:val="single" w:sz="4" w:space="1" w:color="auto"/>
          <w:left w:val="single" w:sz="4" w:space="4" w:color="auto"/>
          <w:bottom w:val="single" w:sz="4" w:space="1" w:color="auto"/>
          <w:right w:val="single" w:sz="4" w:space="4" w:color="auto"/>
        </w:pBdr>
        <w:spacing w:after="0" w:line="240" w:lineRule="auto"/>
        <w:contextualSpacing/>
        <w:rPr>
          <w:rFonts w:cs="Times New Roman"/>
          <w:noProof/>
          <w:szCs w:val="24"/>
        </w:rPr>
      </w:pPr>
      <w:r w:rsidRPr="007461A8">
        <w:rPr>
          <w:rFonts w:cs="Times New Roman"/>
          <w:noProof/>
          <w:color w:val="000000" w:themeColor="text1"/>
          <w:szCs w:val="24"/>
        </w:rPr>
        <w:t xml:space="preserve">About </w:t>
      </w:r>
      <w:r w:rsidRPr="00854965">
        <w:rPr>
          <w:rFonts w:cs="Times New Roman"/>
          <w:noProof/>
          <w:color w:val="000000" w:themeColor="text1"/>
          <w:szCs w:val="24"/>
        </w:rPr>
        <w:t>800 PhDs</w:t>
      </w:r>
      <w:r w:rsidRPr="007461A8">
        <w:rPr>
          <w:rFonts w:cs="Times New Roman"/>
          <w:noProof/>
          <w:color w:val="000000" w:themeColor="text1"/>
          <w:szCs w:val="24"/>
        </w:rPr>
        <w:t xml:space="preserve"> involved in fission projects </w:t>
      </w:r>
    </w:p>
    <w:p w14:paraId="27450276" w14:textId="4054B6A2" w:rsidR="001B2D86" w:rsidRPr="007461A8" w:rsidRDefault="001B2D86" w:rsidP="00534E75">
      <w:pPr>
        <w:pStyle w:val="ListParagraph"/>
        <w:numPr>
          <w:ilvl w:val="0"/>
          <w:numId w:val="57"/>
        </w:numPr>
        <w:pBdr>
          <w:top w:val="single" w:sz="4" w:space="1" w:color="auto"/>
          <w:left w:val="single" w:sz="4" w:space="4" w:color="auto"/>
          <w:bottom w:val="single" w:sz="4" w:space="1" w:color="auto"/>
          <w:right w:val="single" w:sz="4" w:space="4" w:color="auto"/>
        </w:pBdr>
        <w:spacing w:after="0" w:line="240" w:lineRule="auto"/>
        <w:contextualSpacing/>
        <w:rPr>
          <w:rFonts w:cs="Times New Roman"/>
          <w:noProof/>
          <w:szCs w:val="24"/>
        </w:rPr>
      </w:pPr>
      <w:r>
        <w:rPr>
          <w:rFonts w:cs="Times New Roman"/>
          <w:noProof/>
          <w:color w:val="000000" w:themeColor="text1"/>
          <w:szCs w:val="24"/>
        </w:rPr>
        <w:t>JRC t</w:t>
      </w:r>
      <w:r w:rsidRPr="007461A8">
        <w:rPr>
          <w:rFonts w:cs="Times New Roman"/>
          <w:noProof/>
          <w:color w:val="000000" w:themeColor="text1"/>
          <w:szCs w:val="24"/>
        </w:rPr>
        <w:t xml:space="preserve">raining of </w:t>
      </w:r>
      <w:r w:rsidRPr="00854965">
        <w:rPr>
          <w:rFonts w:cs="Times New Roman"/>
          <w:noProof/>
          <w:color w:val="000000" w:themeColor="text1"/>
          <w:szCs w:val="24"/>
          <w:lang w:val="mt-MT"/>
        </w:rPr>
        <w:t>1</w:t>
      </w:r>
      <w:r w:rsidR="007F51B2">
        <w:rPr>
          <w:rFonts w:cs="Times New Roman"/>
          <w:noProof/>
          <w:color w:val="000000" w:themeColor="text1"/>
          <w:szCs w:val="24"/>
          <w:lang w:val="mt-MT"/>
        </w:rPr>
        <w:t xml:space="preserve"> </w:t>
      </w:r>
      <w:r w:rsidRPr="00854965">
        <w:rPr>
          <w:rFonts w:cs="Times New Roman"/>
          <w:noProof/>
          <w:color w:val="000000" w:themeColor="text1"/>
          <w:szCs w:val="24"/>
          <w:lang w:val="mt-MT"/>
        </w:rPr>
        <w:t>600 law</w:t>
      </w:r>
      <w:r w:rsidR="00BC2CAA">
        <w:rPr>
          <w:rFonts w:cs="Times New Roman"/>
          <w:noProof/>
          <w:color w:val="000000" w:themeColor="text1"/>
          <w:szCs w:val="24"/>
          <w:lang w:val="mt-MT"/>
        </w:rPr>
        <w:t>-</w:t>
      </w:r>
      <w:r w:rsidRPr="00854965">
        <w:rPr>
          <w:rFonts w:cs="Times New Roman"/>
          <w:noProof/>
          <w:color w:val="000000" w:themeColor="text1"/>
          <w:szCs w:val="24"/>
          <w:lang w:val="mt-MT"/>
        </w:rPr>
        <w:t>enforcement officers</w:t>
      </w:r>
      <w:r w:rsidRPr="007461A8">
        <w:rPr>
          <w:rFonts w:cs="Times New Roman"/>
          <w:noProof/>
          <w:color w:val="000000" w:themeColor="text1"/>
          <w:szCs w:val="24"/>
          <w:lang w:val="mt-MT"/>
        </w:rPr>
        <w:t xml:space="preserve"> in</w:t>
      </w:r>
      <w:r w:rsidRPr="007461A8">
        <w:rPr>
          <w:rFonts w:cs="Times New Roman"/>
          <w:noProof/>
          <w:color w:val="000000" w:themeColor="text1"/>
          <w:szCs w:val="24"/>
        </w:rPr>
        <w:t xml:space="preserve"> nuclear detection and forensics for nuclear security</w:t>
      </w:r>
    </w:p>
    <w:p w14:paraId="1D7C1E5E" w14:textId="77777777" w:rsidR="001B2D86" w:rsidRPr="00143FDA" w:rsidRDefault="001B2D86" w:rsidP="00534E75">
      <w:pPr>
        <w:spacing w:after="0" w:line="240" w:lineRule="auto"/>
        <w:jc w:val="both"/>
        <w:rPr>
          <w:rFonts w:ascii="Times New Roman" w:hAnsi="Times New Roman" w:cs="Times New Roman"/>
          <w:noProof/>
          <w:sz w:val="24"/>
          <w:szCs w:val="24"/>
        </w:rPr>
      </w:pPr>
    </w:p>
    <w:p w14:paraId="27AAEBA4" w14:textId="120D9B32" w:rsidR="00710E39" w:rsidRDefault="007F51B2" w:rsidP="00854965">
      <w:pPr>
        <w:spacing w:after="120" w:line="240" w:lineRule="auto"/>
        <w:ind w:left="720"/>
        <w:jc w:val="both"/>
        <w:rPr>
          <w:rFonts w:cs="Times New Roman"/>
          <w:noProof/>
          <w:szCs w:val="24"/>
        </w:rPr>
      </w:pPr>
      <w:r>
        <w:rPr>
          <w:rFonts w:ascii="Times New Roman" w:hAnsi="Times New Roman" w:cs="Times New Roman"/>
          <w:noProof/>
          <w:sz w:val="24"/>
          <w:szCs w:val="24"/>
        </w:rPr>
        <w:t>The</w:t>
      </w:r>
      <w:r w:rsidR="001B2D86" w:rsidRPr="00080BF4">
        <w:rPr>
          <w:rFonts w:ascii="Times New Roman" w:hAnsi="Times New Roman" w:cs="Times New Roman"/>
          <w:noProof/>
          <w:sz w:val="24"/>
          <w:szCs w:val="24"/>
        </w:rPr>
        <w:t xml:space="preserve"> </w:t>
      </w:r>
      <w:r w:rsidR="001B2D86">
        <w:rPr>
          <w:rFonts w:ascii="Times New Roman" w:hAnsi="Times New Roman" w:cs="Times New Roman"/>
          <w:noProof/>
          <w:sz w:val="24"/>
          <w:szCs w:val="24"/>
        </w:rPr>
        <w:t>Programme</w:t>
      </w:r>
      <w:r w:rsidR="00750F66">
        <w:rPr>
          <w:rFonts w:ascii="Times New Roman" w:hAnsi="Times New Roman" w:cs="Times New Roman"/>
          <w:noProof/>
          <w:sz w:val="24"/>
          <w:szCs w:val="24"/>
        </w:rPr>
        <w:t>’s</w:t>
      </w:r>
      <w:r w:rsidR="001B2D86">
        <w:rPr>
          <w:rFonts w:ascii="Times New Roman" w:hAnsi="Times New Roman" w:cs="Times New Roman"/>
          <w:noProof/>
          <w:sz w:val="24"/>
          <w:szCs w:val="24"/>
        </w:rPr>
        <w:t xml:space="preserve"> </w:t>
      </w:r>
      <w:r w:rsidR="001B2D86" w:rsidRPr="000238C1">
        <w:rPr>
          <w:rFonts w:ascii="Times New Roman" w:hAnsi="Times New Roman" w:cs="Times New Roman"/>
          <w:noProof/>
          <w:sz w:val="24"/>
          <w:szCs w:val="24"/>
        </w:rPr>
        <w:t>results wil</w:t>
      </w:r>
      <w:r w:rsidR="001B2D86">
        <w:rPr>
          <w:rFonts w:ascii="Times New Roman" w:hAnsi="Times New Roman" w:cs="Times New Roman"/>
          <w:noProof/>
          <w:sz w:val="24"/>
          <w:szCs w:val="24"/>
        </w:rPr>
        <w:t>l</w:t>
      </w:r>
      <w:r w:rsidR="001B2D86" w:rsidRPr="00080BF4">
        <w:rPr>
          <w:rFonts w:ascii="Times New Roman" w:hAnsi="Times New Roman" w:cs="Times New Roman"/>
          <w:noProof/>
          <w:sz w:val="24"/>
          <w:szCs w:val="24"/>
        </w:rPr>
        <w:t xml:space="preserve"> be assessed against a profoundly changed </w:t>
      </w:r>
      <w:r w:rsidR="001B2D86">
        <w:rPr>
          <w:rFonts w:ascii="Times New Roman" w:hAnsi="Times New Roman" w:cs="Times New Roman"/>
          <w:noProof/>
          <w:sz w:val="24"/>
          <w:szCs w:val="24"/>
        </w:rPr>
        <w:t xml:space="preserve">policy </w:t>
      </w:r>
      <w:r w:rsidR="001B2D86" w:rsidRPr="00080BF4">
        <w:rPr>
          <w:rFonts w:ascii="Times New Roman" w:hAnsi="Times New Roman" w:cs="Times New Roman"/>
          <w:noProof/>
          <w:sz w:val="24"/>
          <w:szCs w:val="24"/>
        </w:rPr>
        <w:t>context today</w:t>
      </w:r>
      <w:r w:rsidR="00BC2CAA">
        <w:rPr>
          <w:rFonts w:ascii="Times New Roman" w:hAnsi="Times New Roman" w:cs="Times New Roman"/>
          <w:noProof/>
          <w:sz w:val="24"/>
          <w:szCs w:val="24"/>
        </w:rPr>
        <w:t>. This changed policy context is marked by: (i)</w:t>
      </w:r>
      <w:r w:rsidR="001B2D86" w:rsidRPr="00080BF4">
        <w:rPr>
          <w:rFonts w:ascii="Times New Roman" w:hAnsi="Times New Roman" w:cs="Times New Roman"/>
          <w:noProof/>
          <w:sz w:val="24"/>
          <w:szCs w:val="24"/>
        </w:rPr>
        <w:t xml:space="preserve"> the new geopolitical and economic </w:t>
      </w:r>
      <w:r w:rsidR="001B2D86">
        <w:rPr>
          <w:rFonts w:ascii="Times New Roman" w:hAnsi="Times New Roman" w:cs="Times New Roman"/>
          <w:noProof/>
          <w:sz w:val="24"/>
          <w:szCs w:val="24"/>
        </w:rPr>
        <w:t xml:space="preserve">reality </w:t>
      </w:r>
      <w:r w:rsidR="001B2D86" w:rsidRPr="00080BF4">
        <w:rPr>
          <w:rFonts w:ascii="Times New Roman" w:hAnsi="Times New Roman" w:cs="Times New Roman"/>
          <w:noProof/>
          <w:sz w:val="24"/>
          <w:szCs w:val="24"/>
        </w:rPr>
        <w:t>(EU’s decarboni</w:t>
      </w:r>
      <w:r>
        <w:rPr>
          <w:rFonts w:ascii="Times New Roman" w:hAnsi="Times New Roman" w:cs="Times New Roman"/>
          <w:noProof/>
          <w:sz w:val="24"/>
          <w:szCs w:val="24"/>
        </w:rPr>
        <w:t>s</w:t>
      </w:r>
      <w:r w:rsidR="001B2D86" w:rsidRPr="00080BF4">
        <w:rPr>
          <w:rFonts w:ascii="Times New Roman" w:hAnsi="Times New Roman" w:cs="Times New Roman"/>
          <w:noProof/>
          <w:sz w:val="24"/>
          <w:szCs w:val="24"/>
        </w:rPr>
        <w:t xml:space="preserve">ation targets, </w:t>
      </w:r>
      <w:r w:rsidR="00D5674F">
        <w:rPr>
          <w:rFonts w:ascii="Times New Roman" w:hAnsi="Times New Roman" w:cs="Times New Roman"/>
          <w:noProof/>
          <w:sz w:val="24"/>
          <w:szCs w:val="24"/>
        </w:rPr>
        <w:t xml:space="preserve">the drive for </w:t>
      </w:r>
      <w:r w:rsidR="001B2D86" w:rsidRPr="00080BF4">
        <w:rPr>
          <w:rFonts w:ascii="Times New Roman" w:hAnsi="Times New Roman" w:cs="Times New Roman"/>
          <w:noProof/>
          <w:sz w:val="24"/>
          <w:szCs w:val="24"/>
        </w:rPr>
        <w:t>energy security,</w:t>
      </w:r>
      <w:r w:rsidR="00D5674F">
        <w:rPr>
          <w:rFonts w:ascii="Times New Roman" w:hAnsi="Times New Roman" w:cs="Times New Roman"/>
          <w:noProof/>
          <w:sz w:val="24"/>
          <w:szCs w:val="24"/>
        </w:rPr>
        <w:t xml:space="preserve"> and a focus on the</w:t>
      </w:r>
      <w:r w:rsidR="001B2D86" w:rsidRPr="00080BF4">
        <w:rPr>
          <w:rFonts w:ascii="Times New Roman" w:hAnsi="Times New Roman" w:cs="Times New Roman"/>
          <w:noProof/>
          <w:sz w:val="24"/>
          <w:szCs w:val="24"/>
        </w:rPr>
        <w:t xml:space="preserve"> safety and security of existing installations</w:t>
      </w:r>
      <w:r w:rsidR="001B2D86">
        <w:rPr>
          <w:rFonts w:ascii="Times New Roman" w:hAnsi="Times New Roman" w:cs="Times New Roman"/>
          <w:noProof/>
          <w:sz w:val="24"/>
          <w:szCs w:val="24"/>
        </w:rPr>
        <w:t>)</w:t>
      </w:r>
      <w:r w:rsidR="00BC2CAA">
        <w:rPr>
          <w:rFonts w:ascii="Times New Roman" w:hAnsi="Times New Roman" w:cs="Times New Roman"/>
          <w:noProof/>
          <w:sz w:val="24"/>
          <w:szCs w:val="24"/>
        </w:rPr>
        <w:t>; and (ii)</w:t>
      </w:r>
      <w:r w:rsidR="001B2D86">
        <w:rPr>
          <w:rFonts w:ascii="Times New Roman" w:hAnsi="Times New Roman" w:cs="Times New Roman"/>
          <w:noProof/>
          <w:sz w:val="24"/>
          <w:szCs w:val="24"/>
        </w:rPr>
        <w:t xml:space="preserve"> increased interest in nuclear energy and research needs (</w:t>
      </w:r>
      <w:r w:rsidR="001B2D86" w:rsidRPr="00080BF4">
        <w:rPr>
          <w:rFonts w:ascii="Times New Roman" w:hAnsi="Times New Roman" w:cs="Times New Roman"/>
          <w:noProof/>
          <w:sz w:val="24"/>
          <w:szCs w:val="24"/>
        </w:rPr>
        <w:t>emerging technologies such as SMRs)</w:t>
      </w:r>
      <w:r w:rsidR="00BC2CAA">
        <w:rPr>
          <w:rFonts w:ascii="Times New Roman" w:hAnsi="Times New Roman" w:cs="Times New Roman"/>
          <w:noProof/>
          <w:sz w:val="24"/>
          <w:szCs w:val="24"/>
        </w:rPr>
        <w:t>. This changed policy context has</w:t>
      </w:r>
      <w:r w:rsidR="001B2D86" w:rsidRPr="00080BF4">
        <w:rPr>
          <w:rFonts w:ascii="Times New Roman" w:hAnsi="Times New Roman" w:cs="Times New Roman"/>
          <w:noProof/>
          <w:sz w:val="24"/>
          <w:szCs w:val="24"/>
        </w:rPr>
        <w:t xml:space="preserve"> boosted interest in the nuclear field</w:t>
      </w:r>
      <w:r w:rsidR="00BC2CAA">
        <w:rPr>
          <w:rFonts w:ascii="Times New Roman" w:hAnsi="Times New Roman" w:cs="Times New Roman"/>
          <w:noProof/>
          <w:sz w:val="24"/>
          <w:szCs w:val="24"/>
        </w:rPr>
        <w:t xml:space="preserve"> and highlighted </w:t>
      </w:r>
      <w:r w:rsidR="001626C3">
        <w:rPr>
          <w:rFonts w:ascii="Times New Roman" w:hAnsi="Times New Roman" w:cs="Times New Roman"/>
          <w:noProof/>
          <w:sz w:val="24"/>
          <w:szCs w:val="24"/>
        </w:rPr>
        <w:t xml:space="preserve">a variety of </w:t>
      </w:r>
      <w:r w:rsidR="00BC2CAA">
        <w:rPr>
          <w:rFonts w:ascii="Times New Roman" w:hAnsi="Times New Roman" w:cs="Times New Roman"/>
          <w:noProof/>
          <w:sz w:val="24"/>
          <w:szCs w:val="24"/>
        </w:rPr>
        <w:t>new needs for research</w:t>
      </w:r>
      <w:r w:rsidR="001B2D86" w:rsidRPr="00080BF4">
        <w:rPr>
          <w:rFonts w:ascii="Times New Roman" w:hAnsi="Times New Roman" w:cs="Times New Roman"/>
          <w:noProof/>
          <w:sz w:val="24"/>
          <w:szCs w:val="24"/>
        </w:rPr>
        <w:t>.</w:t>
      </w:r>
    </w:p>
    <w:p w14:paraId="6BA21B13" w14:textId="327E8124" w:rsidR="009F23CF" w:rsidRDefault="001626C3" w:rsidP="001B2D86">
      <w:pPr>
        <w:pStyle w:val="ListParagraph"/>
        <w:numPr>
          <w:ilvl w:val="0"/>
          <w:numId w:val="56"/>
        </w:numPr>
        <w:spacing w:after="0" w:line="240" w:lineRule="auto"/>
        <w:contextualSpacing/>
        <w:rPr>
          <w:rFonts w:cs="Times New Roman"/>
          <w:noProof/>
          <w:szCs w:val="24"/>
        </w:rPr>
      </w:pPr>
      <w:r>
        <w:rPr>
          <w:rFonts w:cs="Times New Roman"/>
          <w:noProof/>
          <w:szCs w:val="24"/>
        </w:rPr>
        <w:t>There was a</w:t>
      </w:r>
      <w:r w:rsidR="007F51B2">
        <w:rPr>
          <w:rFonts w:cs="Times New Roman"/>
          <w:noProof/>
          <w:szCs w:val="24"/>
        </w:rPr>
        <w:t xml:space="preserve"> </w:t>
      </w:r>
      <w:r w:rsidR="00082DB6">
        <w:rPr>
          <w:rFonts w:cs="Times New Roman"/>
          <w:noProof/>
          <w:szCs w:val="24"/>
        </w:rPr>
        <w:t>substantial</w:t>
      </w:r>
      <w:r w:rsidR="00082DB6" w:rsidRPr="00196087">
        <w:rPr>
          <w:rFonts w:cs="Times New Roman"/>
          <w:noProof/>
          <w:szCs w:val="24"/>
        </w:rPr>
        <w:t xml:space="preserve"> </w:t>
      </w:r>
      <w:r w:rsidR="001B2D86" w:rsidRPr="00196087">
        <w:rPr>
          <w:rFonts w:cs="Times New Roman"/>
          <w:noProof/>
          <w:szCs w:val="24"/>
        </w:rPr>
        <w:t>over-subscription rate for research grants in Euratom calls for proposal</w:t>
      </w:r>
      <w:r>
        <w:rPr>
          <w:rFonts w:cs="Times New Roman"/>
          <w:noProof/>
          <w:szCs w:val="24"/>
        </w:rPr>
        <w:t>s</w:t>
      </w:r>
      <w:r w:rsidR="001B2D86" w:rsidRPr="00196087">
        <w:rPr>
          <w:rFonts w:cs="Times New Roman"/>
          <w:noProof/>
          <w:szCs w:val="24"/>
        </w:rPr>
        <w:t xml:space="preserve"> (2.6 proposals submitted for each project selected)</w:t>
      </w:r>
      <w:r>
        <w:rPr>
          <w:rFonts w:cs="Times New Roman"/>
          <w:noProof/>
          <w:szCs w:val="24"/>
        </w:rPr>
        <w:t>. This</w:t>
      </w:r>
      <w:r w:rsidR="001B2D86" w:rsidRPr="00196087">
        <w:rPr>
          <w:rFonts w:cs="Times New Roman"/>
          <w:noProof/>
          <w:szCs w:val="24"/>
        </w:rPr>
        <w:t xml:space="preserve"> indicate</w:t>
      </w:r>
      <w:r>
        <w:rPr>
          <w:rFonts w:cs="Times New Roman"/>
          <w:noProof/>
          <w:szCs w:val="24"/>
        </w:rPr>
        <w:t>s: (i)</w:t>
      </w:r>
      <w:r w:rsidR="001B2D86" w:rsidRPr="00196087">
        <w:rPr>
          <w:rFonts w:cs="Times New Roman"/>
          <w:noProof/>
          <w:szCs w:val="24"/>
        </w:rPr>
        <w:t xml:space="preserve"> a high </w:t>
      </w:r>
      <w:r>
        <w:rPr>
          <w:rFonts w:cs="Times New Roman"/>
          <w:noProof/>
          <w:szCs w:val="24"/>
        </w:rPr>
        <w:t xml:space="preserve">level of </w:t>
      </w:r>
      <w:r w:rsidR="001B2D86" w:rsidRPr="00196087">
        <w:rPr>
          <w:rFonts w:cs="Times New Roman"/>
          <w:noProof/>
          <w:szCs w:val="24"/>
        </w:rPr>
        <w:t>interest in</w:t>
      </w:r>
      <w:r>
        <w:rPr>
          <w:rFonts w:cs="Times New Roman"/>
          <w:noProof/>
          <w:szCs w:val="24"/>
        </w:rPr>
        <w:t xml:space="preserve"> both</w:t>
      </w:r>
      <w:r w:rsidR="001B2D86" w:rsidRPr="00196087">
        <w:rPr>
          <w:rFonts w:cs="Times New Roman"/>
          <w:noProof/>
          <w:szCs w:val="24"/>
        </w:rPr>
        <w:t xml:space="preserve"> </w:t>
      </w:r>
      <w:r>
        <w:rPr>
          <w:rFonts w:cs="Times New Roman"/>
          <w:noProof/>
          <w:szCs w:val="24"/>
        </w:rPr>
        <w:t xml:space="preserve">the </w:t>
      </w:r>
      <w:r w:rsidR="001B2D86" w:rsidRPr="00196087">
        <w:rPr>
          <w:rFonts w:cs="Times New Roman"/>
          <w:noProof/>
          <w:szCs w:val="24"/>
        </w:rPr>
        <w:t xml:space="preserve">research community and </w:t>
      </w:r>
      <w:r>
        <w:rPr>
          <w:rFonts w:cs="Times New Roman"/>
          <w:noProof/>
          <w:szCs w:val="24"/>
        </w:rPr>
        <w:t xml:space="preserve">in </w:t>
      </w:r>
      <w:r w:rsidR="001B2D86" w:rsidRPr="00196087">
        <w:rPr>
          <w:rFonts w:cs="Times New Roman"/>
          <w:noProof/>
          <w:szCs w:val="24"/>
        </w:rPr>
        <w:t>industry</w:t>
      </w:r>
      <w:r>
        <w:rPr>
          <w:rFonts w:cs="Times New Roman"/>
          <w:noProof/>
          <w:szCs w:val="24"/>
        </w:rPr>
        <w:t>;</w:t>
      </w:r>
      <w:r w:rsidR="001B2D86" w:rsidRPr="00196087">
        <w:rPr>
          <w:rFonts w:cs="Times New Roman"/>
          <w:noProof/>
          <w:szCs w:val="24"/>
        </w:rPr>
        <w:t xml:space="preserve"> and </w:t>
      </w:r>
      <w:r>
        <w:rPr>
          <w:rFonts w:cs="Times New Roman"/>
          <w:noProof/>
          <w:szCs w:val="24"/>
        </w:rPr>
        <w:t xml:space="preserve">(ii) a high level of </w:t>
      </w:r>
      <w:r w:rsidR="001B2D86" w:rsidRPr="00196087">
        <w:rPr>
          <w:rFonts w:cs="Times New Roman"/>
          <w:noProof/>
          <w:szCs w:val="24"/>
        </w:rPr>
        <w:t xml:space="preserve">capacity </w:t>
      </w:r>
      <w:r>
        <w:rPr>
          <w:rFonts w:cs="Times New Roman"/>
          <w:noProof/>
          <w:szCs w:val="24"/>
        </w:rPr>
        <w:t>in both</w:t>
      </w:r>
      <w:r w:rsidRPr="00196087">
        <w:rPr>
          <w:rFonts w:cs="Times New Roman"/>
          <w:noProof/>
          <w:szCs w:val="24"/>
        </w:rPr>
        <w:t xml:space="preserve"> </w:t>
      </w:r>
      <w:r>
        <w:rPr>
          <w:rFonts w:cs="Times New Roman"/>
          <w:noProof/>
          <w:szCs w:val="24"/>
        </w:rPr>
        <w:t xml:space="preserve">the </w:t>
      </w:r>
      <w:r w:rsidRPr="00196087">
        <w:rPr>
          <w:rFonts w:cs="Times New Roman"/>
          <w:noProof/>
          <w:szCs w:val="24"/>
        </w:rPr>
        <w:t xml:space="preserve">research community and </w:t>
      </w:r>
      <w:r>
        <w:rPr>
          <w:rFonts w:cs="Times New Roman"/>
          <w:noProof/>
          <w:szCs w:val="24"/>
        </w:rPr>
        <w:t xml:space="preserve">in </w:t>
      </w:r>
      <w:r w:rsidRPr="00196087">
        <w:rPr>
          <w:rFonts w:cs="Times New Roman"/>
          <w:noProof/>
          <w:szCs w:val="24"/>
        </w:rPr>
        <w:t xml:space="preserve">industry </w:t>
      </w:r>
      <w:r w:rsidR="001B2D86" w:rsidRPr="00196087">
        <w:rPr>
          <w:rFonts w:cs="Times New Roman"/>
          <w:noProof/>
          <w:szCs w:val="24"/>
        </w:rPr>
        <w:t>for excellent research projects.</w:t>
      </w:r>
      <w:r w:rsidR="001B2D86">
        <w:rPr>
          <w:rFonts w:cs="Times New Roman"/>
          <w:noProof/>
          <w:szCs w:val="24"/>
        </w:rPr>
        <w:t xml:space="preserve"> </w:t>
      </w:r>
      <w:r w:rsidR="001B2D86" w:rsidRPr="00196087">
        <w:rPr>
          <w:rFonts w:cs="Times New Roman"/>
          <w:noProof/>
          <w:szCs w:val="24"/>
        </w:rPr>
        <w:t xml:space="preserve">The competitive nature of the Euratom funding process further </w:t>
      </w:r>
      <w:r>
        <w:rPr>
          <w:rFonts w:cs="Times New Roman"/>
          <w:noProof/>
          <w:szCs w:val="24"/>
        </w:rPr>
        <w:t>increased</w:t>
      </w:r>
      <w:r w:rsidRPr="00196087">
        <w:rPr>
          <w:rFonts w:cs="Times New Roman"/>
          <w:noProof/>
          <w:szCs w:val="24"/>
        </w:rPr>
        <w:t xml:space="preserve"> </w:t>
      </w:r>
      <w:r>
        <w:rPr>
          <w:rFonts w:cs="Times New Roman"/>
          <w:noProof/>
          <w:szCs w:val="24"/>
        </w:rPr>
        <w:t xml:space="preserve">the </w:t>
      </w:r>
      <w:r w:rsidR="001B2D86" w:rsidRPr="00196087">
        <w:rPr>
          <w:rFonts w:cs="Times New Roman"/>
          <w:noProof/>
          <w:szCs w:val="24"/>
        </w:rPr>
        <w:t>quality</w:t>
      </w:r>
      <w:r>
        <w:rPr>
          <w:rFonts w:cs="Times New Roman"/>
          <w:noProof/>
          <w:szCs w:val="24"/>
        </w:rPr>
        <w:t xml:space="preserve"> of proposals</w:t>
      </w:r>
      <w:r w:rsidR="001B2D86" w:rsidRPr="00196087">
        <w:rPr>
          <w:rFonts w:cs="Times New Roman"/>
          <w:noProof/>
          <w:szCs w:val="24"/>
        </w:rPr>
        <w:t>, ensuring that research was conducted in areas of significant relevance for nuclear safety and radiation protection.</w:t>
      </w:r>
      <w:r w:rsidR="001B2D86">
        <w:rPr>
          <w:rFonts w:cs="Times New Roman"/>
          <w:noProof/>
          <w:szCs w:val="24"/>
        </w:rPr>
        <w:t xml:space="preserve"> Data also show </w:t>
      </w:r>
      <w:r>
        <w:rPr>
          <w:rFonts w:cs="Times New Roman"/>
          <w:noProof/>
          <w:szCs w:val="24"/>
        </w:rPr>
        <w:t xml:space="preserve">that there was </w:t>
      </w:r>
      <w:r w:rsidR="007F51B2">
        <w:rPr>
          <w:rFonts w:cs="Times New Roman"/>
          <w:noProof/>
          <w:szCs w:val="24"/>
        </w:rPr>
        <w:t>a</w:t>
      </w:r>
      <w:r>
        <w:rPr>
          <w:rFonts w:cs="Times New Roman"/>
          <w:noProof/>
          <w:szCs w:val="24"/>
        </w:rPr>
        <w:t xml:space="preserve"> significant</w:t>
      </w:r>
      <w:r w:rsidR="001B2D86">
        <w:rPr>
          <w:rFonts w:cs="Times New Roman"/>
          <w:noProof/>
          <w:szCs w:val="24"/>
        </w:rPr>
        <w:t xml:space="preserve"> mobilisation of public and private funding from stakeholders participating in Euratom research projects and EJPs. </w:t>
      </w:r>
    </w:p>
    <w:p w14:paraId="72915E25" w14:textId="770A9279" w:rsidR="001B2D86" w:rsidRDefault="001B2D86" w:rsidP="007C4BD5">
      <w:pPr>
        <w:pStyle w:val="ListParagraph"/>
        <w:spacing w:after="0" w:line="240" w:lineRule="auto"/>
        <w:contextualSpacing/>
        <w:rPr>
          <w:rFonts w:cs="Times New Roman"/>
          <w:noProof/>
          <w:szCs w:val="24"/>
        </w:rPr>
      </w:pPr>
      <w:r>
        <w:rPr>
          <w:rFonts w:cs="Times New Roman"/>
          <w:noProof/>
          <w:szCs w:val="24"/>
        </w:rPr>
        <w:t xml:space="preserve">   </w:t>
      </w:r>
    </w:p>
    <w:p w14:paraId="4DD5A056" w14:textId="6ACCFCDB" w:rsidR="001B2D86" w:rsidRPr="00A154CE" w:rsidRDefault="007F51B2" w:rsidP="001B2D86">
      <w:pPr>
        <w:pStyle w:val="ListParagraph"/>
        <w:numPr>
          <w:ilvl w:val="0"/>
          <w:numId w:val="58"/>
        </w:numPr>
        <w:pBdr>
          <w:top w:val="single" w:sz="4" w:space="1" w:color="auto"/>
          <w:left w:val="single" w:sz="4" w:space="4" w:color="auto"/>
          <w:bottom w:val="single" w:sz="4" w:space="1" w:color="auto"/>
          <w:right w:val="single" w:sz="4" w:space="4" w:color="auto"/>
        </w:pBdr>
        <w:spacing w:after="0" w:line="240" w:lineRule="auto"/>
        <w:contextualSpacing/>
        <w:rPr>
          <w:rFonts w:eastAsia="Times New Roman" w:cs="Times New Roman"/>
          <w:noProof/>
          <w:color w:val="0E101A"/>
          <w:szCs w:val="24"/>
          <w:lang w:val="en-IE" w:eastAsia="en-IE"/>
        </w:rPr>
      </w:pPr>
      <w:r w:rsidRPr="00854965">
        <w:rPr>
          <w:rFonts w:eastAsia="Times New Roman" w:cs="Times New Roman"/>
          <w:noProof/>
          <w:color w:val="0E101A"/>
          <w:szCs w:val="24"/>
          <w:lang w:val="en-IE" w:eastAsia="en-IE"/>
        </w:rPr>
        <w:t xml:space="preserve">EUR </w:t>
      </w:r>
      <w:r w:rsidR="001B2D86" w:rsidRPr="00854965">
        <w:rPr>
          <w:rFonts w:eastAsia="Times New Roman" w:cs="Times New Roman"/>
          <w:noProof/>
          <w:color w:val="0E101A"/>
          <w:szCs w:val="24"/>
          <w:lang w:val="en-IE" w:eastAsia="en-IE"/>
        </w:rPr>
        <w:t>161 million</w:t>
      </w:r>
      <w:r w:rsidR="001B2D86" w:rsidRPr="00A154CE">
        <w:rPr>
          <w:rFonts w:eastAsia="Times New Roman" w:cs="Times New Roman"/>
          <w:b/>
          <w:bCs/>
          <w:noProof/>
          <w:color w:val="0E101A"/>
          <w:szCs w:val="24"/>
          <w:lang w:val="en-IE" w:eastAsia="en-IE"/>
        </w:rPr>
        <w:t xml:space="preserve"> </w:t>
      </w:r>
      <w:r w:rsidR="001B2D86" w:rsidRPr="00A154CE">
        <w:rPr>
          <w:rFonts w:eastAsia="Times New Roman" w:cs="Times New Roman"/>
          <w:noProof/>
          <w:color w:val="0E101A"/>
          <w:szCs w:val="24"/>
          <w:lang w:val="en-IE" w:eastAsia="en-IE"/>
        </w:rPr>
        <w:t>mobilised from stakeholders in fission</w:t>
      </w:r>
      <w:r w:rsidR="001B2D86">
        <w:rPr>
          <w:rFonts w:eastAsia="Times New Roman" w:cs="Times New Roman"/>
          <w:noProof/>
          <w:color w:val="0E101A"/>
          <w:szCs w:val="24"/>
          <w:lang w:val="en-IE" w:eastAsia="en-IE"/>
        </w:rPr>
        <w:t xml:space="preserve"> research</w:t>
      </w:r>
    </w:p>
    <w:p w14:paraId="1774D67E" w14:textId="550D54C5" w:rsidR="001B2D86" w:rsidRPr="00A154CE" w:rsidRDefault="007F51B2" w:rsidP="001B2D86">
      <w:pPr>
        <w:pStyle w:val="ListParagraph"/>
        <w:numPr>
          <w:ilvl w:val="0"/>
          <w:numId w:val="58"/>
        </w:numPr>
        <w:pBdr>
          <w:top w:val="single" w:sz="4" w:space="1" w:color="auto"/>
          <w:left w:val="single" w:sz="4" w:space="4" w:color="auto"/>
          <w:bottom w:val="single" w:sz="4" w:space="1" w:color="auto"/>
          <w:right w:val="single" w:sz="4" w:space="4" w:color="auto"/>
        </w:pBdr>
        <w:spacing w:after="0" w:line="240" w:lineRule="auto"/>
        <w:contextualSpacing/>
        <w:rPr>
          <w:rFonts w:cs="Times New Roman"/>
          <w:noProof/>
          <w:szCs w:val="24"/>
        </w:rPr>
      </w:pPr>
      <w:r w:rsidRPr="00854965">
        <w:rPr>
          <w:rFonts w:eastAsia="Times New Roman" w:cs="Times New Roman"/>
          <w:noProof/>
          <w:color w:val="0E101A"/>
          <w:szCs w:val="24"/>
          <w:lang w:val="en-IE" w:eastAsia="en-IE"/>
        </w:rPr>
        <w:t xml:space="preserve">EUR </w:t>
      </w:r>
      <w:r w:rsidR="001B2D86" w:rsidRPr="00854965">
        <w:rPr>
          <w:rFonts w:eastAsia="Times New Roman" w:cs="Times New Roman"/>
          <w:noProof/>
          <w:color w:val="0E101A"/>
          <w:szCs w:val="24"/>
          <w:lang w:val="en-IE" w:eastAsia="en-IE"/>
        </w:rPr>
        <w:t>555 million</w:t>
      </w:r>
      <w:r w:rsidR="001B2D86" w:rsidRPr="00A154CE">
        <w:rPr>
          <w:rFonts w:eastAsia="Times New Roman" w:cs="Times New Roman"/>
          <w:noProof/>
          <w:color w:val="0E101A"/>
          <w:szCs w:val="24"/>
          <w:lang w:val="en-IE" w:eastAsia="en-IE"/>
        </w:rPr>
        <w:t xml:space="preserve"> mobilised from the EUROfusion consortium</w:t>
      </w:r>
    </w:p>
    <w:p w14:paraId="1A0C4877" w14:textId="77777777" w:rsidR="009F23CF" w:rsidRDefault="009F23CF" w:rsidP="001B2D86">
      <w:pPr>
        <w:pStyle w:val="ListParagraph"/>
        <w:spacing w:after="0" w:line="240" w:lineRule="auto"/>
        <w:rPr>
          <w:rFonts w:cs="Times New Roman"/>
          <w:noProof/>
          <w:szCs w:val="24"/>
        </w:rPr>
      </w:pPr>
    </w:p>
    <w:p w14:paraId="78554BAE" w14:textId="69756B85" w:rsidR="001B2D86" w:rsidRDefault="001B2D86" w:rsidP="001B2D86">
      <w:pPr>
        <w:pStyle w:val="ListParagraph"/>
        <w:spacing w:after="0" w:line="240" w:lineRule="auto"/>
        <w:rPr>
          <w:rFonts w:cs="Times New Roman"/>
          <w:noProof/>
          <w:szCs w:val="24"/>
        </w:rPr>
      </w:pPr>
      <w:r w:rsidRPr="004D3DE5">
        <w:rPr>
          <w:rFonts w:cs="Times New Roman"/>
          <w:noProof/>
          <w:szCs w:val="24"/>
        </w:rPr>
        <w:t>This indicate</w:t>
      </w:r>
      <w:r>
        <w:rPr>
          <w:rFonts w:cs="Times New Roman"/>
          <w:noProof/>
          <w:szCs w:val="24"/>
        </w:rPr>
        <w:t>s</w:t>
      </w:r>
      <w:r w:rsidRPr="004D3DE5">
        <w:rPr>
          <w:rFonts w:cs="Times New Roman"/>
          <w:noProof/>
          <w:szCs w:val="24"/>
        </w:rPr>
        <w:t xml:space="preserve"> that </w:t>
      </w:r>
      <w:r w:rsidR="001626C3">
        <w:rPr>
          <w:rFonts w:cs="Times New Roman"/>
          <w:noProof/>
          <w:szCs w:val="24"/>
        </w:rPr>
        <w:t>although</w:t>
      </w:r>
      <w:r w:rsidR="001626C3" w:rsidRPr="004D3DE5">
        <w:rPr>
          <w:rFonts w:cs="Times New Roman"/>
          <w:noProof/>
          <w:szCs w:val="24"/>
        </w:rPr>
        <w:t xml:space="preserve"> </w:t>
      </w:r>
      <w:r w:rsidRPr="004D3DE5">
        <w:rPr>
          <w:rFonts w:cs="Times New Roman"/>
          <w:noProof/>
          <w:szCs w:val="24"/>
        </w:rPr>
        <w:t>there is a clear demand for more public funding, mobilising fund</w:t>
      </w:r>
      <w:r>
        <w:rPr>
          <w:rFonts w:cs="Times New Roman"/>
          <w:noProof/>
          <w:szCs w:val="24"/>
        </w:rPr>
        <w:t xml:space="preserve">s </w:t>
      </w:r>
      <w:r w:rsidRPr="004D3DE5">
        <w:rPr>
          <w:rFonts w:cs="Times New Roman"/>
          <w:noProof/>
          <w:szCs w:val="24"/>
        </w:rPr>
        <w:t xml:space="preserve">from </w:t>
      </w:r>
      <w:r>
        <w:rPr>
          <w:rFonts w:cs="Times New Roman"/>
          <w:noProof/>
          <w:szCs w:val="24"/>
        </w:rPr>
        <w:t>p</w:t>
      </w:r>
      <w:r w:rsidRPr="00237BAD">
        <w:rPr>
          <w:rFonts w:cs="Times New Roman"/>
          <w:noProof/>
          <w:szCs w:val="24"/>
        </w:rPr>
        <w:t xml:space="preserve">rivate and public stakeholders is </w:t>
      </w:r>
      <w:r w:rsidR="001626C3">
        <w:rPr>
          <w:rFonts w:cs="Times New Roman"/>
          <w:noProof/>
          <w:szCs w:val="24"/>
        </w:rPr>
        <w:t xml:space="preserve">still </w:t>
      </w:r>
      <w:r w:rsidRPr="00237BAD">
        <w:rPr>
          <w:rFonts w:cs="Times New Roman"/>
          <w:noProof/>
          <w:szCs w:val="24"/>
        </w:rPr>
        <w:t>possible and will be even more necessary in the future to advance Euratom objectives</w:t>
      </w:r>
      <w:r w:rsidR="0051223C">
        <w:rPr>
          <w:rFonts w:cs="Times New Roman"/>
          <w:noProof/>
          <w:szCs w:val="24"/>
        </w:rPr>
        <w:t xml:space="preserve">. Mobilising public and private funding will be especially necessary </w:t>
      </w:r>
      <w:r w:rsidRPr="00237BAD">
        <w:rPr>
          <w:rFonts w:cs="Times New Roman"/>
          <w:noProof/>
          <w:szCs w:val="24"/>
        </w:rPr>
        <w:t xml:space="preserve">to </w:t>
      </w:r>
      <w:r w:rsidR="0051223C">
        <w:rPr>
          <w:rFonts w:cs="Times New Roman"/>
          <w:noProof/>
          <w:szCs w:val="24"/>
        </w:rPr>
        <w:t xml:space="preserve">both: (i) </w:t>
      </w:r>
      <w:r w:rsidRPr="00237BAD">
        <w:rPr>
          <w:rFonts w:cs="Times New Roman"/>
          <w:noProof/>
          <w:szCs w:val="24"/>
        </w:rPr>
        <w:t xml:space="preserve">retain and foster industrial value chains and overall competitiveness </w:t>
      </w:r>
      <w:r w:rsidR="0051223C">
        <w:rPr>
          <w:rFonts w:cs="Times New Roman"/>
          <w:noProof/>
          <w:szCs w:val="24"/>
        </w:rPr>
        <w:t xml:space="preserve">in the </w:t>
      </w:r>
      <w:r w:rsidRPr="00237BAD">
        <w:rPr>
          <w:rFonts w:cs="Times New Roman"/>
          <w:noProof/>
          <w:szCs w:val="24"/>
        </w:rPr>
        <w:t xml:space="preserve"> </w:t>
      </w:r>
      <w:r>
        <w:rPr>
          <w:rFonts w:cs="Times New Roman"/>
          <w:noProof/>
          <w:szCs w:val="24"/>
        </w:rPr>
        <w:t xml:space="preserve">EU </w:t>
      </w:r>
      <w:r w:rsidRPr="00237BAD">
        <w:rPr>
          <w:rFonts w:cs="Times New Roman"/>
          <w:noProof/>
          <w:szCs w:val="24"/>
        </w:rPr>
        <w:t>nuclear sector</w:t>
      </w:r>
      <w:r w:rsidR="0051223C">
        <w:rPr>
          <w:rFonts w:cs="Times New Roman"/>
          <w:noProof/>
          <w:szCs w:val="24"/>
        </w:rPr>
        <w:t>;</w:t>
      </w:r>
      <w:r w:rsidRPr="00237BAD">
        <w:rPr>
          <w:rFonts w:cs="Times New Roman"/>
          <w:noProof/>
          <w:szCs w:val="24"/>
        </w:rPr>
        <w:t xml:space="preserve"> and </w:t>
      </w:r>
      <w:r w:rsidR="0051223C">
        <w:rPr>
          <w:rFonts w:cs="Times New Roman"/>
          <w:noProof/>
          <w:szCs w:val="24"/>
        </w:rPr>
        <w:t xml:space="preserve">(ii) use the </w:t>
      </w:r>
      <w:r w:rsidRPr="00237BAD">
        <w:rPr>
          <w:rFonts w:cs="Times New Roman"/>
          <w:noProof/>
          <w:szCs w:val="24"/>
        </w:rPr>
        <w:t xml:space="preserve">innovation potential of the EU private sector to accelerate </w:t>
      </w:r>
      <w:r w:rsidR="001B131B">
        <w:rPr>
          <w:rFonts w:cs="Times New Roman"/>
          <w:noProof/>
          <w:szCs w:val="24"/>
        </w:rPr>
        <w:t xml:space="preserve">the development of </w:t>
      </w:r>
      <w:r>
        <w:rPr>
          <w:rFonts w:cs="Times New Roman"/>
          <w:noProof/>
          <w:szCs w:val="24"/>
        </w:rPr>
        <w:t xml:space="preserve">fusion </w:t>
      </w:r>
      <w:r w:rsidRPr="00237BAD">
        <w:rPr>
          <w:rFonts w:cs="Times New Roman"/>
          <w:noProof/>
          <w:szCs w:val="24"/>
        </w:rPr>
        <w:t>technology.</w:t>
      </w:r>
    </w:p>
    <w:p w14:paraId="4AC090C8" w14:textId="77777777" w:rsidR="009A61DC" w:rsidRDefault="009A61DC" w:rsidP="001B2D86">
      <w:pPr>
        <w:pStyle w:val="ListParagraph"/>
        <w:spacing w:after="0" w:line="240" w:lineRule="auto"/>
        <w:rPr>
          <w:rFonts w:cs="Times New Roman"/>
          <w:noProof/>
          <w:szCs w:val="24"/>
        </w:rPr>
      </w:pPr>
    </w:p>
    <w:p w14:paraId="77F4BE81" w14:textId="59D04666" w:rsidR="001749A6" w:rsidRDefault="001749A6" w:rsidP="001749A6">
      <w:pPr>
        <w:pStyle w:val="ListParagraph"/>
        <w:numPr>
          <w:ilvl w:val="0"/>
          <w:numId w:val="56"/>
        </w:numPr>
        <w:spacing w:after="0" w:line="240" w:lineRule="auto"/>
        <w:contextualSpacing/>
        <w:rPr>
          <w:rFonts w:cs="Times New Roman"/>
          <w:noProof/>
          <w:szCs w:val="24"/>
        </w:rPr>
      </w:pPr>
      <w:r w:rsidRPr="00B04126">
        <w:rPr>
          <w:rFonts w:cs="Times New Roman"/>
          <w:noProof/>
          <w:szCs w:val="24"/>
        </w:rPr>
        <w:t xml:space="preserve">Research funded by </w:t>
      </w:r>
      <w:r w:rsidR="007F51B2">
        <w:rPr>
          <w:rFonts w:cs="Times New Roman"/>
          <w:noProof/>
          <w:szCs w:val="24"/>
        </w:rPr>
        <w:t>the</w:t>
      </w:r>
      <w:r w:rsidRPr="00B04126">
        <w:rPr>
          <w:rFonts w:cs="Times New Roman"/>
          <w:noProof/>
          <w:szCs w:val="24"/>
        </w:rPr>
        <w:t xml:space="preserve"> Programme</w:t>
      </w:r>
      <w:r>
        <w:rPr>
          <w:rFonts w:cs="Times New Roman"/>
          <w:noProof/>
          <w:szCs w:val="24"/>
        </w:rPr>
        <w:t xml:space="preserve"> demonstrated</w:t>
      </w:r>
      <w:r w:rsidRPr="00B04126">
        <w:rPr>
          <w:rFonts w:cs="Times New Roman"/>
          <w:noProof/>
          <w:szCs w:val="24"/>
        </w:rPr>
        <w:t xml:space="preserve"> </w:t>
      </w:r>
      <w:r w:rsidR="00C166DC">
        <w:rPr>
          <w:rFonts w:cs="Times New Roman"/>
          <w:noProof/>
          <w:szCs w:val="24"/>
        </w:rPr>
        <w:t xml:space="preserve">the </w:t>
      </w:r>
      <w:r w:rsidR="005831FB">
        <w:rPr>
          <w:rFonts w:cs="Times New Roman"/>
          <w:noProof/>
          <w:szCs w:val="24"/>
        </w:rPr>
        <w:t>significant</w:t>
      </w:r>
      <w:r w:rsidR="005831FB" w:rsidRPr="00B04126">
        <w:rPr>
          <w:rFonts w:cs="Times New Roman"/>
          <w:noProof/>
          <w:szCs w:val="24"/>
        </w:rPr>
        <w:t xml:space="preserve"> </w:t>
      </w:r>
      <w:r w:rsidRPr="00B04126">
        <w:rPr>
          <w:rFonts w:cs="Times New Roman"/>
          <w:noProof/>
          <w:szCs w:val="24"/>
        </w:rPr>
        <w:t xml:space="preserve">cross-cutting benefits of nuclear research </w:t>
      </w:r>
      <w:r>
        <w:rPr>
          <w:rFonts w:cs="Times New Roman"/>
          <w:noProof/>
          <w:szCs w:val="24"/>
        </w:rPr>
        <w:t>for</w:t>
      </w:r>
      <w:r w:rsidR="00C166DC">
        <w:rPr>
          <w:rFonts w:cs="Times New Roman"/>
          <w:noProof/>
          <w:szCs w:val="24"/>
        </w:rPr>
        <w:t>: (i)</w:t>
      </w:r>
      <w:r>
        <w:rPr>
          <w:rFonts w:cs="Times New Roman"/>
          <w:noProof/>
          <w:szCs w:val="24"/>
        </w:rPr>
        <w:t xml:space="preserve"> </w:t>
      </w:r>
      <w:r w:rsidRPr="00B04126">
        <w:rPr>
          <w:rFonts w:cs="Times New Roman"/>
          <w:noProof/>
          <w:szCs w:val="24"/>
        </w:rPr>
        <w:t>energy and climate policies</w:t>
      </w:r>
      <w:r w:rsidR="00C166DC">
        <w:rPr>
          <w:rFonts w:cs="Times New Roman"/>
          <w:noProof/>
          <w:szCs w:val="24"/>
        </w:rPr>
        <w:t>; (ii) the</w:t>
      </w:r>
      <w:r w:rsidRPr="00B04126">
        <w:rPr>
          <w:rFonts w:cs="Times New Roman"/>
          <w:noProof/>
          <w:szCs w:val="24"/>
        </w:rPr>
        <w:t xml:space="preserve"> security of energy supply</w:t>
      </w:r>
      <w:r w:rsidR="00C166DC">
        <w:rPr>
          <w:rFonts w:cs="Times New Roman"/>
          <w:noProof/>
          <w:szCs w:val="24"/>
        </w:rPr>
        <w:t xml:space="preserve">; </w:t>
      </w:r>
      <w:r w:rsidR="00872CC0">
        <w:rPr>
          <w:rFonts w:cs="Times New Roman"/>
          <w:noProof/>
          <w:szCs w:val="24"/>
        </w:rPr>
        <w:t xml:space="preserve">and </w:t>
      </w:r>
      <w:r w:rsidR="00C166DC">
        <w:rPr>
          <w:rFonts w:cs="Times New Roman"/>
          <w:noProof/>
          <w:szCs w:val="24"/>
        </w:rPr>
        <w:t>(iii)</w:t>
      </w:r>
      <w:r>
        <w:rPr>
          <w:rFonts w:cs="Times New Roman"/>
          <w:noProof/>
          <w:szCs w:val="24"/>
        </w:rPr>
        <w:t xml:space="preserve"> non-power applications, in particular in</w:t>
      </w:r>
      <w:r w:rsidRPr="00B04126">
        <w:rPr>
          <w:rFonts w:cs="Times New Roman"/>
          <w:noProof/>
          <w:szCs w:val="24"/>
        </w:rPr>
        <w:t xml:space="preserve"> healthcare</w:t>
      </w:r>
      <w:r>
        <w:rPr>
          <w:rFonts w:cs="Times New Roman"/>
          <w:noProof/>
          <w:szCs w:val="24"/>
        </w:rPr>
        <w:t>.</w:t>
      </w:r>
    </w:p>
    <w:p w14:paraId="033D4437" w14:textId="77777777" w:rsidR="001749A6" w:rsidRDefault="001749A6" w:rsidP="001749A6">
      <w:pPr>
        <w:pStyle w:val="ListParagraph"/>
        <w:spacing w:after="0" w:line="240" w:lineRule="auto"/>
        <w:rPr>
          <w:rFonts w:cs="Times New Roman"/>
          <w:noProof/>
          <w:szCs w:val="24"/>
        </w:rPr>
      </w:pPr>
    </w:p>
    <w:p w14:paraId="606EB471" w14:textId="2629B011" w:rsidR="001749A6" w:rsidRDefault="001749A6" w:rsidP="001749A6">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hAnsi="Times New Roman" w:cs="Times New Roman"/>
          <w:noProof/>
          <w:sz w:val="24"/>
          <w:szCs w:val="24"/>
        </w:rPr>
      </w:pPr>
      <w:r w:rsidRPr="00854965">
        <w:rPr>
          <w:rFonts w:ascii="Times New Roman" w:hAnsi="Times New Roman" w:cs="Times New Roman"/>
          <w:noProof/>
          <w:sz w:val="24"/>
          <w:szCs w:val="24"/>
        </w:rPr>
        <w:t xml:space="preserve">Impacts on </w:t>
      </w:r>
      <w:r w:rsidR="00C166DC">
        <w:rPr>
          <w:rFonts w:ascii="Times New Roman" w:hAnsi="Times New Roman" w:cs="Times New Roman"/>
          <w:noProof/>
          <w:sz w:val="24"/>
          <w:szCs w:val="24"/>
        </w:rPr>
        <w:t xml:space="preserve">the </w:t>
      </w:r>
      <w:r w:rsidRPr="00854965">
        <w:rPr>
          <w:rFonts w:ascii="Times New Roman" w:hAnsi="Times New Roman" w:cs="Times New Roman"/>
          <w:noProof/>
          <w:sz w:val="24"/>
          <w:szCs w:val="24"/>
        </w:rPr>
        <w:t>security of energy supply</w:t>
      </w:r>
      <w:r>
        <w:rPr>
          <w:rFonts w:ascii="Times New Roman" w:hAnsi="Times New Roman" w:cs="Times New Roman"/>
          <w:b/>
          <w:bCs/>
          <w:noProof/>
          <w:sz w:val="24"/>
          <w:szCs w:val="24"/>
        </w:rPr>
        <w:t xml:space="preserve"> </w:t>
      </w:r>
      <w:r w:rsidR="007F51B2">
        <w:rPr>
          <w:rFonts w:ascii="Times New Roman" w:hAnsi="Times New Roman" w:cs="Times New Roman"/>
          <w:noProof/>
          <w:sz w:val="24"/>
          <w:szCs w:val="24"/>
        </w:rPr>
        <w:t>–</w:t>
      </w:r>
      <w:r w:rsidRPr="00EC15AB">
        <w:rPr>
          <w:rFonts w:ascii="Times New Roman" w:hAnsi="Times New Roman" w:cs="Times New Roman"/>
          <w:noProof/>
          <w:sz w:val="24"/>
          <w:szCs w:val="24"/>
        </w:rPr>
        <w:t xml:space="preserve"> maintaining </w:t>
      </w:r>
      <w:r w:rsidR="000E29AF">
        <w:rPr>
          <w:rFonts w:ascii="Times New Roman" w:hAnsi="Times New Roman" w:cs="Times New Roman"/>
          <w:noProof/>
          <w:sz w:val="24"/>
          <w:szCs w:val="24"/>
        </w:rPr>
        <w:t xml:space="preserve">the </w:t>
      </w:r>
      <w:r w:rsidRPr="00EC15AB">
        <w:rPr>
          <w:rFonts w:ascii="Times New Roman" w:hAnsi="Times New Roman" w:cs="Times New Roman"/>
          <w:noProof/>
          <w:sz w:val="24"/>
          <w:szCs w:val="24"/>
        </w:rPr>
        <w:t>safety of existing and future NPPs and ensuring their long</w:t>
      </w:r>
      <w:r w:rsidR="007F51B2">
        <w:rPr>
          <w:rFonts w:ascii="Times New Roman" w:hAnsi="Times New Roman" w:cs="Times New Roman"/>
          <w:noProof/>
          <w:sz w:val="24"/>
          <w:szCs w:val="24"/>
        </w:rPr>
        <w:t>-</w:t>
      </w:r>
      <w:r w:rsidRPr="00EC15AB">
        <w:rPr>
          <w:rFonts w:ascii="Times New Roman" w:hAnsi="Times New Roman" w:cs="Times New Roman"/>
          <w:noProof/>
          <w:sz w:val="24"/>
          <w:szCs w:val="24"/>
        </w:rPr>
        <w:t>term operation</w:t>
      </w:r>
      <w:r w:rsidRPr="001F266A">
        <w:rPr>
          <w:rFonts w:ascii="Times New Roman" w:hAnsi="Times New Roman" w:cs="Times New Roman"/>
          <w:noProof/>
          <w:sz w:val="24"/>
          <w:szCs w:val="24"/>
        </w:rPr>
        <w:t xml:space="preserve"> </w:t>
      </w:r>
    </w:p>
    <w:p w14:paraId="120D3151" w14:textId="77777777" w:rsidR="001749A6" w:rsidRDefault="001749A6" w:rsidP="001749A6">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hAnsi="Times New Roman" w:cs="Times New Roman"/>
          <w:noProof/>
          <w:sz w:val="24"/>
          <w:szCs w:val="24"/>
        </w:rPr>
      </w:pPr>
    </w:p>
    <w:p w14:paraId="1F29A7E0" w14:textId="28543D11" w:rsidR="001749A6" w:rsidRPr="002F37B0" w:rsidRDefault="00B77B1A" w:rsidP="001749A6">
      <w:pPr>
        <w:pStyle w:val="ListParagraph"/>
        <w:numPr>
          <w:ilvl w:val="0"/>
          <w:numId w:val="59"/>
        </w:numPr>
        <w:pBdr>
          <w:top w:val="single" w:sz="4" w:space="1" w:color="auto"/>
          <w:left w:val="single" w:sz="4" w:space="4" w:color="auto"/>
          <w:bottom w:val="single" w:sz="4" w:space="1" w:color="auto"/>
          <w:right w:val="single" w:sz="4" w:space="4" w:color="auto"/>
        </w:pBdr>
        <w:spacing w:after="120" w:line="259" w:lineRule="auto"/>
        <w:ind w:left="1080"/>
        <w:contextualSpacing/>
        <w:jc w:val="left"/>
        <w:rPr>
          <w:rFonts w:cs="Times New Roman"/>
          <w:noProof/>
          <w:szCs w:val="24"/>
        </w:rPr>
      </w:pPr>
      <w:r>
        <w:rPr>
          <w:rFonts w:cs="Times New Roman"/>
          <w:noProof/>
          <w:szCs w:val="24"/>
        </w:rPr>
        <w:t>A</w:t>
      </w:r>
      <w:r w:rsidRPr="00854965">
        <w:rPr>
          <w:rFonts w:cs="Times New Roman"/>
          <w:noProof/>
          <w:szCs w:val="24"/>
        </w:rPr>
        <w:t xml:space="preserve">dvanced </w:t>
      </w:r>
      <w:r w:rsidR="001749A6" w:rsidRPr="00854965">
        <w:rPr>
          <w:rFonts w:cs="Times New Roman"/>
          <w:noProof/>
          <w:szCs w:val="24"/>
        </w:rPr>
        <w:t>modelling and simulation for NPP safety analysis</w:t>
      </w:r>
      <w:r w:rsidR="001749A6" w:rsidRPr="002F37B0">
        <w:rPr>
          <w:rFonts w:cs="Times New Roman"/>
          <w:noProof/>
          <w:szCs w:val="24"/>
        </w:rPr>
        <w:t xml:space="preserve"> (projects CAMIVVER, McSafe, McSafer, IVMR and MUSA)</w:t>
      </w:r>
    </w:p>
    <w:p w14:paraId="1C19FFBD" w14:textId="42B77431" w:rsidR="001749A6" w:rsidRPr="002F37B0" w:rsidRDefault="00B77B1A" w:rsidP="001749A6">
      <w:pPr>
        <w:pStyle w:val="ListParagraph"/>
        <w:numPr>
          <w:ilvl w:val="0"/>
          <w:numId w:val="59"/>
        </w:numPr>
        <w:pBdr>
          <w:top w:val="single" w:sz="4" w:space="1" w:color="auto"/>
          <w:left w:val="single" w:sz="4" w:space="4" w:color="auto"/>
          <w:bottom w:val="single" w:sz="4" w:space="1" w:color="auto"/>
          <w:right w:val="single" w:sz="4" w:space="4" w:color="auto"/>
        </w:pBdr>
        <w:spacing w:after="120" w:line="259" w:lineRule="auto"/>
        <w:ind w:left="1080"/>
        <w:contextualSpacing/>
        <w:jc w:val="left"/>
        <w:rPr>
          <w:rFonts w:cs="Times New Roman"/>
          <w:noProof/>
          <w:szCs w:val="24"/>
        </w:rPr>
      </w:pPr>
      <w:r>
        <w:rPr>
          <w:rFonts w:cs="Times New Roman"/>
          <w:noProof/>
          <w:szCs w:val="24"/>
        </w:rPr>
        <w:t>T</w:t>
      </w:r>
      <w:r w:rsidR="001749A6" w:rsidRPr="00854965">
        <w:rPr>
          <w:rFonts w:cs="Times New Roman"/>
          <w:noProof/>
          <w:szCs w:val="24"/>
        </w:rPr>
        <w:t xml:space="preserve">ools and data for ensuring </w:t>
      </w:r>
      <w:r w:rsidR="000E29AF">
        <w:rPr>
          <w:rFonts w:cs="Times New Roman"/>
          <w:noProof/>
          <w:szCs w:val="24"/>
        </w:rPr>
        <w:t xml:space="preserve">the </w:t>
      </w:r>
      <w:r w:rsidR="001749A6" w:rsidRPr="00854965">
        <w:rPr>
          <w:rFonts w:cs="Times New Roman"/>
          <w:noProof/>
          <w:szCs w:val="24"/>
        </w:rPr>
        <w:t>long-term integrity of key compo</w:t>
      </w:r>
      <w:r w:rsidR="001F789C">
        <w:rPr>
          <w:rFonts w:cs="Times New Roman"/>
          <w:noProof/>
          <w:szCs w:val="24"/>
        </w:rPr>
        <w:t>n</w:t>
      </w:r>
      <w:r w:rsidR="001749A6" w:rsidRPr="00854965">
        <w:rPr>
          <w:rFonts w:cs="Times New Roman"/>
          <w:noProof/>
          <w:szCs w:val="24"/>
        </w:rPr>
        <w:t>ents of existing NPPs</w:t>
      </w:r>
      <w:r w:rsidR="001749A6" w:rsidRPr="002F37B0">
        <w:rPr>
          <w:rFonts w:cs="Times New Roman"/>
          <w:noProof/>
          <w:szCs w:val="24"/>
        </w:rPr>
        <w:t xml:space="preserve"> (STRUMAT-LTO, NOMAD, SOTERIA, ENTENTE, FRACTESUS, ATLAS+, APAL)</w:t>
      </w:r>
    </w:p>
    <w:p w14:paraId="2C74B474" w14:textId="12F14C6D" w:rsidR="001749A6" w:rsidRDefault="001749A6" w:rsidP="001749A6">
      <w:pPr>
        <w:pStyle w:val="ListParagraph"/>
        <w:numPr>
          <w:ilvl w:val="0"/>
          <w:numId w:val="59"/>
        </w:numPr>
        <w:pBdr>
          <w:top w:val="single" w:sz="4" w:space="1" w:color="auto"/>
          <w:left w:val="single" w:sz="4" w:space="4" w:color="auto"/>
          <w:bottom w:val="single" w:sz="4" w:space="1" w:color="auto"/>
          <w:right w:val="single" w:sz="4" w:space="4" w:color="auto"/>
        </w:pBdr>
        <w:spacing w:after="0" w:line="240" w:lineRule="auto"/>
        <w:ind w:left="1080"/>
        <w:contextualSpacing/>
        <w:rPr>
          <w:rFonts w:cs="Times New Roman"/>
          <w:noProof/>
          <w:szCs w:val="24"/>
        </w:rPr>
      </w:pPr>
      <w:r>
        <w:rPr>
          <w:rFonts w:cs="Times New Roman"/>
          <w:noProof/>
          <w:szCs w:val="24"/>
        </w:rPr>
        <w:t xml:space="preserve">Development of </w:t>
      </w:r>
      <w:r w:rsidR="000E29AF">
        <w:rPr>
          <w:rFonts w:cs="Times New Roman"/>
          <w:noProof/>
          <w:szCs w:val="24"/>
        </w:rPr>
        <w:t xml:space="preserve">an </w:t>
      </w:r>
      <w:r w:rsidRPr="00854965">
        <w:rPr>
          <w:rFonts w:cs="Times New Roman"/>
          <w:noProof/>
          <w:szCs w:val="24"/>
        </w:rPr>
        <w:t>innovative backup cooling system</w:t>
      </w:r>
      <w:r w:rsidRPr="00CE0B95">
        <w:rPr>
          <w:rFonts w:cs="Times New Roman"/>
          <w:noProof/>
          <w:szCs w:val="24"/>
        </w:rPr>
        <w:t xml:space="preserve"> that can be retrofitted into existing NPPs and included in future NPPs (projects sCO2-HeRo, sCO2-4-NPP)</w:t>
      </w:r>
    </w:p>
    <w:p w14:paraId="143B81DD" w14:textId="4E0DB628" w:rsidR="001749A6" w:rsidRPr="0081593F" w:rsidRDefault="001749A6" w:rsidP="001749A6">
      <w:pPr>
        <w:pStyle w:val="ListParagraph"/>
        <w:numPr>
          <w:ilvl w:val="0"/>
          <w:numId w:val="59"/>
        </w:numPr>
        <w:pBdr>
          <w:top w:val="single" w:sz="4" w:space="1" w:color="auto"/>
          <w:left w:val="single" w:sz="4" w:space="4" w:color="auto"/>
          <w:bottom w:val="single" w:sz="4" w:space="1" w:color="auto"/>
          <w:right w:val="single" w:sz="4" w:space="4" w:color="auto"/>
        </w:pBdr>
        <w:spacing w:after="0" w:line="240" w:lineRule="auto"/>
        <w:ind w:left="1080"/>
        <w:contextualSpacing/>
        <w:rPr>
          <w:rFonts w:cs="Times New Roman"/>
          <w:noProof/>
          <w:szCs w:val="24"/>
        </w:rPr>
      </w:pPr>
      <w:r w:rsidRPr="00854965">
        <w:rPr>
          <w:rFonts w:cs="Times New Roman"/>
          <w:noProof/>
          <w:szCs w:val="24"/>
        </w:rPr>
        <w:t>Development of advanced materials for nuclear systems</w:t>
      </w:r>
      <w:r w:rsidRPr="00B04126">
        <w:rPr>
          <w:rFonts w:cs="Times New Roman"/>
          <w:noProof/>
          <w:szCs w:val="24"/>
        </w:rPr>
        <w:t>, including computer models to evaluate radiation effects, development of new structural materials and their stress testing (projects M4F, GEMMA and ORIENT</w:t>
      </w:r>
      <w:r>
        <w:rPr>
          <w:rFonts w:cs="Times New Roman"/>
          <w:noProof/>
          <w:szCs w:val="24"/>
        </w:rPr>
        <w:t>-</w:t>
      </w:r>
      <w:r w:rsidRPr="00B04126">
        <w:rPr>
          <w:rFonts w:cs="Times New Roman"/>
          <w:noProof/>
          <w:szCs w:val="24"/>
        </w:rPr>
        <w:t>NM)</w:t>
      </w:r>
    </w:p>
    <w:p w14:paraId="49F1A5D8" w14:textId="77777777" w:rsidR="001749A6" w:rsidRPr="00FD660B" w:rsidRDefault="001749A6" w:rsidP="001749A6">
      <w:pPr>
        <w:spacing w:after="0"/>
        <w:jc w:val="both"/>
        <w:rPr>
          <w:rFonts w:ascii="Times New Roman" w:hAnsi="Times New Roman" w:cs="Times New Roman"/>
          <w:noProof/>
          <w:sz w:val="16"/>
          <w:szCs w:val="16"/>
        </w:rPr>
      </w:pPr>
    </w:p>
    <w:p w14:paraId="56742FE7" w14:textId="3D39EE85" w:rsidR="001749A6" w:rsidRPr="00854965" w:rsidRDefault="001749A6" w:rsidP="001749A6">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hAnsi="Times New Roman" w:cs="Times New Roman"/>
          <w:noProof/>
          <w:sz w:val="24"/>
          <w:szCs w:val="24"/>
        </w:rPr>
      </w:pPr>
      <w:r w:rsidRPr="00854965">
        <w:rPr>
          <w:rFonts w:ascii="Times New Roman" w:hAnsi="Times New Roman" w:cs="Times New Roman"/>
          <w:noProof/>
          <w:sz w:val="24"/>
          <w:szCs w:val="24"/>
        </w:rPr>
        <w:t>Impacts on EU healt</w:t>
      </w:r>
      <w:r w:rsidR="001F789C">
        <w:rPr>
          <w:rFonts w:ascii="Times New Roman" w:hAnsi="Times New Roman" w:cs="Times New Roman"/>
          <w:noProof/>
          <w:sz w:val="24"/>
          <w:szCs w:val="24"/>
        </w:rPr>
        <w:t>h</w:t>
      </w:r>
      <w:r w:rsidRPr="00854965">
        <w:rPr>
          <w:rFonts w:ascii="Times New Roman" w:hAnsi="Times New Roman" w:cs="Times New Roman"/>
          <w:noProof/>
          <w:sz w:val="24"/>
          <w:szCs w:val="24"/>
        </w:rPr>
        <w:t>care (medical imaging and cancer treatment)</w:t>
      </w:r>
    </w:p>
    <w:p w14:paraId="425E81FE" w14:textId="77777777" w:rsidR="001749A6" w:rsidRDefault="001749A6" w:rsidP="001749A6">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hAnsi="Times New Roman" w:cs="Times New Roman"/>
          <w:b/>
          <w:bCs/>
          <w:noProof/>
          <w:sz w:val="24"/>
          <w:szCs w:val="24"/>
        </w:rPr>
      </w:pPr>
    </w:p>
    <w:p w14:paraId="3EADB548" w14:textId="7F11FE16" w:rsidR="001749A6" w:rsidRDefault="001749A6" w:rsidP="001749A6">
      <w:pPr>
        <w:pStyle w:val="ListParagraph"/>
        <w:numPr>
          <w:ilvl w:val="0"/>
          <w:numId w:val="60"/>
        </w:numPr>
        <w:pBdr>
          <w:top w:val="single" w:sz="4" w:space="1" w:color="auto"/>
          <w:left w:val="single" w:sz="4" w:space="4" w:color="auto"/>
          <w:bottom w:val="single" w:sz="4" w:space="1" w:color="auto"/>
          <w:right w:val="single" w:sz="4" w:space="4" w:color="auto"/>
        </w:pBdr>
        <w:spacing w:after="0" w:line="240" w:lineRule="auto"/>
        <w:contextualSpacing/>
        <w:rPr>
          <w:rFonts w:cs="Times New Roman"/>
          <w:noProof/>
          <w:szCs w:val="24"/>
          <w:lang w:val="en-IE"/>
        </w:rPr>
      </w:pPr>
      <w:r w:rsidRPr="00854965">
        <w:rPr>
          <w:rFonts w:cs="Times New Roman"/>
          <w:noProof/>
          <w:szCs w:val="24"/>
        </w:rPr>
        <w:t xml:space="preserve">Solutions for securing </w:t>
      </w:r>
      <w:r w:rsidR="00B77B1A">
        <w:rPr>
          <w:rFonts w:cs="Times New Roman"/>
          <w:noProof/>
          <w:szCs w:val="24"/>
        </w:rPr>
        <w:t xml:space="preserve">the </w:t>
      </w:r>
      <w:r w:rsidRPr="00854965">
        <w:rPr>
          <w:rFonts w:cs="Times New Roman"/>
          <w:noProof/>
          <w:szCs w:val="24"/>
        </w:rPr>
        <w:t xml:space="preserve">EU production of medical radioisotopes </w:t>
      </w:r>
      <w:r w:rsidRPr="00B9443A">
        <w:rPr>
          <w:rFonts w:cs="Times New Roman"/>
          <w:noProof/>
          <w:szCs w:val="24"/>
        </w:rPr>
        <w:t xml:space="preserve">– research for qualification of the nuclear fuel for European research reactors </w:t>
      </w:r>
      <w:r w:rsidRPr="00B9443A">
        <w:rPr>
          <w:rFonts w:cs="Times New Roman"/>
          <w:noProof/>
          <w:szCs w:val="24"/>
          <w:lang w:val="en-IE"/>
        </w:rPr>
        <w:t xml:space="preserve">(Projects LEU-FOREvER, EU-QUALIFY, </w:t>
      </w:r>
      <w:r w:rsidRPr="00B9443A">
        <w:rPr>
          <w:rFonts w:eastAsiaTheme="minorHAnsi" w:cs="Times New Roman"/>
          <w:noProof/>
          <w:szCs w:val="24"/>
          <w:lang w:val="en-IE"/>
        </w:rPr>
        <w:t>HERACLES-C</w:t>
      </w:r>
      <w:r w:rsidRPr="00B9443A">
        <w:rPr>
          <w:rFonts w:cs="Times New Roman"/>
          <w:noProof/>
          <w:szCs w:val="24"/>
          <w:lang w:val="en-IE"/>
        </w:rPr>
        <w:t>P)</w:t>
      </w:r>
    </w:p>
    <w:p w14:paraId="291053FD" w14:textId="6808BB46" w:rsidR="001749A6" w:rsidRPr="00B9443A" w:rsidRDefault="001749A6" w:rsidP="001749A6">
      <w:pPr>
        <w:pStyle w:val="ListParagraph"/>
        <w:numPr>
          <w:ilvl w:val="0"/>
          <w:numId w:val="60"/>
        </w:numPr>
        <w:pBdr>
          <w:top w:val="single" w:sz="4" w:space="1" w:color="auto"/>
          <w:left w:val="single" w:sz="4" w:space="4" w:color="auto"/>
          <w:bottom w:val="single" w:sz="4" w:space="1" w:color="auto"/>
          <w:right w:val="single" w:sz="4" w:space="4" w:color="auto"/>
        </w:pBdr>
        <w:spacing w:after="0" w:line="240" w:lineRule="auto"/>
        <w:contextualSpacing/>
        <w:rPr>
          <w:rFonts w:cs="Times New Roman"/>
          <w:noProof/>
          <w:szCs w:val="24"/>
          <w:lang w:val="en-IE"/>
        </w:rPr>
      </w:pPr>
      <w:r w:rsidRPr="00854965">
        <w:rPr>
          <w:rFonts w:cs="Times New Roman"/>
          <w:noProof/>
          <w:szCs w:val="24"/>
        </w:rPr>
        <w:t>Solutions to optimise radiation protection for oncology patients</w:t>
      </w:r>
      <w:r w:rsidRPr="00B9443A">
        <w:rPr>
          <w:rFonts w:cs="Times New Roman"/>
          <w:noProof/>
          <w:szCs w:val="24"/>
        </w:rPr>
        <w:t xml:space="preserve"> (projects SINFONIA, HARMONIC, MEDIRAD)</w:t>
      </w:r>
    </w:p>
    <w:p w14:paraId="7272D9AA" w14:textId="3BEEB7D5" w:rsidR="001749A6" w:rsidRPr="00095D07" w:rsidRDefault="001749A6" w:rsidP="001749A6">
      <w:pPr>
        <w:pStyle w:val="ListParagraph"/>
        <w:numPr>
          <w:ilvl w:val="0"/>
          <w:numId w:val="60"/>
        </w:numPr>
        <w:pBdr>
          <w:top w:val="single" w:sz="4" w:space="1" w:color="auto"/>
          <w:left w:val="single" w:sz="4" w:space="4" w:color="auto"/>
          <w:bottom w:val="single" w:sz="4" w:space="1" w:color="auto"/>
          <w:right w:val="single" w:sz="4" w:space="4" w:color="auto"/>
        </w:pBdr>
        <w:spacing w:after="0" w:line="240" w:lineRule="auto"/>
        <w:contextualSpacing/>
        <w:rPr>
          <w:rFonts w:cs="Times New Roman"/>
          <w:b/>
          <w:bCs/>
          <w:noProof/>
          <w:szCs w:val="24"/>
        </w:rPr>
      </w:pPr>
      <w:r w:rsidRPr="00854965">
        <w:rPr>
          <w:rFonts w:cs="Times New Roman"/>
          <w:noProof/>
          <w:szCs w:val="24"/>
        </w:rPr>
        <w:t>Vision for future research</w:t>
      </w:r>
      <w:r w:rsidRPr="00B9443A">
        <w:rPr>
          <w:rFonts w:cs="Times New Roman"/>
          <w:noProof/>
          <w:szCs w:val="24"/>
        </w:rPr>
        <w:t xml:space="preserve"> </w:t>
      </w:r>
      <w:r>
        <w:rPr>
          <w:rFonts w:cs="Times New Roman"/>
          <w:noProof/>
          <w:szCs w:val="24"/>
        </w:rPr>
        <w:t>–</w:t>
      </w:r>
      <w:r w:rsidRPr="00B9443A">
        <w:rPr>
          <w:rFonts w:cs="Times New Roman"/>
          <w:noProof/>
          <w:szCs w:val="24"/>
        </w:rPr>
        <w:t xml:space="preserve"> </w:t>
      </w:r>
      <w:r w:rsidR="00B77B1A">
        <w:rPr>
          <w:rFonts w:cs="Times New Roman"/>
          <w:noProof/>
          <w:szCs w:val="24"/>
        </w:rPr>
        <w:t>r</w:t>
      </w:r>
      <w:r w:rsidRPr="00095D07">
        <w:rPr>
          <w:rFonts w:cs="Times New Roman"/>
          <w:noProof/>
          <w:szCs w:val="24"/>
        </w:rPr>
        <w:t xml:space="preserve">oadmap on </w:t>
      </w:r>
      <w:r w:rsidR="00B77B1A">
        <w:rPr>
          <w:rFonts w:cs="Times New Roman"/>
          <w:noProof/>
          <w:szCs w:val="24"/>
        </w:rPr>
        <w:t>m</w:t>
      </w:r>
      <w:r w:rsidRPr="00095D07">
        <w:rPr>
          <w:rFonts w:cs="Times New Roman"/>
          <w:noProof/>
          <w:szCs w:val="24"/>
        </w:rPr>
        <w:t xml:space="preserve">edical </w:t>
      </w:r>
      <w:r w:rsidR="00B77B1A">
        <w:rPr>
          <w:rFonts w:cs="Times New Roman"/>
          <w:noProof/>
          <w:szCs w:val="24"/>
        </w:rPr>
        <w:t>a</w:t>
      </w:r>
      <w:r w:rsidRPr="00095D07">
        <w:rPr>
          <w:rFonts w:cs="Times New Roman"/>
          <w:noProof/>
          <w:szCs w:val="24"/>
        </w:rPr>
        <w:t xml:space="preserve">pplications of </w:t>
      </w:r>
      <w:r w:rsidR="00B77B1A">
        <w:rPr>
          <w:rFonts w:cs="Times New Roman"/>
          <w:noProof/>
          <w:szCs w:val="24"/>
        </w:rPr>
        <w:t>i</w:t>
      </w:r>
      <w:r w:rsidRPr="00095D07">
        <w:rPr>
          <w:rFonts w:cs="Times New Roman"/>
          <w:noProof/>
          <w:szCs w:val="24"/>
        </w:rPr>
        <w:t xml:space="preserve">onising </w:t>
      </w:r>
      <w:r w:rsidR="00B77B1A">
        <w:rPr>
          <w:rFonts w:cs="Times New Roman"/>
          <w:noProof/>
          <w:szCs w:val="24"/>
        </w:rPr>
        <w:t>r</w:t>
      </w:r>
      <w:r w:rsidRPr="00095D07">
        <w:rPr>
          <w:rFonts w:cs="Times New Roman"/>
          <w:noProof/>
          <w:szCs w:val="24"/>
        </w:rPr>
        <w:t xml:space="preserve">adiation </w:t>
      </w:r>
      <w:r w:rsidR="00EC3691">
        <w:rPr>
          <w:rFonts w:cs="Times New Roman"/>
          <w:noProof/>
          <w:szCs w:val="24"/>
        </w:rPr>
        <w:t>to improve</w:t>
      </w:r>
      <w:r w:rsidRPr="00095D07">
        <w:rPr>
          <w:rFonts w:cs="Times New Roman"/>
          <w:noProof/>
          <w:szCs w:val="24"/>
        </w:rPr>
        <w:t xml:space="preserve"> </w:t>
      </w:r>
      <w:r w:rsidR="00B77B1A">
        <w:rPr>
          <w:rFonts w:cs="Times New Roman"/>
          <w:noProof/>
          <w:szCs w:val="24"/>
        </w:rPr>
        <w:t>p</w:t>
      </w:r>
      <w:r w:rsidRPr="00095D07">
        <w:rPr>
          <w:rFonts w:cs="Times New Roman"/>
          <w:noProof/>
          <w:szCs w:val="24"/>
        </w:rPr>
        <w:t>atient</w:t>
      </w:r>
      <w:r w:rsidR="00EC3691">
        <w:rPr>
          <w:rFonts w:cs="Times New Roman"/>
          <w:noProof/>
          <w:szCs w:val="24"/>
        </w:rPr>
        <w:t>s’</w:t>
      </w:r>
      <w:r w:rsidRPr="00095D07">
        <w:rPr>
          <w:rFonts w:cs="Times New Roman"/>
          <w:noProof/>
          <w:szCs w:val="24"/>
        </w:rPr>
        <w:t xml:space="preserve"> </w:t>
      </w:r>
      <w:r w:rsidR="00B77B1A">
        <w:rPr>
          <w:rFonts w:cs="Times New Roman"/>
          <w:noProof/>
          <w:szCs w:val="24"/>
        </w:rPr>
        <w:t>l</w:t>
      </w:r>
      <w:r w:rsidRPr="00095D07">
        <w:rPr>
          <w:rFonts w:cs="Times New Roman"/>
          <w:noProof/>
          <w:szCs w:val="24"/>
        </w:rPr>
        <w:t>ives</w:t>
      </w:r>
      <w:r>
        <w:rPr>
          <w:rFonts w:cs="Times New Roman"/>
          <w:noProof/>
          <w:szCs w:val="24"/>
        </w:rPr>
        <w:t xml:space="preserve"> (project EURAMED)</w:t>
      </w:r>
      <w:r w:rsidRPr="00095D07">
        <w:rPr>
          <w:rFonts w:cs="Times New Roman"/>
          <w:b/>
          <w:bCs/>
          <w:noProof/>
          <w:szCs w:val="24"/>
        </w:rPr>
        <w:t> </w:t>
      </w:r>
    </w:p>
    <w:p w14:paraId="133BE7C9" w14:textId="77777777" w:rsidR="001749A6" w:rsidRDefault="001749A6" w:rsidP="00480E78">
      <w:pPr>
        <w:spacing w:after="120"/>
        <w:rPr>
          <w:rFonts w:cs="Times New Roman"/>
          <w:noProof/>
          <w:szCs w:val="24"/>
          <w:highlight w:val="yellow"/>
        </w:rPr>
      </w:pPr>
    </w:p>
    <w:p w14:paraId="3C93C4FD" w14:textId="4160344A" w:rsidR="00D41D61" w:rsidRPr="00BE7CFD" w:rsidRDefault="00D41D61" w:rsidP="00D41D61">
      <w:pPr>
        <w:pStyle w:val="ListParagraph"/>
        <w:numPr>
          <w:ilvl w:val="0"/>
          <w:numId w:val="56"/>
        </w:numPr>
        <w:spacing w:after="120" w:line="259" w:lineRule="auto"/>
        <w:contextualSpacing/>
        <w:rPr>
          <w:rFonts w:cs="Times New Roman"/>
          <w:noProof/>
          <w:szCs w:val="24"/>
        </w:rPr>
      </w:pPr>
      <w:r w:rsidRPr="00BE7CFD">
        <w:rPr>
          <w:rFonts w:cs="Times New Roman"/>
          <w:noProof/>
          <w:szCs w:val="24"/>
        </w:rPr>
        <w:t xml:space="preserve">Results from the Programme indicate </w:t>
      </w:r>
      <w:r w:rsidR="00E17D5D">
        <w:rPr>
          <w:rFonts w:cs="Times New Roman"/>
          <w:noProof/>
          <w:szCs w:val="24"/>
        </w:rPr>
        <w:t xml:space="preserve">there has been </w:t>
      </w:r>
      <w:r w:rsidRPr="00BE7CFD">
        <w:rPr>
          <w:rFonts w:cs="Times New Roman"/>
          <w:noProof/>
          <w:szCs w:val="24"/>
        </w:rPr>
        <w:t xml:space="preserve">some improvement in gender </w:t>
      </w:r>
      <w:r w:rsidR="007F51B2">
        <w:rPr>
          <w:rFonts w:cs="Times New Roman"/>
          <w:noProof/>
          <w:szCs w:val="24"/>
        </w:rPr>
        <w:t>b</w:t>
      </w:r>
      <w:r w:rsidR="00750F66">
        <w:rPr>
          <w:rFonts w:cs="Times New Roman"/>
          <w:noProof/>
          <w:szCs w:val="24"/>
        </w:rPr>
        <w:t>a</w:t>
      </w:r>
      <w:r w:rsidR="007F51B2">
        <w:rPr>
          <w:rFonts w:cs="Times New Roman"/>
          <w:noProof/>
          <w:szCs w:val="24"/>
        </w:rPr>
        <w:t>lance</w:t>
      </w:r>
      <w:r w:rsidRPr="00BE7CFD">
        <w:rPr>
          <w:rFonts w:cs="Times New Roman"/>
          <w:noProof/>
          <w:szCs w:val="24"/>
        </w:rPr>
        <w:t xml:space="preserve">. While similar figures are shared by many other engineering and scientific sectors, it is clear that gender inequality in nuclear </w:t>
      </w:r>
      <w:r>
        <w:rPr>
          <w:rFonts w:cs="Times New Roman"/>
          <w:noProof/>
          <w:szCs w:val="24"/>
        </w:rPr>
        <w:t>research</w:t>
      </w:r>
      <w:r w:rsidRPr="00BE7CFD">
        <w:rPr>
          <w:rFonts w:cs="Times New Roman"/>
          <w:noProof/>
          <w:szCs w:val="24"/>
        </w:rPr>
        <w:t xml:space="preserve"> must be addressed much more vigorously under </w:t>
      </w:r>
      <w:r>
        <w:rPr>
          <w:rFonts w:cs="Times New Roman"/>
          <w:noProof/>
          <w:szCs w:val="24"/>
        </w:rPr>
        <w:t xml:space="preserve">the </w:t>
      </w:r>
      <w:r w:rsidRPr="00BE7CFD">
        <w:rPr>
          <w:rFonts w:cs="Times New Roman"/>
          <w:noProof/>
          <w:szCs w:val="24"/>
        </w:rPr>
        <w:t>current and future Euratom programmes.</w:t>
      </w:r>
    </w:p>
    <w:p w14:paraId="0BF8F92D" w14:textId="742AF57F" w:rsidR="00D41D61" w:rsidRPr="00F7024C" w:rsidRDefault="00D41D61" w:rsidP="00D41D61">
      <w:pPr>
        <w:pStyle w:val="ListParagraph"/>
        <w:numPr>
          <w:ilvl w:val="0"/>
          <w:numId w:val="58"/>
        </w:numPr>
        <w:pBdr>
          <w:top w:val="single" w:sz="4" w:space="1" w:color="auto"/>
          <w:left w:val="single" w:sz="4" w:space="4" w:color="auto"/>
          <w:bottom w:val="single" w:sz="4" w:space="1" w:color="auto"/>
          <w:right w:val="single" w:sz="4" w:space="4" w:color="auto"/>
        </w:pBdr>
        <w:spacing w:after="0" w:line="240" w:lineRule="auto"/>
        <w:contextualSpacing/>
        <w:rPr>
          <w:rFonts w:eastAsia="Times New Roman" w:cs="Times New Roman"/>
          <w:noProof/>
          <w:color w:val="0E101A"/>
          <w:szCs w:val="24"/>
          <w:lang w:val="en-IE" w:eastAsia="en-IE"/>
        </w:rPr>
      </w:pPr>
      <w:r w:rsidRPr="00F7024C">
        <w:rPr>
          <w:rFonts w:eastAsia="Times New Roman" w:cs="Times New Roman"/>
          <w:noProof/>
          <w:color w:val="0E101A"/>
          <w:szCs w:val="24"/>
          <w:lang w:val="en-IE" w:eastAsia="en-IE"/>
        </w:rPr>
        <w:t>In fission</w:t>
      </w:r>
      <w:r w:rsidR="00E17D5D">
        <w:rPr>
          <w:rFonts w:eastAsia="Times New Roman" w:cs="Times New Roman"/>
          <w:noProof/>
          <w:color w:val="0E101A"/>
          <w:szCs w:val="24"/>
          <w:lang w:val="en-IE" w:eastAsia="en-IE"/>
        </w:rPr>
        <w:t>-</w:t>
      </w:r>
      <w:r w:rsidRPr="00F7024C">
        <w:rPr>
          <w:rFonts w:eastAsia="Times New Roman" w:cs="Times New Roman"/>
          <w:noProof/>
          <w:color w:val="0E101A"/>
          <w:szCs w:val="24"/>
          <w:lang w:val="en-IE" w:eastAsia="en-IE"/>
        </w:rPr>
        <w:t>research projects</w:t>
      </w:r>
      <w:r w:rsidR="00E17D5D">
        <w:rPr>
          <w:rFonts w:eastAsia="Times New Roman" w:cs="Times New Roman"/>
          <w:noProof/>
          <w:color w:val="0E101A"/>
          <w:szCs w:val="24"/>
          <w:lang w:val="en-IE" w:eastAsia="en-IE"/>
        </w:rPr>
        <w:t>,</w:t>
      </w:r>
      <w:r>
        <w:rPr>
          <w:rFonts w:eastAsia="Times New Roman" w:cs="Times New Roman"/>
          <w:noProof/>
          <w:color w:val="0E101A"/>
          <w:szCs w:val="24"/>
          <w:lang w:val="en-IE" w:eastAsia="en-IE"/>
        </w:rPr>
        <w:t xml:space="preserve"> women accounted for</w:t>
      </w:r>
      <w:r w:rsidRPr="00F7024C">
        <w:rPr>
          <w:rFonts w:eastAsia="Times New Roman" w:cs="Times New Roman"/>
          <w:noProof/>
          <w:color w:val="0E101A"/>
          <w:szCs w:val="24"/>
          <w:lang w:val="en-IE" w:eastAsia="en-IE"/>
        </w:rPr>
        <w:t xml:space="preserve"> </w:t>
      </w:r>
      <w:r w:rsidRPr="00854965">
        <w:rPr>
          <w:rFonts w:eastAsia="Times New Roman" w:cs="Times New Roman"/>
          <w:noProof/>
          <w:color w:val="0E101A"/>
          <w:szCs w:val="24"/>
          <w:lang w:val="en-IE" w:eastAsia="en-IE"/>
        </w:rPr>
        <w:t>29% of researchers</w:t>
      </w:r>
      <w:r>
        <w:rPr>
          <w:rFonts w:eastAsia="Times New Roman" w:cs="Times New Roman"/>
          <w:b/>
          <w:bCs/>
          <w:noProof/>
          <w:color w:val="0E101A"/>
          <w:szCs w:val="24"/>
          <w:lang w:val="en-IE" w:eastAsia="en-IE"/>
        </w:rPr>
        <w:t xml:space="preserve"> </w:t>
      </w:r>
    </w:p>
    <w:p w14:paraId="697BEFF6" w14:textId="6BFE7D94" w:rsidR="00D41D61" w:rsidRPr="00BB3ECF" w:rsidRDefault="00D41D61" w:rsidP="00D41D61">
      <w:pPr>
        <w:pStyle w:val="ListParagraph"/>
        <w:numPr>
          <w:ilvl w:val="0"/>
          <w:numId w:val="58"/>
        </w:numPr>
        <w:pBdr>
          <w:top w:val="single" w:sz="4" w:space="1" w:color="auto"/>
          <w:left w:val="single" w:sz="4" w:space="4" w:color="auto"/>
          <w:bottom w:val="single" w:sz="4" w:space="1" w:color="auto"/>
          <w:right w:val="single" w:sz="4" w:space="4" w:color="auto"/>
        </w:pBdr>
        <w:spacing w:after="0" w:line="240" w:lineRule="auto"/>
        <w:contextualSpacing/>
        <w:rPr>
          <w:rFonts w:eastAsia="Times New Roman" w:cs="Times New Roman"/>
          <w:noProof/>
          <w:color w:val="0E101A"/>
          <w:szCs w:val="24"/>
          <w:lang w:val="en-IE" w:eastAsia="en-IE"/>
        </w:rPr>
      </w:pPr>
      <w:r w:rsidRPr="00BB3ECF">
        <w:rPr>
          <w:rFonts w:eastAsia="Times New Roman" w:cs="Times New Roman"/>
          <w:noProof/>
          <w:color w:val="0E101A"/>
          <w:szCs w:val="24"/>
          <w:lang w:val="en-IE" w:eastAsia="en-IE"/>
        </w:rPr>
        <w:t>In fusion</w:t>
      </w:r>
      <w:r w:rsidR="00E17D5D">
        <w:rPr>
          <w:rFonts w:eastAsia="Times New Roman" w:cs="Times New Roman"/>
          <w:noProof/>
          <w:color w:val="0E101A"/>
          <w:szCs w:val="24"/>
          <w:lang w:val="en-IE" w:eastAsia="en-IE"/>
        </w:rPr>
        <w:t>-</w:t>
      </w:r>
      <w:r w:rsidRPr="00BB3ECF">
        <w:rPr>
          <w:rFonts w:eastAsia="Times New Roman" w:cs="Times New Roman"/>
          <w:noProof/>
          <w:color w:val="0E101A"/>
          <w:szCs w:val="24"/>
          <w:lang w:val="en-IE" w:eastAsia="en-IE"/>
        </w:rPr>
        <w:t>research</w:t>
      </w:r>
      <w:r w:rsidR="00E17D5D">
        <w:rPr>
          <w:rFonts w:eastAsia="Times New Roman" w:cs="Times New Roman"/>
          <w:noProof/>
          <w:color w:val="0E101A"/>
          <w:szCs w:val="24"/>
          <w:lang w:val="en-IE" w:eastAsia="en-IE"/>
        </w:rPr>
        <w:t xml:space="preserve"> projects the</w:t>
      </w:r>
      <w:r w:rsidRPr="00BB3ECF">
        <w:rPr>
          <w:rFonts w:eastAsia="Times New Roman" w:cs="Times New Roman"/>
          <w:noProof/>
          <w:color w:val="0E101A"/>
          <w:szCs w:val="24"/>
          <w:lang w:val="en-IE" w:eastAsia="en-IE"/>
        </w:rPr>
        <w:t xml:space="preserve"> percentage of woman </w:t>
      </w:r>
      <w:r w:rsidRPr="00854965">
        <w:rPr>
          <w:rFonts w:eastAsia="Times New Roman" w:cs="Times New Roman"/>
          <w:noProof/>
          <w:color w:val="0E101A"/>
          <w:szCs w:val="24"/>
          <w:lang w:val="en-IE" w:eastAsia="en-IE"/>
        </w:rPr>
        <w:t xml:space="preserve">increased from 18% to 23% </w:t>
      </w:r>
      <w:r w:rsidR="00EC3691">
        <w:rPr>
          <w:rFonts w:eastAsia="Times New Roman" w:cs="Times New Roman"/>
          <w:noProof/>
          <w:color w:val="0E101A"/>
          <w:szCs w:val="24"/>
          <w:lang w:val="en-IE" w:eastAsia="en-IE"/>
        </w:rPr>
        <w:t xml:space="preserve">of </w:t>
      </w:r>
      <w:r w:rsidRPr="00854965">
        <w:rPr>
          <w:rFonts w:eastAsia="Times New Roman" w:cs="Times New Roman"/>
          <w:noProof/>
          <w:color w:val="0E101A"/>
          <w:szCs w:val="24"/>
          <w:lang w:val="en-IE" w:eastAsia="en-IE"/>
        </w:rPr>
        <w:t>researchers</w:t>
      </w:r>
    </w:p>
    <w:p w14:paraId="03A5C732" w14:textId="77777777" w:rsidR="001749A6" w:rsidRPr="007C4BD5" w:rsidRDefault="001749A6" w:rsidP="00480E78">
      <w:pPr>
        <w:spacing w:after="120"/>
        <w:rPr>
          <w:rFonts w:cs="Times New Roman"/>
          <w:noProof/>
          <w:szCs w:val="24"/>
          <w:highlight w:val="yellow"/>
          <w:lang w:val="en-IE"/>
        </w:rPr>
      </w:pPr>
    </w:p>
    <w:p w14:paraId="4A8219BF" w14:textId="3DF6DAD4" w:rsidR="00D41D61" w:rsidRPr="009037C9" w:rsidRDefault="00E17D5D" w:rsidP="007C4BD5">
      <w:pPr>
        <w:pStyle w:val="ListParagraph"/>
        <w:numPr>
          <w:ilvl w:val="0"/>
          <w:numId w:val="56"/>
        </w:numPr>
        <w:spacing w:after="120" w:line="259" w:lineRule="auto"/>
        <w:contextualSpacing/>
        <w:rPr>
          <w:rFonts w:cs="Times New Roman"/>
          <w:noProof/>
          <w:szCs w:val="24"/>
        </w:rPr>
      </w:pPr>
      <w:r>
        <w:rPr>
          <w:rFonts w:cs="Times New Roman"/>
          <w:noProof/>
          <w:szCs w:val="24"/>
        </w:rPr>
        <w:t>The e</w:t>
      </w:r>
      <w:r w:rsidR="00D41D61" w:rsidRPr="00A703E4">
        <w:rPr>
          <w:rFonts w:cs="Times New Roman"/>
          <w:noProof/>
          <w:szCs w:val="24"/>
        </w:rPr>
        <w:t xml:space="preserve">valuation of the Programme highlighted the need for better communication and visibility for nuclear research, which will also </w:t>
      </w:r>
      <w:r>
        <w:rPr>
          <w:rFonts w:cs="Times New Roman"/>
          <w:noProof/>
          <w:szCs w:val="24"/>
        </w:rPr>
        <w:t xml:space="preserve">help to </w:t>
      </w:r>
      <w:r w:rsidR="00D41D61" w:rsidRPr="00A703E4">
        <w:rPr>
          <w:rFonts w:cs="Times New Roman"/>
          <w:noProof/>
          <w:szCs w:val="24"/>
        </w:rPr>
        <w:t>improve</w:t>
      </w:r>
      <w:r>
        <w:rPr>
          <w:rFonts w:cs="Times New Roman"/>
          <w:noProof/>
          <w:szCs w:val="24"/>
        </w:rPr>
        <w:t xml:space="preserve"> both the</w:t>
      </w:r>
      <w:r w:rsidR="00D41D61" w:rsidRPr="00A703E4">
        <w:rPr>
          <w:rFonts w:cs="Times New Roman"/>
          <w:noProof/>
          <w:szCs w:val="24"/>
        </w:rPr>
        <w:t xml:space="preserve"> quality of scientific assessment and</w:t>
      </w:r>
      <w:r>
        <w:rPr>
          <w:rFonts w:cs="Times New Roman"/>
          <w:noProof/>
          <w:szCs w:val="24"/>
        </w:rPr>
        <w:t xml:space="preserve"> the</w:t>
      </w:r>
      <w:r w:rsidR="00D41D61" w:rsidRPr="00A703E4">
        <w:rPr>
          <w:rFonts w:cs="Times New Roman"/>
          <w:noProof/>
          <w:szCs w:val="24"/>
        </w:rPr>
        <w:t xml:space="preserve"> uptake of research results. The Commission will encourage further outreach towards policymakers and other key stakeholders. In its new nuclear strategy for 2021-2025, the JRC has </w:t>
      </w:r>
      <w:r w:rsidR="00D41D61">
        <w:rPr>
          <w:rFonts w:cs="Times New Roman"/>
          <w:noProof/>
          <w:szCs w:val="24"/>
        </w:rPr>
        <w:t xml:space="preserve">already </w:t>
      </w:r>
      <w:r>
        <w:rPr>
          <w:rFonts w:cs="Times New Roman"/>
          <w:noProof/>
          <w:szCs w:val="24"/>
        </w:rPr>
        <w:t>drawn up</w:t>
      </w:r>
      <w:r w:rsidRPr="00A703E4">
        <w:rPr>
          <w:rFonts w:cs="Times New Roman"/>
          <w:noProof/>
          <w:szCs w:val="24"/>
        </w:rPr>
        <w:t xml:space="preserve"> </w:t>
      </w:r>
      <w:r w:rsidR="00D41D61" w:rsidRPr="00A703E4">
        <w:rPr>
          <w:rFonts w:cs="Times New Roman"/>
          <w:noProof/>
          <w:szCs w:val="24"/>
        </w:rPr>
        <w:t xml:space="preserve">a plan for systematic and targeted communication on nuclear activities. </w:t>
      </w:r>
    </w:p>
    <w:p w14:paraId="168B01A0" w14:textId="7493F88D" w:rsidR="00380A83" w:rsidRPr="007C4BD5" w:rsidRDefault="00380A83" w:rsidP="00380A83">
      <w:pPr>
        <w:numPr>
          <w:ilvl w:val="1"/>
          <w:numId w:val="1"/>
        </w:numPr>
        <w:spacing w:after="120"/>
        <w:jc w:val="both"/>
        <w:rPr>
          <w:rFonts w:ascii="Times New Roman" w:hAnsi="Times New Roman" w:cs="Times New Roman"/>
          <w:b/>
          <w:bCs/>
          <w:noProof/>
          <w:color w:val="000000" w:themeColor="text1"/>
          <w:sz w:val="24"/>
          <w:szCs w:val="24"/>
        </w:rPr>
      </w:pPr>
      <w:r>
        <w:rPr>
          <w:rFonts w:ascii="Times New Roman" w:hAnsi="Times New Roman" w:cs="Times New Roman"/>
          <w:b/>
          <w:bCs/>
          <w:noProof/>
          <w:color w:val="000000" w:themeColor="text1"/>
          <w:sz w:val="24"/>
          <w:szCs w:val="24"/>
        </w:rPr>
        <w:t>Lessons learned</w:t>
      </w:r>
    </w:p>
    <w:p w14:paraId="5680394A" w14:textId="4235CE62" w:rsidR="00380A83" w:rsidRPr="00C74097" w:rsidRDefault="00380A83" w:rsidP="00380A83">
      <w:pPr>
        <w:jc w:val="both"/>
        <w:rPr>
          <w:rFonts w:ascii="Times New Roman" w:hAnsi="Times New Roman" w:cs="Times New Roman"/>
          <w:noProof/>
          <w:sz w:val="24"/>
          <w:szCs w:val="28"/>
        </w:rPr>
      </w:pPr>
      <w:r w:rsidRPr="00C74097">
        <w:rPr>
          <w:rFonts w:ascii="Times New Roman" w:hAnsi="Times New Roman" w:cs="Times New Roman"/>
          <w:noProof/>
          <w:sz w:val="24"/>
          <w:szCs w:val="28"/>
        </w:rPr>
        <w:t xml:space="preserve">The </w:t>
      </w:r>
      <w:r w:rsidRPr="00C7423D">
        <w:rPr>
          <w:rFonts w:ascii="Times New Roman" w:hAnsi="Times New Roman" w:cs="Times New Roman"/>
          <w:i/>
          <w:noProof/>
          <w:sz w:val="24"/>
          <w:szCs w:val="28"/>
        </w:rPr>
        <w:t>ex</w:t>
      </w:r>
      <w:r w:rsidR="001C76E1" w:rsidRPr="00C7423D">
        <w:rPr>
          <w:rFonts w:ascii="Times New Roman" w:hAnsi="Times New Roman" w:cs="Times New Roman"/>
          <w:i/>
          <w:noProof/>
          <w:sz w:val="24"/>
          <w:szCs w:val="28"/>
        </w:rPr>
        <w:t xml:space="preserve"> </w:t>
      </w:r>
      <w:r w:rsidRPr="00C7423D">
        <w:rPr>
          <w:rFonts w:ascii="Times New Roman" w:hAnsi="Times New Roman" w:cs="Times New Roman"/>
          <w:i/>
          <w:noProof/>
          <w:sz w:val="24"/>
          <w:szCs w:val="28"/>
        </w:rPr>
        <w:t>post</w:t>
      </w:r>
      <w:r w:rsidRPr="00C74097">
        <w:rPr>
          <w:rFonts w:ascii="Times New Roman" w:hAnsi="Times New Roman" w:cs="Times New Roman"/>
          <w:noProof/>
          <w:sz w:val="24"/>
          <w:szCs w:val="28"/>
        </w:rPr>
        <w:t xml:space="preserve"> evaluation has yielded significant evidence-based findings, highlighting key areas for improvement.</w:t>
      </w:r>
    </w:p>
    <w:p w14:paraId="1022A281" w14:textId="7327026C" w:rsidR="00380A83" w:rsidRPr="00C74097" w:rsidRDefault="00380A83" w:rsidP="00380A83">
      <w:pPr>
        <w:jc w:val="both"/>
        <w:rPr>
          <w:rFonts w:ascii="Times New Roman" w:hAnsi="Times New Roman" w:cs="Times New Roman"/>
          <w:noProof/>
          <w:sz w:val="24"/>
          <w:szCs w:val="28"/>
        </w:rPr>
      </w:pPr>
      <w:r w:rsidRPr="00C74097">
        <w:rPr>
          <w:rFonts w:ascii="Times New Roman" w:hAnsi="Times New Roman" w:cs="Times New Roman"/>
          <w:noProof/>
          <w:sz w:val="24"/>
          <w:szCs w:val="28"/>
        </w:rPr>
        <w:t xml:space="preserve">For indirect actions in fission research (nuclear safety), the evaluation suggests that efficiency could be improved by supporting larger, more integrated projects encompassing all the different issues and aspects of a particular topic, for example, the effects of ageing in reactor pressure vessels. To guarantee an </w:t>
      </w:r>
      <w:r w:rsidR="00E17D5D">
        <w:rPr>
          <w:rFonts w:ascii="Times New Roman" w:hAnsi="Times New Roman" w:cs="Times New Roman"/>
          <w:noProof/>
          <w:sz w:val="24"/>
          <w:szCs w:val="28"/>
        </w:rPr>
        <w:t>appropriate</w:t>
      </w:r>
      <w:r w:rsidR="00E17D5D" w:rsidRPr="00C74097">
        <w:rPr>
          <w:rFonts w:ascii="Times New Roman" w:hAnsi="Times New Roman" w:cs="Times New Roman"/>
          <w:noProof/>
          <w:sz w:val="24"/>
          <w:szCs w:val="28"/>
        </w:rPr>
        <w:t xml:space="preserve"> </w:t>
      </w:r>
      <w:r w:rsidRPr="00C74097">
        <w:rPr>
          <w:rFonts w:ascii="Times New Roman" w:hAnsi="Times New Roman" w:cs="Times New Roman"/>
          <w:noProof/>
          <w:sz w:val="24"/>
          <w:szCs w:val="28"/>
        </w:rPr>
        <w:t xml:space="preserve">engineering approach and system integration, </w:t>
      </w:r>
      <w:r w:rsidR="00E17D5D">
        <w:rPr>
          <w:rFonts w:ascii="Times New Roman" w:hAnsi="Times New Roman" w:cs="Times New Roman"/>
          <w:noProof/>
          <w:sz w:val="24"/>
          <w:szCs w:val="28"/>
        </w:rPr>
        <w:t xml:space="preserve">the evaluation said that </w:t>
      </w:r>
      <w:r w:rsidRPr="00C74097">
        <w:rPr>
          <w:rFonts w:ascii="Times New Roman" w:hAnsi="Times New Roman" w:cs="Times New Roman"/>
          <w:noProof/>
          <w:sz w:val="24"/>
          <w:szCs w:val="28"/>
        </w:rPr>
        <w:t>European industry should coordinate safety projects related to developing new power reactors. Work should also continue on integrati</w:t>
      </w:r>
      <w:r w:rsidR="00072043">
        <w:rPr>
          <w:rFonts w:ascii="Times New Roman" w:hAnsi="Times New Roman" w:cs="Times New Roman"/>
          <w:noProof/>
          <w:sz w:val="24"/>
          <w:szCs w:val="28"/>
        </w:rPr>
        <w:t>ng</w:t>
      </w:r>
      <w:r w:rsidRPr="00C74097">
        <w:rPr>
          <w:rFonts w:ascii="Times New Roman" w:hAnsi="Times New Roman" w:cs="Times New Roman"/>
          <w:noProof/>
          <w:sz w:val="24"/>
          <w:szCs w:val="28"/>
        </w:rPr>
        <w:t xml:space="preserve"> the research done with the support of the Euratom grants (indirect actions) with</w:t>
      </w:r>
      <w:r w:rsidR="00072043">
        <w:rPr>
          <w:rFonts w:ascii="Times New Roman" w:hAnsi="Times New Roman" w:cs="Times New Roman"/>
          <w:noProof/>
          <w:sz w:val="24"/>
          <w:szCs w:val="28"/>
        </w:rPr>
        <w:t xml:space="preserve"> both: (i)</w:t>
      </w:r>
      <w:r w:rsidRPr="00C74097">
        <w:rPr>
          <w:rFonts w:ascii="Times New Roman" w:hAnsi="Times New Roman" w:cs="Times New Roman"/>
          <w:noProof/>
          <w:sz w:val="24"/>
          <w:szCs w:val="28"/>
        </w:rPr>
        <w:t xml:space="preserve"> the relevant work carried out at the national level</w:t>
      </w:r>
      <w:r w:rsidR="00072043">
        <w:rPr>
          <w:rFonts w:ascii="Times New Roman" w:hAnsi="Times New Roman" w:cs="Times New Roman"/>
          <w:noProof/>
          <w:sz w:val="24"/>
          <w:szCs w:val="28"/>
        </w:rPr>
        <w:t>;</w:t>
      </w:r>
      <w:r w:rsidRPr="00C74097">
        <w:rPr>
          <w:rFonts w:ascii="Times New Roman" w:hAnsi="Times New Roman" w:cs="Times New Roman"/>
          <w:noProof/>
          <w:sz w:val="24"/>
          <w:szCs w:val="28"/>
        </w:rPr>
        <w:t xml:space="preserve"> and </w:t>
      </w:r>
      <w:r w:rsidR="00072043">
        <w:rPr>
          <w:rFonts w:ascii="Times New Roman" w:hAnsi="Times New Roman" w:cs="Times New Roman"/>
          <w:noProof/>
          <w:sz w:val="24"/>
          <w:szCs w:val="28"/>
        </w:rPr>
        <w:t xml:space="preserve">(ii) relevant work carried out </w:t>
      </w:r>
      <w:r w:rsidR="00162E7A">
        <w:rPr>
          <w:rFonts w:ascii="Times New Roman" w:hAnsi="Times New Roman" w:cs="Times New Roman"/>
          <w:noProof/>
          <w:sz w:val="24"/>
          <w:szCs w:val="28"/>
        </w:rPr>
        <w:t>through</w:t>
      </w:r>
      <w:r w:rsidR="00162E7A" w:rsidRPr="00C74097">
        <w:rPr>
          <w:rFonts w:ascii="Times New Roman" w:hAnsi="Times New Roman" w:cs="Times New Roman"/>
          <w:noProof/>
          <w:sz w:val="24"/>
          <w:szCs w:val="28"/>
        </w:rPr>
        <w:t xml:space="preserve"> </w:t>
      </w:r>
      <w:r w:rsidRPr="00C74097">
        <w:rPr>
          <w:rFonts w:ascii="Times New Roman" w:hAnsi="Times New Roman" w:cs="Times New Roman"/>
          <w:noProof/>
          <w:sz w:val="24"/>
          <w:szCs w:val="28"/>
        </w:rPr>
        <w:t>Euratom direct actions (carried out by the JRC). Finally,</w:t>
      </w:r>
      <w:r w:rsidR="00072043">
        <w:rPr>
          <w:rFonts w:ascii="Times New Roman" w:hAnsi="Times New Roman" w:cs="Times New Roman"/>
          <w:noProof/>
          <w:sz w:val="24"/>
          <w:szCs w:val="28"/>
        </w:rPr>
        <w:t xml:space="preserve"> the evaluation recommended that</w:t>
      </w:r>
      <w:r w:rsidRPr="00C74097">
        <w:rPr>
          <w:rFonts w:ascii="Times New Roman" w:hAnsi="Times New Roman" w:cs="Times New Roman"/>
          <w:noProof/>
          <w:sz w:val="24"/>
          <w:szCs w:val="28"/>
        </w:rPr>
        <w:t xml:space="preserve"> international cooperation should be </w:t>
      </w:r>
      <w:r w:rsidR="00072043">
        <w:rPr>
          <w:rFonts w:ascii="Times New Roman" w:hAnsi="Times New Roman" w:cs="Times New Roman"/>
          <w:noProof/>
          <w:sz w:val="24"/>
          <w:szCs w:val="28"/>
        </w:rPr>
        <w:t>increased</w:t>
      </w:r>
      <w:r w:rsidR="00072043" w:rsidRPr="00C74097">
        <w:rPr>
          <w:rFonts w:ascii="Times New Roman" w:hAnsi="Times New Roman" w:cs="Times New Roman"/>
          <w:noProof/>
          <w:sz w:val="24"/>
          <w:szCs w:val="28"/>
        </w:rPr>
        <w:t xml:space="preserve"> </w:t>
      </w:r>
      <w:r w:rsidRPr="00C74097">
        <w:rPr>
          <w:rFonts w:ascii="Times New Roman" w:hAnsi="Times New Roman" w:cs="Times New Roman"/>
          <w:noProof/>
          <w:sz w:val="24"/>
          <w:szCs w:val="28"/>
        </w:rPr>
        <w:t>to include relevant research under the auspices of the IAEA and the OECD</w:t>
      </w:r>
      <w:r w:rsidR="00C60CE2">
        <w:rPr>
          <w:rFonts w:ascii="Times New Roman" w:hAnsi="Times New Roman" w:cs="Times New Roman"/>
          <w:noProof/>
          <w:sz w:val="24"/>
          <w:szCs w:val="28"/>
        </w:rPr>
        <w:t>-</w:t>
      </w:r>
      <w:r w:rsidRPr="00C74097">
        <w:rPr>
          <w:rFonts w:ascii="Times New Roman" w:hAnsi="Times New Roman" w:cs="Times New Roman"/>
          <w:noProof/>
          <w:sz w:val="24"/>
          <w:szCs w:val="28"/>
        </w:rPr>
        <w:t>NEA.</w:t>
      </w:r>
    </w:p>
    <w:p w14:paraId="1BC0E171" w14:textId="3A94EA1D" w:rsidR="00380A83" w:rsidRPr="00C74097" w:rsidRDefault="00380A83" w:rsidP="00380A83">
      <w:pPr>
        <w:jc w:val="both"/>
        <w:rPr>
          <w:rFonts w:ascii="Times New Roman" w:hAnsi="Times New Roman" w:cs="Times New Roman"/>
          <w:noProof/>
          <w:sz w:val="24"/>
          <w:szCs w:val="28"/>
        </w:rPr>
      </w:pPr>
      <w:r w:rsidRPr="00C74097">
        <w:rPr>
          <w:rFonts w:ascii="Times New Roman" w:hAnsi="Times New Roman" w:cs="Times New Roman"/>
          <w:noProof/>
          <w:sz w:val="24"/>
          <w:szCs w:val="28"/>
        </w:rPr>
        <w:t xml:space="preserve">The evaluation has identified a need for improved reporting </w:t>
      </w:r>
      <w:r w:rsidR="00072043">
        <w:rPr>
          <w:rFonts w:ascii="Times New Roman" w:hAnsi="Times New Roman" w:cs="Times New Roman"/>
          <w:noProof/>
          <w:sz w:val="24"/>
          <w:szCs w:val="28"/>
        </w:rPr>
        <w:t>by</w:t>
      </w:r>
      <w:r w:rsidR="00072043" w:rsidRPr="00C74097">
        <w:rPr>
          <w:rFonts w:ascii="Times New Roman" w:hAnsi="Times New Roman" w:cs="Times New Roman"/>
          <w:noProof/>
          <w:sz w:val="24"/>
          <w:szCs w:val="28"/>
        </w:rPr>
        <w:t xml:space="preserve"> </w:t>
      </w:r>
      <w:r w:rsidRPr="00C74097">
        <w:rPr>
          <w:rFonts w:ascii="Times New Roman" w:hAnsi="Times New Roman" w:cs="Times New Roman"/>
          <w:noProof/>
          <w:sz w:val="24"/>
          <w:szCs w:val="28"/>
        </w:rPr>
        <w:t>consortia implementing Euratom-funded fission projects. Clear, concise, and factual reporting is crucial to provide a comprehensive understanding of the projects</w:t>
      </w:r>
      <w:r w:rsidR="007F51B2">
        <w:rPr>
          <w:rFonts w:ascii="Times New Roman" w:hAnsi="Times New Roman" w:cs="Times New Roman"/>
          <w:noProof/>
          <w:sz w:val="24"/>
          <w:szCs w:val="28"/>
        </w:rPr>
        <w:t>’</w:t>
      </w:r>
      <w:r w:rsidRPr="00C74097">
        <w:rPr>
          <w:rFonts w:ascii="Times New Roman" w:hAnsi="Times New Roman" w:cs="Times New Roman"/>
          <w:noProof/>
          <w:sz w:val="24"/>
          <w:szCs w:val="28"/>
        </w:rPr>
        <w:t xml:space="preserve"> progress, achievements and expected outcomes. </w:t>
      </w:r>
    </w:p>
    <w:p w14:paraId="519576D4" w14:textId="00213ED5" w:rsidR="00380A83" w:rsidRPr="00C74097" w:rsidRDefault="00E97E57" w:rsidP="00380A83">
      <w:pPr>
        <w:jc w:val="both"/>
        <w:rPr>
          <w:rFonts w:ascii="Times New Roman" w:hAnsi="Times New Roman" w:cs="Times New Roman"/>
          <w:noProof/>
          <w:sz w:val="24"/>
          <w:szCs w:val="28"/>
        </w:rPr>
      </w:pPr>
      <w:r>
        <w:rPr>
          <w:rFonts w:ascii="Times New Roman" w:hAnsi="Times New Roman" w:cs="Times New Roman"/>
          <w:noProof/>
          <w:sz w:val="24"/>
          <w:szCs w:val="28"/>
        </w:rPr>
        <w:t>T</w:t>
      </w:r>
      <w:r w:rsidR="00380A83" w:rsidRPr="00C74097">
        <w:rPr>
          <w:rFonts w:ascii="Times New Roman" w:hAnsi="Times New Roman" w:cs="Times New Roman"/>
          <w:noProof/>
          <w:sz w:val="24"/>
          <w:szCs w:val="28"/>
        </w:rPr>
        <w:t xml:space="preserve">he evaluation shows that further progress in </w:t>
      </w:r>
      <w:r w:rsidRPr="00C74097">
        <w:rPr>
          <w:rFonts w:ascii="Times New Roman" w:hAnsi="Times New Roman" w:cs="Times New Roman"/>
          <w:noProof/>
          <w:sz w:val="24"/>
          <w:szCs w:val="28"/>
        </w:rPr>
        <w:t>research on advanced nuclear systems</w:t>
      </w:r>
      <w:r w:rsidR="00380A83" w:rsidRPr="00C74097">
        <w:rPr>
          <w:rFonts w:ascii="Times New Roman" w:hAnsi="Times New Roman" w:cs="Times New Roman"/>
          <w:noProof/>
          <w:sz w:val="24"/>
          <w:szCs w:val="28"/>
        </w:rPr>
        <w:t xml:space="preserve"> </w:t>
      </w:r>
      <w:r w:rsidR="001E1B2C">
        <w:rPr>
          <w:rFonts w:ascii="Times New Roman" w:hAnsi="Times New Roman" w:cs="Times New Roman"/>
          <w:noProof/>
          <w:sz w:val="24"/>
          <w:szCs w:val="28"/>
        </w:rPr>
        <w:t xml:space="preserve">will </w:t>
      </w:r>
      <w:r w:rsidR="00380A83" w:rsidRPr="00C74097">
        <w:rPr>
          <w:rFonts w:ascii="Times New Roman" w:hAnsi="Times New Roman" w:cs="Times New Roman"/>
          <w:noProof/>
          <w:sz w:val="24"/>
          <w:szCs w:val="28"/>
        </w:rPr>
        <w:t>require concentrating efforts and resources on the few advanced nuclear systems and applications that are really of interest to European industr</w:t>
      </w:r>
      <w:r w:rsidR="000833E6">
        <w:rPr>
          <w:rFonts w:ascii="Times New Roman" w:hAnsi="Times New Roman" w:cs="Times New Roman"/>
          <w:noProof/>
          <w:sz w:val="24"/>
          <w:szCs w:val="28"/>
        </w:rPr>
        <w:t>y</w:t>
      </w:r>
      <w:r w:rsidR="00380A83" w:rsidRPr="00C74097">
        <w:rPr>
          <w:rFonts w:ascii="Times New Roman" w:hAnsi="Times New Roman" w:cs="Times New Roman"/>
          <w:noProof/>
          <w:sz w:val="24"/>
          <w:szCs w:val="28"/>
        </w:rPr>
        <w:t xml:space="preserve">. </w:t>
      </w:r>
    </w:p>
    <w:p w14:paraId="6DFC877E" w14:textId="3A40C983" w:rsidR="00380A83" w:rsidRPr="00C74097" w:rsidRDefault="00380A83" w:rsidP="00380A83">
      <w:pPr>
        <w:jc w:val="both"/>
        <w:rPr>
          <w:rFonts w:ascii="Times New Roman" w:hAnsi="Times New Roman" w:cs="Times New Roman"/>
          <w:noProof/>
          <w:sz w:val="24"/>
          <w:szCs w:val="28"/>
        </w:rPr>
      </w:pPr>
      <w:r w:rsidRPr="00C74097">
        <w:rPr>
          <w:rFonts w:ascii="Times New Roman" w:hAnsi="Times New Roman" w:cs="Times New Roman"/>
          <w:noProof/>
          <w:sz w:val="24"/>
          <w:szCs w:val="28"/>
        </w:rPr>
        <w:t xml:space="preserve">Experts recommended </w:t>
      </w:r>
      <w:r w:rsidR="00E96EC5">
        <w:rPr>
          <w:rFonts w:ascii="Times New Roman" w:hAnsi="Times New Roman" w:cs="Times New Roman"/>
          <w:noProof/>
          <w:sz w:val="24"/>
          <w:szCs w:val="28"/>
        </w:rPr>
        <w:t>to get</w:t>
      </w:r>
      <w:r w:rsidR="007D3628">
        <w:rPr>
          <w:rFonts w:ascii="Times New Roman" w:hAnsi="Times New Roman" w:cs="Times New Roman"/>
          <w:noProof/>
          <w:sz w:val="24"/>
          <w:szCs w:val="28"/>
        </w:rPr>
        <w:t xml:space="preserve"> involve</w:t>
      </w:r>
      <w:r w:rsidR="00E96EC5">
        <w:rPr>
          <w:rFonts w:ascii="Times New Roman" w:hAnsi="Times New Roman" w:cs="Times New Roman"/>
          <w:noProof/>
          <w:sz w:val="24"/>
          <w:szCs w:val="28"/>
        </w:rPr>
        <w:t>d</w:t>
      </w:r>
      <w:r w:rsidR="007D3628">
        <w:rPr>
          <w:rFonts w:ascii="Times New Roman" w:hAnsi="Times New Roman" w:cs="Times New Roman"/>
          <w:noProof/>
          <w:sz w:val="24"/>
          <w:szCs w:val="28"/>
        </w:rPr>
        <w:t xml:space="preserve"> and engage with </w:t>
      </w:r>
      <w:r w:rsidRPr="00C74097">
        <w:rPr>
          <w:rFonts w:ascii="Times New Roman" w:hAnsi="Times New Roman" w:cs="Times New Roman"/>
          <w:noProof/>
          <w:sz w:val="24"/>
          <w:szCs w:val="28"/>
        </w:rPr>
        <w:t xml:space="preserve">relevant non-nuclear and non-traditional partners in advancing nuclear research. Examples </w:t>
      </w:r>
      <w:r w:rsidR="001E1B2C">
        <w:rPr>
          <w:rFonts w:ascii="Times New Roman" w:hAnsi="Times New Roman" w:cs="Times New Roman"/>
          <w:noProof/>
          <w:sz w:val="24"/>
          <w:szCs w:val="28"/>
        </w:rPr>
        <w:t>of areas in which nuclear research could develop include:</w:t>
      </w:r>
      <w:r w:rsidRPr="00C74097">
        <w:rPr>
          <w:rFonts w:ascii="Times New Roman" w:hAnsi="Times New Roman" w:cs="Times New Roman"/>
          <w:noProof/>
          <w:sz w:val="24"/>
          <w:szCs w:val="28"/>
        </w:rPr>
        <w:t xml:space="preserve"> artificial intelligence</w:t>
      </w:r>
      <w:r w:rsidR="001E1B2C">
        <w:rPr>
          <w:rFonts w:ascii="Times New Roman" w:hAnsi="Times New Roman" w:cs="Times New Roman"/>
          <w:noProof/>
          <w:sz w:val="24"/>
          <w:szCs w:val="28"/>
        </w:rPr>
        <w:t>;</w:t>
      </w:r>
      <w:r w:rsidRPr="00C74097">
        <w:rPr>
          <w:rFonts w:ascii="Times New Roman" w:hAnsi="Times New Roman" w:cs="Times New Roman"/>
          <w:noProof/>
          <w:sz w:val="24"/>
          <w:szCs w:val="28"/>
        </w:rPr>
        <w:t xml:space="preserve"> advanced manufacturing</w:t>
      </w:r>
      <w:r w:rsidR="001E1B2C">
        <w:rPr>
          <w:rFonts w:ascii="Times New Roman" w:hAnsi="Times New Roman" w:cs="Times New Roman"/>
          <w:noProof/>
          <w:sz w:val="24"/>
          <w:szCs w:val="28"/>
        </w:rPr>
        <w:t>;</w:t>
      </w:r>
      <w:r w:rsidRPr="00C74097">
        <w:rPr>
          <w:rFonts w:ascii="Times New Roman" w:hAnsi="Times New Roman" w:cs="Times New Roman"/>
          <w:noProof/>
          <w:sz w:val="24"/>
          <w:szCs w:val="28"/>
        </w:rPr>
        <w:t xml:space="preserve"> 3D printing applied to nuclear technologies</w:t>
      </w:r>
      <w:r w:rsidR="001E1B2C">
        <w:rPr>
          <w:rFonts w:ascii="Times New Roman" w:hAnsi="Times New Roman" w:cs="Times New Roman"/>
          <w:noProof/>
          <w:sz w:val="24"/>
          <w:szCs w:val="28"/>
        </w:rPr>
        <w:t>;</w:t>
      </w:r>
      <w:r w:rsidRPr="00C74097">
        <w:rPr>
          <w:rFonts w:ascii="Times New Roman" w:hAnsi="Times New Roman" w:cs="Times New Roman"/>
          <w:noProof/>
          <w:sz w:val="24"/>
          <w:szCs w:val="28"/>
        </w:rPr>
        <w:t xml:space="preserve"> integrated and hybrid energy systems</w:t>
      </w:r>
      <w:r w:rsidR="001E1B2C">
        <w:rPr>
          <w:rFonts w:ascii="Times New Roman" w:hAnsi="Times New Roman" w:cs="Times New Roman"/>
          <w:noProof/>
          <w:sz w:val="24"/>
          <w:szCs w:val="28"/>
        </w:rPr>
        <w:t>; and</w:t>
      </w:r>
      <w:r w:rsidRPr="00C74097">
        <w:rPr>
          <w:rFonts w:ascii="Times New Roman" w:hAnsi="Times New Roman" w:cs="Times New Roman"/>
          <w:noProof/>
          <w:sz w:val="24"/>
          <w:szCs w:val="28"/>
        </w:rPr>
        <w:t xml:space="preserve"> nuclear energy applications other than </w:t>
      </w:r>
      <w:r w:rsidR="00E97E57">
        <w:rPr>
          <w:rFonts w:ascii="Times New Roman" w:hAnsi="Times New Roman" w:cs="Times New Roman"/>
          <w:noProof/>
          <w:sz w:val="24"/>
          <w:szCs w:val="28"/>
        </w:rPr>
        <w:t xml:space="preserve">those </w:t>
      </w:r>
      <w:r w:rsidRPr="00C74097">
        <w:rPr>
          <w:rFonts w:ascii="Times New Roman" w:hAnsi="Times New Roman" w:cs="Times New Roman"/>
          <w:noProof/>
          <w:sz w:val="24"/>
          <w:szCs w:val="28"/>
        </w:rPr>
        <w:t xml:space="preserve">generating electricity </w:t>
      </w:r>
      <w:r w:rsidR="00E97E57">
        <w:rPr>
          <w:rFonts w:ascii="Times New Roman" w:hAnsi="Times New Roman" w:cs="Times New Roman"/>
          <w:noProof/>
          <w:sz w:val="24"/>
          <w:szCs w:val="28"/>
        </w:rPr>
        <w:t>(</w:t>
      </w:r>
      <w:r w:rsidRPr="00C74097">
        <w:rPr>
          <w:rFonts w:ascii="Times New Roman" w:hAnsi="Times New Roman" w:cs="Times New Roman"/>
          <w:noProof/>
          <w:sz w:val="24"/>
          <w:szCs w:val="28"/>
        </w:rPr>
        <w:t>like nuclear heat, hydrogen production, decarbonisation of energy-intensive industries and nuclear desalination</w:t>
      </w:r>
      <w:r w:rsidR="00E97E57">
        <w:rPr>
          <w:rFonts w:ascii="Times New Roman" w:hAnsi="Times New Roman" w:cs="Times New Roman"/>
          <w:noProof/>
          <w:sz w:val="24"/>
          <w:szCs w:val="28"/>
        </w:rPr>
        <w:t>)</w:t>
      </w:r>
      <w:r w:rsidRPr="00C74097">
        <w:rPr>
          <w:rFonts w:ascii="Times New Roman" w:hAnsi="Times New Roman" w:cs="Times New Roman"/>
          <w:noProof/>
          <w:sz w:val="24"/>
          <w:szCs w:val="28"/>
        </w:rPr>
        <w:t>. Synergies between fusion and fission should be further developed, not only in the traditional area of advanced materials but also in</w:t>
      </w:r>
      <w:r w:rsidR="000833E6">
        <w:rPr>
          <w:rFonts w:ascii="Times New Roman" w:hAnsi="Times New Roman" w:cs="Times New Roman"/>
          <w:noProof/>
          <w:sz w:val="24"/>
          <w:szCs w:val="28"/>
        </w:rPr>
        <w:t>:</w:t>
      </w:r>
      <w:r w:rsidRPr="00C74097">
        <w:rPr>
          <w:rFonts w:ascii="Times New Roman" w:hAnsi="Times New Roman" w:cs="Times New Roman"/>
          <w:noProof/>
          <w:sz w:val="24"/>
          <w:szCs w:val="28"/>
        </w:rPr>
        <w:t xml:space="preserve"> artificial intelligence</w:t>
      </w:r>
      <w:r w:rsidR="000833E6">
        <w:rPr>
          <w:rFonts w:ascii="Times New Roman" w:hAnsi="Times New Roman" w:cs="Times New Roman"/>
          <w:noProof/>
          <w:sz w:val="24"/>
          <w:szCs w:val="28"/>
        </w:rPr>
        <w:t>;</w:t>
      </w:r>
      <w:r w:rsidRPr="00C74097">
        <w:rPr>
          <w:rFonts w:ascii="Times New Roman" w:hAnsi="Times New Roman" w:cs="Times New Roman"/>
          <w:noProof/>
          <w:sz w:val="24"/>
          <w:szCs w:val="28"/>
        </w:rPr>
        <w:t xml:space="preserve"> non-power applications</w:t>
      </w:r>
      <w:r w:rsidR="000833E6">
        <w:rPr>
          <w:rFonts w:ascii="Times New Roman" w:hAnsi="Times New Roman" w:cs="Times New Roman"/>
          <w:noProof/>
          <w:sz w:val="24"/>
          <w:szCs w:val="28"/>
        </w:rPr>
        <w:t>;</w:t>
      </w:r>
      <w:r w:rsidRPr="00C74097">
        <w:rPr>
          <w:rFonts w:ascii="Times New Roman" w:hAnsi="Times New Roman" w:cs="Times New Roman"/>
          <w:noProof/>
          <w:sz w:val="24"/>
          <w:szCs w:val="28"/>
        </w:rPr>
        <w:t xml:space="preserve"> advanced modelling and simulation</w:t>
      </w:r>
      <w:r w:rsidR="000833E6">
        <w:rPr>
          <w:rFonts w:ascii="Times New Roman" w:hAnsi="Times New Roman" w:cs="Times New Roman"/>
          <w:noProof/>
          <w:sz w:val="24"/>
          <w:szCs w:val="28"/>
        </w:rPr>
        <w:t>;</w:t>
      </w:r>
      <w:r w:rsidRPr="00C74097">
        <w:rPr>
          <w:rFonts w:ascii="Times New Roman" w:hAnsi="Times New Roman" w:cs="Times New Roman"/>
          <w:noProof/>
          <w:sz w:val="24"/>
          <w:szCs w:val="28"/>
        </w:rPr>
        <w:t xml:space="preserve"> and experimental tests.</w:t>
      </w:r>
    </w:p>
    <w:p w14:paraId="0BE6DCDF" w14:textId="627F848C" w:rsidR="00380A83" w:rsidRPr="00C74097" w:rsidRDefault="00380A83" w:rsidP="00380A83">
      <w:pPr>
        <w:jc w:val="both"/>
        <w:rPr>
          <w:rFonts w:ascii="Times New Roman" w:hAnsi="Times New Roman" w:cs="Times New Roman"/>
          <w:noProof/>
          <w:sz w:val="24"/>
          <w:szCs w:val="28"/>
        </w:rPr>
      </w:pPr>
      <w:r w:rsidRPr="00C74097">
        <w:rPr>
          <w:rFonts w:ascii="Times New Roman" w:hAnsi="Times New Roman" w:cs="Times New Roman"/>
          <w:noProof/>
          <w:sz w:val="24"/>
          <w:szCs w:val="28"/>
        </w:rPr>
        <w:t xml:space="preserve">In </w:t>
      </w:r>
      <w:r w:rsidR="00E97E57">
        <w:rPr>
          <w:rFonts w:ascii="Times New Roman" w:hAnsi="Times New Roman" w:cs="Times New Roman"/>
          <w:noProof/>
          <w:sz w:val="24"/>
          <w:szCs w:val="28"/>
        </w:rPr>
        <w:t xml:space="preserve">research on </w:t>
      </w:r>
      <w:r w:rsidRPr="00C74097">
        <w:rPr>
          <w:rFonts w:ascii="Times New Roman" w:hAnsi="Times New Roman" w:cs="Times New Roman"/>
          <w:noProof/>
          <w:sz w:val="24"/>
          <w:szCs w:val="28"/>
        </w:rPr>
        <w:t>radiation protection, the evaluation indicates that a multidisciplinary approach could be further encouraged to increase coverage of a broader spectrum of scientific questions, including low-dose risks and several other questions related to planned, existing and emergency exposure situations. The radiation</w:t>
      </w:r>
      <w:r w:rsidR="006D296F">
        <w:rPr>
          <w:rFonts w:ascii="Times New Roman" w:hAnsi="Times New Roman" w:cs="Times New Roman"/>
          <w:noProof/>
          <w:sz w:val="24"/>
          <w:szCs w:val="28"/>
        </w:rPr>
        <w:t>-</w:t>
      </w:r>
      <w:r w:rsidRPr="00C74097">
        <w:rPr>
          <w:rFonts w:ascii="Times New Roman" w:hAnsi="Times New Roman" w:cs="Times New Roman"/>
          <w:noProof/>
          <w:sz w:val="24"/>
          <w:szCs w:val="28"/>
        </w:rPr>
        <w:t xml:space="preserve">protection roadmap prepared by </w:t>
      </w:r>
      <w:r w:rsidR="006D296F">
        <w:rPr>
          <w:rFonts w:ascii="Times New Roman" w:hAnsi="Times New Roman" w:cs="Times New Roman"/>
          <w:noProof/>
          <w:sz w:val="24"/>
          <w:szCs w:val="28"/>
        </w:rPr>
        <w:t xml:space="preserve">the </w:t>
      </w:r>
      <w:r w:rsidRPr="00C74097">
        <w:rPr>
          <w:rFonts w:ascii="Times New Roman" w:hAnsi="Times New Roman" w:cs="Times New Roman"/>
          <w:noProof/>
          <w:sz w:val="24"/>
          <w:szCs w:val="28"/>
        </w:rPr>
        <w:t xml:space="preserve">CONCERT EJP and SRA in the medical applications of ionising radiation provide a sound basis for future state-of-the-art calls and should be systematically developed. </w:t>
      </w:r>
    </w:p>
    <w:p w14:paraId="32B4004C" w14:textId="7675E290" w:rsidR="00380A83" w:rsidRPr="00C74097" w:rsidRDefault="00380A83" w:rsidP="00380A83">
      <w:pPr>
        <w:jc w:val="both"/>
        <w:rPr>
          <w:rFonts w:ascii="Times New Roman" w:hAnsi="Times New Roman" w:cs="Times New Roman"/>
          <w:noProof/>
          <w:sz w:val="24"/>
          <w:szCs w:val="28"/>
        </w:rPr>
      </w:pPr>
      <w:r w:rsidRPr="00C74097">
        <w:rPr>
          <w:rFonts w:ascii="Times New Roman" w:hAnsi="Times New Roman" w:cs="Times New Roman"/>
          <w:noProof/>
          <w:sz w:val="24"/>
          <w:szCs w:val="28"/>
        </w:rPr>
        <w:t>The evaluation shows that, given the progress achieved in radioactive</w:t>
      </w:r>
      <w:r w:rsidR="00E86DB0">
        <w:rPr>
          <w:rFonts w:ascii="Times New Roman" w:hAnsi="Times New Roman" w:cs="Times New Roman"/>
          <w:noProof/>
          <w:sz w:val="24"/>
          <w:szCs w:val="28"/>
        </w:rPr>
        <w:t>-</w:t>
      </w:r>
      <w:r w:rsidRPr="00C74097">
        <w:rPr>
          <w:rFonts w:ascii="Times New Roman" w:hAnsi="Times New Roman" w:cs="Times New Roman"/>
          <w:noProof/>
          <w:sz w:val="24"/>
          <w:szCs w:val="28"/>
        </w:rPr>
        <w:t xml:space="preserve">waste management, research should progressively depart from the acquisition of pure scientific knowledge to </w:t>
      </w:r>
      <w:r w:rsidR="00B36438">
        <w:rPr>
          <w:rFonts w:ascii="Times New Roman" w:hAnsi="Times New Roman" w:cs="Times New Roman"/>
          <w:noProof/>
          <w:sz w:val="24"/>
          <w:szCs w:val="28"/>
        </w:rPr>
        <w:t xml:space="preserve">instead </w:t>
      </w:r>
      <w:r w:rsidRPr="00C74097">
        <w:rPr>
          <w:rFonts w:ascii="Times New Roman" w:hAnsi="Times New Roman" w:cs="Times New Roman"/>
          <w:noProof/>
          <w:sz w:val="24"/>
          <w:szCs w:val="28"/>
        </w:rPr>
        <w:t xml:space="preserve">focus on the operation, closure and oversight of deep geological facilities. The governance of a joint programme should integrate this evolution by </w:t>
      </w:r>
      <w:r w:rsidR="00B36438">
        <w:rPr>
          <w:rFonts w:ascii="Times New Roman" w:hAnsi="Times New Roman" w:cs="Times New Roman"/>
          <w:noProof/>
          <w:sz w:val="24"/>
          <w:szCs w:val="28"/>
        </w:rPr>
        <w:t>strengthening</w:t>
      </w:r>
      <w:r w:rsidR="00B36438" w:rsidRPr="00C74097">
        <w:rPr>
          <w:rFonts w:ascii="Times New Roman" w:hAnsi="Times New Roman" w:cs="Times New Roman"/>
          <w:noProof/>
          <w:sz w:val="24"/>
          <w:szCs w:val="28"/>
        </w:rPr>
        <w:t xml:space="preserve"> </w:t>
      </w:r>
      <w:r w:rsidRPr="00C74097">
        <w:rPr>
          <w:rFonts w:ascii="Times New Roman" w:hAnsi="Times New Roman" w:cs="Times New Roman"/>
          <w:noProof/>
          <w:sz w:val="24"/>
          <w:szCs w:val="28"/>
        </w:rPr>
        <w:t>the role of waste</w:t>
      </w:r>
      <w:r w:rsidR="00B36438">
        <w:rPr>
          <w:rFonts w:ascii="Times New Roman" w:hAnsi="Times New Roman" w:cs="Times New Roman"/>
          <w:noProof/>
          <w:sz w:val="24"/>
          <w:szCs w:val="28"/>
        </w:rPr>
        <w:t>-</w:t>
      </w:r>
      <w:r w:rsidRPr="00C74097">
        <w:rPr>
          <w:rFonts w:ascii="Times New Roman" w:hAnsi="Times New Roman" w:cs="Times New Roman"/>
          <w:noProof/>
          <w:sz w:val="24"/>
          <w:szCs w:val="28"/>
        </w:rPr>
        <w:t>management organisations and technical safety organisations. The ethical basis for the strategic choices made in radioactive</w:t>
      </w:r>
      <w:r w:rsidR="00E86DB0">
        <w:rPr>
          <w:rFonts w:ascii="Times New Roman" w:hAnsi="Times New Roman" w:cs="Times New Roman"/>
          <w:noProof/>
          <w:sz w:val="24"/>
          <w:szCs w:val="28"/>
        </w:rPr>
        <w:t>-</w:t>
      </w:r>
      <w:r w:rsidRPr="00C74097">
        <w:rPr>
          <w:rFonts w:ascii="Times New Roman" w:hAnsi="Times New Roman" w:cs="Times New Roman"/>
          <w:noProof/>
          <w:sz w:val="24"/>
          <w:szCs w:val="28"/>
        </w:rPr>
        <w:t>waste management and disposal also deserve more attention.</w:t>
      </w:r>
    </w:p>
    <w:p w14:paraId="6F66820C" w14:textId="409039FE" w:rsidR="00380A83" w:rsidRDefault="00380A83" w:rsidP="00380A83">
      <w:pPr>
        <w:jc w:val="both"/>
        <w:rPr>
          <w:rFonts w:ascii="Times New Roman" w:hAnsi="Times New Roman" w:cs="Times New Roman"/>
          <w:b/>
          <w:bCs/>
          <w:noProof/>
          <w:sz w:val="24"/>
          <w:szCs w:val="24"/>
          <w:u w:val="single"/>
        </w:rPr>
      </w:pPr>
      <w:r w:rsidRPr="00C74097">
        <w:rPr>
          <w:rFonts w:ascii="Times New Roman" w:hAnsi="Times New Roman" w:cs="Times New Roman"/>
          <w:noProof/>
          <w:sz w:val="24"/>
          <w:szCs w:val="28"/>
        </w:rPr>
        <w:t xml:space="preserve">While the Programme made substantial progress in fusion energy, this research field </w:t>
      </w:r>
      <w:r w:rsidR="00B36438">
        <w:rPr>
          <w:rFonts w:ascii="Times New Roman" w:hAnsi="Times New Roman" w:cs="Times New Roman"/>
          <w:noProof/>
          <w:sz w:val="24"/>
          <w:szCs w:val="28"/>
        </w:rPr>
        <w:t>has</w:t>
      </w:r>
      <w:r w:rsidR="00B36438" w:rsidRPr="00C74097">
        <w:rPr>
          <w:rFonts w:ascii="Times New Roman" w:hAnsi="Times New Roman" w:cs="Times New Roman"/>
          <w:noProof/>
          <w:sz w:val="24"/>
          <w:szCs w:val="28"/>
        </w:rPr>
        <w:t xml:space="preserve"> </w:t>
      </w:r>
      <w:r w:rsidRPr="00C74097">
        <w:rPr>
          <w:rFonts w:ascii="Times New Roman" w:hAnsi="Times New Roman" w:cs="Times New Roman"/>
          <w:noProof/>
          <w:sz w:val="24"/>
          <w:szCs w:val="28"/>
        </w:rPr>
        <w:t>chang</w:t>
      </w:r>
      <w:r w:rsidR="00B36438">
        <w:rPr>
          <w:rFonts w:ascii="Times New Roman" w:hAnsi="Times New Roman" w:cs="Times New Roman"/>
          <w:noProof/>
          <w:sz w:val="24"/>
          <w:szCs w:val="28"/>
        </w:rPr>
        <w:t>ed</w:t>
      </w:r>
      <w:r w:rsidRPr="00C74097">
        <w:rPr>
          <w:rFonts w:ascii="Times New Roman" w:hAnsi="Times New Roman" w:cs="Times New Roman"/>
          <w:noProof/>
          <w:sz w:val="24"/>
          <w:szCs w:val="28"/>
        </w:rPr>
        <w:t xml:space="preserve"> rapidly in recent years as international competition increas</w:t>
      </w:r>
      <w:r w:rsidR="006D296F">
        <w:rPr>
          <w:rFonts w:ascii="Times New Roman" w:hAnsi="Times New Roman" w:cs="Times New Roman"/>
          <w:noProof/>
          <w:sz w:val="24"/>
          <w:szCs w:val="28"/>
        </w:rPr>
        <w:t>es</w:t>
      </w:r>
      <w:r w:rsidRPr="00C74097">
        <w:rPr>
          <w:rFonts w:ascii="Times New Roman" w:hAnsi="Times New Roman" w:cs="Times New Roman"/>
          <w:noProof/>
          <w:sz w:val="24"/>
          <w:szCs w:val="28"/>
        </w:rPr>
        <w:t xml:space="preserve"> and a vibrant private sector </w:t>
      </w:r>
      <w:r w:rsidR="00B36438">
        <w:rPr>
          <w:rFonts w:ascii="Times New Roman" w:hAnsi="Times New Roman" w:cs="Times New Roman"/>
          <w:noProof/>
          <w:sz w:val="24"/>
          <w:szCs w:val="28"/>
        </w:rPr>
        <w:t xml:space="preserve">working on fusion </w:t>
      </w:r>
      <w:r w:rsidRPr="00C74097">
        <w:rPr>
          <w:rFonts w:ascii="Times New Roman" w:hAnsi="Times New Roman" w:cs="Times New Roman"/>
          <w:noProof/>
          <w:sz w:val="24"/>
          <w:szCs w:val="28"/>
        </w:rPr>
        <w:t>emerg</w:t>
      </w:r>
      <w:r w:rsidR="006D296F">
        <w:rPr>
          <w:rFonts w:ascii="Times New Roman" w:hAnsi="Times New Roman" w:cs="Times New Roman"/>
          <w:noProof/>
          <w:sz w:val="24"/>
          <w:szCs w:val="28"/>
        </w:rPr>
        <w:t>es</w:t>
      </w:r>
      <w:r w:rsidRPr="00C74097">
        <w:rPr>
          <w:rFonts w:ascii="Times New Roman" w:hAnsi="Times New Roman" w:cs="Times New Roman"/>
          <w:noProof/>
          <w:sz w:val="24"/>
          <w:szCs w:val="28"/>
        </w:rPr>
        <w:t xml:space="preserve"> globally. The evaluation shows that</w:t>
      </w:r>
      <w:r w:rsidR="00676610">
        <w:rPr>
          <w:rFonts w:ascii="Times New Roman" w:hAnsi="Times New Roman" w:cs="Times New Roman"/>
          <w:noProof/>
          <w:sz w:val="24"/>
          <w:szCs w:val="28"/>
        </w:rPr>
        <w:t>,</w:t>
      </w:r>
      <w:r w:rsidRPr="00C74097">
        <w:rPr>
          <w:rFonts w:ascii="Times New Roman" w:hAnsi="Times New Roman" w:cs="Times New Roman"/>
          <w:noProof/>
          <w:sz w:val="24"/>
          <w:szCs w:val="28"/>
        </w:rPr>
        <w:t xml:space="preserve"> to proceed with the engineering design of a future fusion</w:t>
      </w:r>
      <w:r w:rsidR="001C76E1">
        <w:rPr>
          <w:rFonts w:ascii="Times New Roman" w:hAnsi="Times New Roman" w:cs="Times New Roman"/>
          <w:noProof/>
          <w:sz w:val="24"/>
          <w:szCs w:val="28"/>
        </w:rPr>
        <w:t>-</w:t>
      </w:r>
      <w:r w:rsidRPr="00C74097">
        <w:rPr>
          <w:rFonts w:ascii="Times New Roman" w:hAnsi="Times New Roman" w:cs="Times New Roman"/>
          <w:noProof/>
          <w:sz w:val="24"/>
          <w:szCs w:val="28"/>
        </w:rPr>
        <w:t>power plant</w:t>
      </w:r>
      <w:r>
        <w:rPr>
          <w:rFonts w:ascii="Times New Roman" w:hAnsi="Times New Roman" w:cs="Times New Roman"/>
          <w:noProof/>
          <w:sz w:val="24"/>
          <w:szCs w:val="28"/>
        </w:rPr>
        <w:t>,</w:t>
      </w:r>
      <w:r w:rsidRPr="00C74097">
        <w:rPr>
          <w:rFonts w:ascii="Times New Roman" w:hAnsi="Times New Roman" w:cs="Times New Roman"/>
          <w:noProof/>
          <w:sz w:val="24"/>
          <w:szCs w:val="28"/>
        </w:rPr>
        <w:t xml:space="preserve"> the Euratom </w:t>
      </w:r>
      <w:r w:rsidR="00990E7F">
        <w:rPr>
          <w:rFonts w:ascii="Times New Roman" w:hAnsi="Times New Roman" w:cs="Times New Roman"/>
          <w:noProof/>
          <w:sz w:val="24"/>
          <w:szCs w:val="28"/>
        </w:rPr>
        <w:t>p</w:t>
      </w:r>
      <w:r w:rsidRPr="00C74097">
        <w:rPr>
          <w:rFonts w:ascii="Times New Roman" w:hAnsi="Times New Roman" w:cs="Times New Roman"/>
          <w:noProof/>
          <w:sz w:val="24"/>
          <w:szCs w:val="28"/>
        </w:rPr>
        <w:t xml:space="preserve">rogramme should focus now and in the coming few years on identifying the critical issues and risks and determining how much risk is acceptable. Innovation will then be needed to address critical enabling technologies for fusion energy and to mitigate related risks. While the </w:t>
      </w:r>
      <w:r>
        <w:rPr>
          <w:rFonts w:ascii="Times New Roman" w:hAnsi="Times New Roman" w:cs="Times New Roman"/>
          <w:noProof/>
          <w:sz w:val="24"/>
          <w:szCs w:val="28"/>
        </w:rPr>
        <w:t>P</w:t>
      </w:r>
      <w:r w:rsidRPr="00C74097">
        <w:rPr>
          <w:rFonts w:ascii="Times New Roman" w:hAnsi="Times New Roman" w:cs="Times New Roman"/>
          <w:noProof/>
          <w:sz w:val="24"/>
          <w:szCs w:val="28"/>
        </w:rPr>
        <w:t xml:space="preserve">rogramme helped </w:t>
      </w:r>
      <w:r w:rsidR="00CD673D">
        <w:rPr>
          <w:rFonts w:ascii="Times New Roman" w:hAnsi="Times New Roman" w:cs="Times New Roman"/>
          <w:noProof/>
          <w:sz w:val="24"/>
          <w:szCs w:val="28"/>
        </w:rPr>
        <w:t xml:space="preserve">to </w:t>
      </w:r>
      <w:r w:rsidRPr="00C74097">
        <w:rPr>
          <w:rFonts w:ascii="Times New Roman" w:hAnsi="Times New Roman" w:cs="Times New Roman"/>
          <w:noProof/>
          <w:sz w:val="24"/>
          <w:szCs w:val="28"/>
        </w:rPr>
        <w:t xml:space="preserve">make substantial progress in </w:t>
      </w:r>
      <w:r w:rsidR="00CD673D">
        <w:rPr>
          <w:rFonts w:ascii="Times New Roman" w:hAnsi="Times New Roman" w:cs="Times New Roman"/>
          <w:noProof/>
          <w:sz w:val="24"/>
          <w:szCs w:val="28"/>
        </w:rPr>
        <w:t xml:space="preserve">our </w:t>
      </w:r>
      <w:r w:rsidRPr="00C74097">
        <w:rPr>
          <w:rFonts w:ascii="Times New Roman" w:hAnsi="Times New Roman" w:cs="Times New Roman"/>
          <w:noProof/>
          <w:sz w:val="24"/>
          <w:szCs w:val="28"/>
        </w:rPr>
        <w:t xml:space="preserve">understanding </w:t>
      </w:r>
      <w:r w:rsidR="00CD673D">
        <w:rPr>
          <w:rFonts w:ascii="Times New Roman" w:hAnsi="Times New Roman" w:cs="Times New Roman"/>
          <w:noProof/>
          <w:sz w:val="24"/>
          <w:szCs w:val="28"/>
        </w:rPr>
        <w:t xml:space="preserve">of </w:t>
      </w:r>
      <w:r w:rsidRPr="00C74097">
        <w:rPr>
          <w:rFonts w:ascii="Times New Roman" w:hAnsi="Times New Roman" w:cs="Times New Roman"/>
          <w:noProof/>
          <w:sz w:val="24"/>
          <w:szCs w:val="28"/>
        </w:rPr>
        <w:t xml:space="preserve">plasma physics for ITER and beyond, there is </w:t>
      </w:r>
      <w:r w:rsidR="00CD673D">
        <w:rPr>
          <w:rFonts w:ascii="Times New Roman" w:hAnsi="Times New Roman" w:cs="Times New Roman"/>
          <w:noProof/>
          <w:sz w:val="24"/>
          <w:szCs w:val="28"/>
        </w:rPr>
        <w:t xml:space="preserve">also </w:t>
      </w:r>
      <w:r w:rsidRPr="00C74097">
        <w:rPr>
          <w:rFonts w:ascii="Times New Roman" w:hAnsi="Times New Roman" w:cs="Times New Roman"/>
          <w:noProof/>
          <w:sz w:val="24"/>
          <w:szCs w:val="28"/>
        </w:rPr>
        <w:t xml:space="preserve">a need to develop computational tools to </w:t>
      </w:r>
      <w:r w:rsidR="00CD673D">
        <w:rPr>
          <w:rFonts w:ascii="Times New Roman" w:hAnsi="Times New Roman" w:cs="Times New Roman"/>
          <w:noProof/>
          <w:sz w:val="24"/>
          <w:szCs w:val="28"/>
        </w:rPr>
        <w:t xml:space="preserve">further </w:t>
      </w:r>
      <w:r w:rsidRPr="00C74097">
        <w:rPr>
          <w:rFonts w:ascii="Times New Roman" w:hAnsi="Times New Roman" w:cs="Times New Roman"/>
          <w:noProof/>
          <w:sz w:val="24"/>
          <w:szCs w:val="28"/>
        </w:rPr>
        <w:t>predict, analyse, and interpret experimental results. A future fusion</w:t>
      </w:r>
      <w:r w:rsidR="001C76E1">
        <w:rPr>
          <w:rFonts w:ascii="Times New Roman" w:hAnsi="Times New Roman" w:cs="Times New Roman"/>
          <w:noProof/>
          <w:sz w:val="24"/>
          <w:szCs w:val="28"/>
        </w:rPr>
        <w:t>-</w:t>
      </w:r>
      <w:r w:rsidRPr="00C74097">
        <w:rPr>
          <w:rFonts w:ascii="Times New Roman" w:hAnsi="Times New Roman" w:cs="Times New Roman"/>
          <w:noProof/>
          <w:sz w:val="24"/>
          <w:szCs w:val="28"/>
        </w:rPr>
        <w:t xml:space="preserve">power plant also requires efficient project engineering. </w:t>
      </w:r>
      <w:r w:rsidR="00CD673D">
        <w:rPr>
          <w:rFonts w:ascii="Times New Roman" w:hAnsi="Times New Roman" w:cs="Times New Roman"/>
          <w:noProof/>
          <w:sz w:val="24"/>
          <w:szCs w:val="28"/>
        </w:rPr>
        <w:t>Although efficient project engineering</w:t>
      </w:r>
      <w:r w:rsidRPr="00C74097">
        <w:rPr>
          <w:rFonts w:ascii="Times New Roman" w:hAnsi="Times New Roman" w:cs="Times New Roman"/>
          <w:noProof/>
          <w:sz w:val="24"/>
          <w:szCs w:val="28"/>
        </w:rPr>
        <w:t xml:space="preserve"> is expected to be delivered by industry, Euratom-funded actions could include a project</w:t>
      </w:r>
      <w:r w:rsidR="00990E7F">
        <w:rPr>
          <w:rFonts w:ascii="Times New Roman" w:hAnsi="Times New Roman" w:cs="Times New Roman"/>
          <w:noProof/>
          <w:sz w:val="24"/>
          <w:szCs w:val="28"/>
        </w:rPr>
        <w:t>-</w:t>
      </w:r>
      <w:r w:rsidRPr="00C74097">
        <w:rPr>
          <w:rFonts w:ascii="Times New Roman" w:hAnsi="Times New Roman" w:cs="Times New Roman"/>
          <w:noProof/>
          <w:sz w:val="24"/>
          <w:szCs w:val="28"/>
        </w:rPr>
        <w:t>engineering and management</w:t>
      </w:r>
      <w:r w:rsidR="00990E7F">
        <w:rPr>
          <w:rFonts w:ascii="Times New Roman" w:hAnsi="Times New Roman" w:cs="Times New Roman"/>
          <w:noProof/>
          <w:sz w:val="24"/>
          <w:szCs w:val="28"/>
        </w:rPr>
        <w:t>-</w:t>
      </w:r>
      <w:r w:rsidRPr="00C74097">
        <w:rPr>
          <w:rFonts w:ascii="Times New Roman" w:hAnsi="Times New Roman" w:cs="Times New Roman"/>
          <w:noProof/>
          <w:sz w:val="24"/>
          <w:szCs w:val="28"/>
        </w:rPr>
        <w:t>training scheme combined with specialised fusion knowledge.</w:t>
      </w:r>
    </w:p>
    <w:p w14:paraId="45535E4F" w14:textId="7A79E1EA" w:rsidR="00D41D61" w:rsidRPr="00CB7838" w:rsidRDefault="00EA0257" w:rsidP="007C4BD5">
      <w:pPr>
        <w:jc w:val="both"/>
        <w:rPr>
          <w:rFonts w:ascii="Times New Roman" w:hAnsi="Times New Roman"/>
          <w:noProof/>
          <w:sz w:val="24"/>
        </w:rPr>
      </w:pPr>
      <w:r w:rsidRPr="00BB39D5">
        <w:rPr>
          <w:rFonts w:ascii="Times New Roman" w:hAnsi="Times New Roman" w:cs="Times New Roman"/>
          <w:b/>
          <w:bCs/>
          <w:noProof/>
          <w:sz w:val="24"/>
          <w:szCs w:val="24"/>
          <w:u w:val="single"/>
        </w:rPr>
        <w:t>Next steps:</w:t>
      </w:r>
      <w:r w:rsidRPr="00BB39D5">
        <w:rPr>
          <w:rFonts w:ascii="Times New Roman" w:hAnsi="Times New Roman" w:cs="Times New Roman"/>
          <w:noProof/>
          <w:sz w:val="24"/>
          <w:szCs w:val="24"/>
        </w:rPr>
        <w:t xml:space="preserve"> </w:t>
      </w:r>
      <w:r w:rsidR="00D41D61" w:rsidRPr="0087320C">
        <w:rPr>
          <w:rFonts w:ascii="Times New Roman" w:hAnsi="Times New Roman"/>
          <w:noProof/>
          <w:sz w:val="24"/>
        </w:rPr>
        <w:t>T</w:t>
      </w:r>
      <w:r w:rsidR="00D41D61" w:rsidRPr="005A0FC2">
        <w:rPr>
          <w:rFonts w:ascii="Times New Roman" w:hAnsi="Times New Roman"/>
          <w:noProof/>
          <w:sz w:val="24"/>
        </w:rPr>
        <w:t xml:space="preserve">he insights and conclusions drawn from this final evaluation of </w:t>
      </w:r>
      <w:r w:rsidR="00E97E57">
        <w:rPr>
          <w:rFonts w:ascii="Times New Roman" w:hAnsi="Times New Roman"/>
          <w:noProof/>
          <w:sz w:val="24"/>
        </w:rPr>
        <w:t>the</w:t>
      </w:r>
      <w:r w:rsidR="00D41D61" w:rsidRPr="005A0FC2">
        <w:rPr>
          <w:rFonts w:ascii="Times New Roman" w:hAnsi="Times New Roman"/>
          <w:noProof/>
          <w:sz w:val="24"/>
        </w:rPr>
        <w:t xml:space="preserve"> Programme are set to play </w:t>
      </w:r>
      <w:r w:rsidR="00D41D61">
        <w:rPr>
          <w:rFonts w:ascii="Times New Roman" w:hAnsi="Times New Roman"/>
          <w:noProof/>
          <w:sz w:val="24"/>
        </w:rPr>
        <w:t>a</w:t>
      </w:r>
      <w:r w:rsidR="00D41D61" w:rsidRPr="005A0FC2">
        <w:rPr>
          <w:rFonts w:ascii="Times New Roman" w:hAnsi="Times New Roman"/>
          <w:noProof/>
          <w:sz w:val="24"/>
        </w:rPr>
        <w:t xml:space="preserve"> significa</w:t>
      </w:r>
      <w:r w:rsidR="00E97E57">
        <w:rPr>
          <w:rFonts w:ascii="Times New Roman" w:hAnsi="Times New Roman"/>
          <w:noProof/>
          <w:sz w:val="24"/>
        </w:rPr>
        <w:t>n</w:t>
      </w:r>
      <w:r w:rsidR="00D41D61" w:rsidRPr="005A0FC2">
        <w:rPr>
          <w:rFonts w:ascii="Times New Roman" w:hAnsi="Times New Roman"/>
          <w:noProof/>
          <w:sz w:val="24"/>
        </w:rPr>
        <w:t xml:space="preserve">t role </w:t>
      </w:r>
      <w:r w:rsidR="00E97E57">
        <w:rPr>
          <w:rFonts w:ascii="Times New Roman" w:hAnsi="Times New Roman"/>
          <w:noProof/>
          <w:sz w:val="24"/>
        </w:rPr>
        <w:t xml:space="preserve">not only </w:t>
      </w:r>
      <w:r w:rsidR="00D41D61" w:rsidRPr="005A0FC2">
        <w:rPr>
          <w:rFonts w:ascii="Times New Roman" w:hAnsi="Times New Roman"/>
          <w:noProof/>
          <w:sz w:val="24"/>
        </w:rPr>
        <w:t xml:space="preserve">in shaping the ongoing implementation of </w:t>
      </w:r>
      <w:r w:rsidR="00CD673D">
        <w:rPr>
          <w:rFonts w:ascii="Times New Roman" w:hAnsi="Times New Roman"/>
          <w:noProof/>
          <w:sz w:val="24"/>
        </w:rPr>
        <w:t xml:space="preserve">the </w:t>
      </w:r>
      <w:r w:rsidR="00D41D61" w:rsidRPr="005A0FC2">
        <w:rPr>
          <w:rFonts w:ascii="Times New Roman" w:hAnsi="Times New Roman"/>
          <w:noProof/>
          <w:sz w:val="24"/>
        </w:rPr>
        <w:t xml:space="preserve">2021-2025 </w:t>
      </w:r>
      <w:r w:rsidR="00990E7F">
        <w:rPr>
          <w:rFonts w:ascii="Times New Roman" w:hAnsi="Times New Roman"/>
          <w:noProof/>
          <w:sz w:val="24"/>
        </w:rPr>
        <w:t>p</w:t>
      </w:r>
      <w:r w:rsidR="00D41D61" w:rsidRPr="005A0FC2">
        <w:rPr>
          <w:rFonts w:ascii="Times New Roman" w:hAnsi="Times New Roman"/>
          <w:noProof/>
          <w:sz w:val="24"/>
        </w:rPr>
        <w:t>rogramme but also in influencing policy development for future nuclear research</w:t>
      </w:r>
      <w:r w:rsidR="00D41D61">
        <w:rPr>
          <w:rFonts w:ascii="Times New Roman" w:hAnsi="Times New Roman"/>
          <w:noProof/>
          <w:sz w:val="24"/>
        </w:rPr>
        <w:t xml:space="preserve"> initiatives</w:t>
      </w:r>
      <w:r w:rsidR="00D41D61" w:rsidRPr="005A0FC2">
        <w:rPr>
          <w:rFonts w:ascii="Times New Roman" w:hAnsi="Times New Roman"/>
          <w:noProof/>
          <w:sz w:val="24"/>
        </w:rPr>
        <w:t>.</w:t>
      </w:r>
      <w:r w:rsidR="00D41D61">
        <w:rPr>
          <w:rFonts w:ascii="Times New Roman" w:hAnsi="Times New Roman"/>
          <w:noProof/>
          <w:sz w:val="24"/>
        </w:rPr>
        <w:t xml:space="preserve"> </w:t>
      </w:r>
      <w:r w:rsidR="00D41D61" w:rsidRPr="00C02312">
        <w:rPr>
          <w:rFonts w:ascii="Times New Roman" w:hAnsi="Times New Roman"/>
          <w:noProof/>
          <w:sz w:val="24"/>
        </w:rPr>
        <w:t xml:space="preserve">Most of </w:t>
      </w:r>
      <w:r w:rsidR="00CD673D">
        <w:rPr>
          <w:rFonts w:ascii="Times New Roman" w:hAnsi="Times New Roman"/>
          <w:noProof/>
          <w:sz w:val="24"/>
        </w:rPr>
        <w:t xml:space="preserve">the </w:t>
      </w:r>
      <w:r w:rsidR="00D41D61" w:rsidRPr="00C02312">
        <w:rPr>
          <w:rFonts w:ascii="Times New Roman" w:hAnsi="Times New Roman"/>
          <w:noProof/>
          <w:sz w:val="24"/>
        </w:rPr>
        <w:t xml:space="preserve">observations made by independent experts have already been addressed in the ongoing 2021-2025 Euratom </w:t>
      </w:r>
      <w:r w:rsidR="00CD673D">
        <w:rPr>
          <w:rFonts w:ascii="Times New Roman" w:hAnsi="Times New Roman"/>
          <w:noProof/>
          <w:sz w:val="24"/>
        </w:rPr>
        <w:t>p</w:t>
      </w:r>
      <w:r w:rsidR="00D41D61" w:rsidRPr="00C02312">
        <w:rPr>
          <w:rFonts w:ascii="Times New Roman" w:hAnsi="Times New Roman"/>
          <w:noProof/>
          <w:sz w:val="24"/>
        </w:rPr>
        <w:t>rogramme (see Annex for details).</w:t>
      </w:r>
      <w:r w:rsidR="00D41D61">
        <w:rPr>
          <w:rFonts w:ascii="Times New Roman" w:hAnsi="Times New Roman"/>
          <w:noProof/>
          <w:sz w:val="24"/>
        </w:rPr>
        <w:t xml:space="preserve"> </w:t>
      </w:r>
      <w:r w:rsidR="00CD673D">
        <w:rPr>
          <w:rFonts w:ascii="Times New Roman" w:hAnsi="Times New Roman"/>
          <w:noProof/>
          <w:sz w:val="24"/>
        </w:rPr>
        <w:t>The e</w:t>
      </w:r>
      <w:r w:rsidR="00D41D61" w:rsidRPr="009037C9">
        <w:rPr>
          <w:rFonts w:ascii="Times New Roman" w:hAnsi="Times New Roman"/>
          <w:noProof/>
          <w:sz w:val="24"/>
        </w:rPr>
        <w:t xml:space="preserve">valuation </w:t>
      </w:r>
      <w:r w:rsidR="00E97E57">
        <w:rPr>
          <w:rFonts w:ascii="Times New Roman" w:hAnsi="Times New Roman"/>
          <w:noProof/>
          <w:sz w:val="24"/>
        </w:rPr>
        <w:t xml:space="preserve">also </w:t>
      </w:r>
      <w:r w:rsidR="00D41D61" w:rsidRPr="009037C9">
        <w:rPr>
          <w:rFonts w:ascii="Times New Roman" w:hAnsi="Times New Roman"/>
          <w:noProof/>
          <w:sz w:val="24"/>
        </w:rPr>
        <w:t xml:space="preserve">identified </w:t>
      </w:r>
      <w:r w:rsidR="00E97E57">
        <w:rPr>
          <w:rFonts w:ascii="Times New Roman" w:hAnsi="Times New Roman"/>
          <w:noProof/>
          <w:sz w:val="24"/>
        </w:rPr>
        <w:t xml:space="preserve">a </w:t>
      </w:r>
      <w:r w:rsidR="00D41D61" w:rsidRPr="009037C9">
        <w:rPr>
          <w:rFonts w:ascii="Times New Roman" w:hAnsi="Times New Roman"/>
          <w:noProof/>
          <w:sz w:val="24"/>
        </w:rPr>
        <w:t>number of challenges for Euratom-funded research such as</w:t>
      </w:r>
      <w:r w:rsidR="004D5804">
        <w:rPr>
          <w:rFonts w:ascii="Times New Roman" w:hAnsi="Times New Roman"/>
          <w:noProof/>
          <w:sz w:val="24"/>
        </w:rPr>
        <w:t>:</w:t>
      </w:r>
      <w:r w:rsidR="00CD673D">
        <w:rPr>
          <w:rFonts w:ascii="Times New Roman" w:hAnsi="Times New Roman"/>
          <w:noProof/>
          <w:sz w:val="24"/>
        </w:rPr>
        <w:t xml:space="preserve"> (i) the</w:t>
      </w:r>
      <w:r w:rsidR="00D41D61" w:rsidRPr="009037C9">
        <w:rPr>
          <w:rFonts w:ascii="Times New Roman" w:hAnsi="Times New Roman"/>
          <w:noProof/>
          <w:sz w:val="24"/>
        </w:rPr>
        <w:t xml:space="preserve"> quality of reporting and data availability</w:t>
      </w:r>
      <w:r w:rsidR="00CD673D">
        <w:rPr>
          <w:rFonts w:ascii="Times New Roman" w:hAnsi="Times New Roman"/>
          <w:noProof/>
          <w:sz w:val="24"/>
        </w:rPr>
        <w:t>; (ii)</w:t>
      </w:r>
      <w:r w:rsidR="00D41D61" w:rsidRPr="009037C9">
        <w:rPr>
          <w:rFonts w:ascii="Times New Roman" w:hAnsi="Times New Roman"/>
          <w:noProof/>
          <w:sz w:val="24"/>
        </w:rPr>
        <w:t xml:space="preserve"> the need for </w:t>
      </w:r>
      <w:r w:rsidR="00990E7F">
        <w:rPr>
          <w:rFonts w:ascii="Times New Roman" w:hAnsi="Times New Roman"/>
          <w:noProof/>
          <w:sz w:val="24"/>
        </w:rPr>
        <w:t xml:space="preserve">the </w:t>
      </w:r>
      <w:r w:rsidR="00D41D61" w:rsidRPr="009037C9">
        <w:rPr>
          <w:rFonts w:ascii="Times New Roman" w:hAnsi="Times New Roman"/>
          <w:noProof/>
          <w:sz w:val="24"/>
        </w:rPr>
        <w:t>evolution of fusion</w:t>
      </w:r>
      <w:r w:rsidR="001B6922">
        <w:rPr>
          <w:rFonts w:ascii="Times New Roman" w:hAnsi="Times New Roman"/>
          <w:noProof/>
          <w:sz w:val="24"/>
        </w:rPr>
        <w:t xml:space="preserve"> research</w:t>
      </w:r>
      <w:r w:rsidR="004D5804">
        <w:rPr>
          <w:rFonts w:ascii="Times New Roman" w:hAnsi="Times New Roman"/>
          <w:noProof/>
          <w:sz w:val="24"/>
        </w:rPr>
        <w:t>;</w:t>
      </w:r>
      <w:r w:rsidR="00D41D61" w:rsidRPr="009037C9">
        <w:rPr>
          <w:rFonts w:ascii="Times New Roman" w:hAnsi="Times New Roman"/>
          <w:noProof/>
          <w:sz w:val="24"/>
        </w:rPr>
        <w:t xml:space="preserve"> </w:t>
      </w:r>
      <w:r w:rsidR="00D41D61">
        <w:rPr>
          <w:rFonts w:ascii="Times New Roman" w:hAnsi="Times New Roman"/>
          <w:noProof/>
          <w:sz w:val="24"/>
        </w:rPr>
        <w:t xml:space="preserve">and </w:t>
      </w:r>
      <w:r w:rsidR="004D5804">
        <w:rPr>
          <w:rFonts w:ascii="Times New Roman" w:hAnsi="Times New Roman"/>
          <w:noProof/>
          <w:sz w:val="24"/>
        </w:rPr>
        <w:t xml:space="preserve">(iii) </w:t>
      </w:r>
      <w:r w:rsidR="00D41D61">
        <w:rPr>
          <w:rFonts w:ascii="Times New Roman" w:hAnsi="Times New Roman"/>
          <w:noProof/>
          <w:sz w:val="24"/>
        </w:rPr>
        <w:t xml:space="preserve">fission </w:t>
      </w:r>
      <w:r w:rsidR="004D5804">
        <w:rPr>
          <w:rFonts w:ascii="Times New Roman" w:hAnsi="Times New Roman"/>
          <w:noProof/>
          <w:sz w:val="24"/>
        </w:rPr>
        <w:t>p</w:t>
      </w:r>
      <w:r w:rsidR="00D41D61">
        <w:rPr>
          <w:rFonts w:ascii="Times New Roman" w:hAnsi="Times New Roman"/>
          <w:noProof/>
          <w:sz w:val="24"/>
        </w:rPr>
        <w:t>artnerships taking into account</w:t>
      </w:r>
      <w:r w:rsidR="00990E7F">
        <w:rPr>
          <w:rFonts w:ascii="Times New Roman" w:hAnsi="Times New Roman"/>
          <w:noProof/>
          <w:sz w:val="24"/>
        </w:rPr>
        <w:t xml:space="preserve"> the</w:t>
      </w:r>
      <w:r w:rsidR="00D41D61">
        <w:rPr>
          <w:rFonts w:ascii="Times New Roman" w:hAnsi="Times New Roman"/>
          <w:noProof/>
          <w:sz w:val="24"/>
        </w:rPr>
        <w:t xml:space="preserve"> changing research landscape</w:t>
      </w:r>
      <w:r w:rsidR="00D41D61" w:rsidRPr="009037C9">
        <w:rPr>
          <w:rFonts w:ascii="Times New Roman" w:hAnsi="Times New Roman"/>
          <w:noProof/>
          <w:sz w:val="24"/>
        </w:rPr>
        <w:t xml:space="preserve">. These issues will be taken into account alongside the upcoming </w:t>
      </w:r>
      <w:r w:rsidR="00D41D61">
        <w:rPr>
          <w:rFonts w:ascii="Times New Roman" w:hAnsi="Times New Roman"/>
          <w:noProof/>
          <w:sz w:val="24"/>
        </w:rPr>
        <w:t>interim evaluation</w:t>
      </w:r>
      <w:r w:rsidR="00D41D61" w:rsidRPr="009037C9">
        <w:rPr>
          <w:rFonts w:ascii="Times New Roman" w:hAnsi="Times New Roman"/>
          <w:noProof/>
          <w:sz w:val="24"/>
        </w:rPr>
        <w:t xml:space="preserve"> of the current</w:t>
      </w:r>
      <w:r w:rsidR="00D41D61">
        <w:rPr>
          <w:rFonts w:ascii="Times New Roman" w:hAnsi="Times New Roman"/>
          <w:noProof/>
          <w:sz w:val="24"/>
        </w:rPr>
        <w:t xml:space="preserve"> 2021-2025 </w:t>
      </w:r>
      <w:r w:rsidR="004D5804">
        <w:rPr>
          <w:rFonts w:ascii="Times New Roman" w:hAnsi="Times New Roman"/>
          <w:noProof/>
          <w:sz w:val="24"/>
        </w:rPr>
        <w:t>p</w:t>
      </w:r>
      <w:r w:rsidR="00D41D61" w:rsidRPr="009037C9">
        <w:rPr>
          <w:rFonts w:ascii="Times New Roman" w:hAnsi="Times New Roman"/>
          <w:noProof/>
          <w:sz w:val="24"/>
        </w:rPr>
        <w:t xml:space="preserve">rogramme, when presenting the </w:t>
      </w:r>
      <w:r w:rsidR="00D41D61">
        <w:rPr>
          <w:rFonts w:ascii="Times New Roman" w:hAnsi="Times New Roman"/>
          <w:noProof/>
          <w:sz w:val="24"/>
        </w:rPr>
        <w:t>Commi</w:t>
      </w:r>
      <w:r w:rsidR="00E97E57">
        <w:rPr>
          <w:rFonts w:ascii="Times New Roman" w:hAnsi="Times New Roman"/>
          <w:noProof/>
          <w:sz w:val="24"/>
        </w:rPr>
        <w:t>s</w:t>
      </w:r>
      <w:r w:rsidR="00D41D61">
        <w:rPr>
          <w:rFonts w:ascii="Times New Roman" w:hAnsi="Times New Roman"/>
          <w:noProof/>
          <w:sz w:val="24"/>
        </w:rPr>
        <w:t xml:space="preserve">sion </w:t>
      </w:r>
      <w:r w:rsidR="00D41D61" w:rsidRPr="009037C9">
        <w:rPr>
          <w:rFonts w:ascii="Times New Roman" w:hAnsi="Times New Roman"/>
          <w:noProof/>
          <w:sz w:val="24"/>
        </w:rPr>
        <w:t>proposal for the extension of the</w:t>
      </w:r>
      <w:r w:rsidR="00D41D61">
        <w:rPr>
          <w:rFonts w:ascii="Times New Roman" w:hAnsi="Times New Roman"/>
          <w:noProof/>
          <w:sz w:val="24"/>
        </w:rPr>
        <w:t xml:space="preserve"> Euratom </w:t>
      </w:r>
      <w:r w:rsidR="004D5804">
        <w:rPr>
          <w:rFonts w:ascii="Times New Roman" w:hAnsi="Times New Roman"/>
          <w:noProof/>
          <w:sz w:val="24"/>
        </w:rPr>
        <w:t>p</w:t>
      </w:r>
      <w:r w:rsidR="00D41D61" w:rsidRPr="009037C9">
        <w:rPr>
          <w:rFonts w:ascii="Times New Roman" w:hAnsi="Times New Roman"/>
          <w:noProof/>
          <w:sz w:val="24"/>
        </w:rPr>
        <w:t>rogramme for 2026-</w:t>
      </w:r>
      <w:r w:rsidR="00E97E57">
        <w:rPr>
          <w:rFonts w:ascii="Times New Roman" w:hAnsi="Times New Roman"/>
          <w:noProof/>
          <w:sz w:val="24"/>
        </w:rPr>
        <w:t>20</w:t>
      </w:r>
      <w:r w:rsidR="00D41D61" w:rsidRPr="009037C9">
        <w:rPr>
          <w:rFonts w:ascii="Times New Roman" w:hAnsi="Times New Roman"/>
          <w:noProof/>
          <w:sz w:val="24"/>
        </w:rPr>
        <w:t xml:space="preserve">27 and for the next </w:t>
      </w:r>
      <w:r w:rsidR="00A5166E">
        <w:rPr>
          <w:rFonts w:ascii="Times New Roman" w:hAnsi="Times New Roman"/>
          <w:noProof/>
          <w:sz w:val="24"/>
        </w:rPr>
        <w:t>m</w:t>
      </w:r>
      <w:r w:rsidR="00D41D61">
        <w:rPr>
          <w:rFonts w:ascii="Times New Roman" w:hAnsi="Times New Roman"/>
          <w:noProof/>
          <w:sz w:val="24"/>
        </w:rPr>
        <w:t xml:space="preserve">ultiannual </w:t>
      </w:r>
      <w:r w:rsidR="00A5166E">
        <w:rPr>
          <w:rFonts w:ascii="Times New Roman" w:hAnsi="Times New Roman"/>
          <w:noProof/>
          <w:sz w:val="24"/>
        </w:rPr>
        <w:t>f</w:t>
      </w:r>
      <w:r w:rsidR="00D41D61">
        <w:rPr>
          <w:rFonts w:ascii="Times New Roman" w:hAnsi="Times New Roman"/>
          <w:noProof/>
          <w:sz w:val="24"/>
        </w:rPr>
        <w:t xml:space="preserve">inancial </w:t>
      </w:r>
      <w:r w:rsidR="00A5166E">
        <w:rPr>
          <w:rFonts w:ascii="Times New Roman" w:hAnsi="Times New Roman"/>
          <w:noProof/>
          <w:sz w:val="24"/>
        </w:rPr>
        <w:t>f</w:t>
      </w:r>
      <w:r w:rsidR="00D41D61">
        <w:rPr>
          <w:rFonts w:ascii="Times New Roman" w:hAnsi="Times New Roman"/>
          <w:noProof/>
          <w:sz w:val="24"/>
        </w:rPr>
        <w:t>ramework.</w:t>
      </w:r>
    </w:p>
    <w:p w14:paraId="500B8ED4" w14:textId="77777777" w:rsidR="00D41D61" w:rsidRDefault="00D41D61" w:rsidP="00480E78">
      <w:pPr>
        <w:spacing w:after="120"/>
        <w:rPr>
          <w:rFonts w:cs="Times New Roman"/>
          <w:noProof/>
          <w:szCs w:val="24"/>
          <w:highlight w:val="yellow"/>
        </w:rPr>
      </w:pPr>
    </w:p>
    <w:p w14:paraId="5AE0E262" w14:textId="77777777" w:rsidR="001E3C9B" w:rsidRPr="007C4BD5" w:rsidRDefault="001E3C9B" w:rsidP="001E3C9B">
      <w:pPr>
        <w:spacing w:after="120"/>
        <w:rPr>
          <w:rFonts w:ascii="Times New Roman" w:hAnsi="Times New Roman" w:cs="Times New Roman"/>
          <w:noProof/>
          <w:sz w:val="24"/>
          <w:szCs w:val="24"/>
        </w:rPr>
      </w:pPr>
    </w:p>
    <w:p w14:paraId="4EF02AC3" w14:textId="3F703B27" w:rsidR="001E3C9B" w:rsidRDefault="001E3C9B">
      <w:pPr>
        <w:rPr>
          <w:rFonts w:cs="Times New Roman"/>
          <w:noProof/>
          <w:sz w:val="24"/>
          <w:szCs w:val="24"/>
        </w:rPr>
      </w:pPr>
      <w:r>
        <w:rPr>
          <w:rFonts w:cs="Times New Roman"/>
          <w:noProof/>
          <w:sz w:val="24"/>
          <w:szCs w:val="24"/>
        </w:rPr>
        <w:br w:type="page"/>
      </w:r>
    </w:p>
    <w:p w14:paraId="71E71B4C" w14:textId="500DC6B0" w:rsidR="00A433F8" w:rsidRDefault="001E3C9B" w:rsidP="007C4BD5">
      <w:pPr>
        <w:pStyle w:val="Heading1"/>
        <w:numPr>
          <w:ilvl w:val="0"/>
          <w:numId w:val="0"/>
        </w:numPr>
        <w:jc w:val="both"/>
        <w:rPr>
          <w:rFonts w:ascii="Times New Roman" w:hAnsi="Times New Roman" w:cs="Times New Roman"/>
          <w:noProof/>
          <w:color w:val="000000" w:themeColor="text1"/>
        </w:rPr>
      </w:pPr>
      <w:r>
        <w:rPr>
          <w:rFonts w:ascii="Times New Roman" w:hAnsi="Times New Roman"/>
          <w:noProof/>
          <w:color w:val="000000" w:themeColor="text1"/>
          <w:lang w:val="mt-MT"/>
        </w:rPr>
        <w:t xml:space="preserve">Annex 1 - </w:t>
      </w:r>
      <w:r w:rsidR="00802D92">
        <w:rPr>
          <w:rFonts w:ascii="Times New Roman" w:hAnsi="Times New Roman" w:cs="Times New Roman"/>
          <w:noProof/>
          <w:color w:val="000000" w:themeColor="text1"/>
        </w:rPr>
        <w:t>Recommendations by the expert</w:t>
      </w:r>
      <w:r w:rsidR="00B4657A">
        <w:rPr>
          <w:rFonts w:ascii="Times New Roman" w:hAnsi="Times New Roman" w:cs="Times New Roman"/>
          <w:noProof/>
          <w:color w:val="000000" w:themeColor="text1"/>
        </w:rPr>
        <w:t>s on</w:t>
      </w:r>
      <w:r w:rsidR="00802D92">
        <w:rPr>
          <w:rFonts w:ascii="Times New Roman" w:hAnsi="Times New Roman" w:cs="Times New Roman"/>
          <w:noProof/>
          <w:color w:val="000000" w:themeColor="text1"/>
        </w:rPr>
        <w:t xml:space="preserve"> indirect actions and</w:t>
      </w:r>
      <w:r>
        <w:rPr>
          <w:rFonts w:ascii="Times New Roman" w:hAnsi="Times New Roman" w:cs="Times New Roman"/>
          <w:noProof/>
          <w:color w:val="000000" w:themeColor="text1"/>
        </w:rPr>
        <w:t xml:space="preserve"> </w:t>
      </w:r>
      <w:r w:rsidR="004D5804">
        <w:rPr>
          <w:rFonts w:ascii="Times New Roman" w:hAnsi="Times New Roman" w:cs="Times New Roman"/>
          <w:noProof/>
          <w:color w:val="000000" w:themeColor="text1"/>
        </w:rPr>
        <w:t xml:space="preserve">the </w:t>
      </w:r>
      <w:r w:rsidR="00802D92">
        <w:rPr>
          <w:rFonts w:ascii="Times New Roman" w:hAnsi="Times New Roman" w:cs="Times New Roman"/>
          <w:noProof/>
          <w:color w:val="000000" w:themeColor="text1"/>
        </w:rPr>
        <w:t>Commission</w:t>
      </w:r>
      <w:r w:rsidR="00B4657A">
        <w:rPr>
          <w:rFonts w:ascii="Times New Roman" w:hAnsi="Times New Roman" w:cs="Times New Roman"/>
          <w:noProof/>
          <w:color w:val="000000" w:themeColor="text1"/>
        </w:rPr>
        <w:t>’s</w:t>
      </w:r>
      <w:r w:rsidR="00802D92">
        <w:rPr>
          <w:rFonts w:ascii="Times New Roman" w:hAnsi="Times New Roman" w:cs="Times New Roman"/>
          <w:noProof/>
          <w:color w:val="000000" w:themeColor="text1"/>
        </w:rPr>
        <w:t xml:space="preserve"> response</w:t>
      </w:r>
    </w:p>
    <w:p w14:paraId="23BBD4B1" w14:textId="77777777" w:rsidR="001E3C9B" w:rsidRDefault="001E3C9B">
      <w:pPr>
        <w:spacing w:after="120" w:line="264" w:lineRule="auto"/>
        <w:jc w:val="both"/>
        <w:rPr>
          <w:rFonts w:ascii="Times New Roman" w:hAnsi="Times New Roman" w:cs="Times New Roman"/>
          <w:b/>
          <w:noProof/>
          <w:color w:val="000000" w:themeColor="text1"/>
          <w:sz w:val="24"/>
          <w:szCs w:val="24"/>
        </w:rPr>
      </w:pPr>
    </w:p>
    <w:p w14:paraId="42D85600" w14:textId="30DCB902" w:rsidR="00A433F8" w:rsidRPr="001E3C9B" w:rsidRDefault="00802D92">
      <w:pPr>
        <w:spacing w:after="120" w:line="264" w:lineRule="auto"/>
        <w:jc w:val="both"/>
        <w:rPr>
          <w:rFonts w:ascii="Times New Roman" w:hAnsi="Times New Roman" w:cs="Times New Roman"/>
          <w:i/>
          <w:noProof/>
          <w:color w:val="000000" w:themeColor="text1"/>
          <w:sz w:val="24"/>
          <w:szCs w:val="24"/>
        </w:rPr>
      </w:pPr>
      <w:r w:rsidRPr="001E3C9B">
        <w:rPr>
          <w:rFonts w:ascii="Times New Roman" w:hAnsi="Times New Roman" w:cs="Times New Roman"/>
          <w:b/>
          <w:noProof/>
          <w:color w:val="000000" w:themeColor="text1"/>
          <w:sz w:val="24"/>
          <w:szCs w:val="24"/>
        </w:rPr>
        <w:t>Recommendation</w:t>
      </w:r>
      <w:r w:rsidR="00852107" w:rsidRPr="001E3C9B">
        <w:rPr>
          <w:rFonts w:ascii="Times New Roman" w:hAnsi="Times New Roman" w:cs="Times New Roman"/>
          <w:b/>
          <w:noProof/>
          <w:color w:val="000000" w:themeColor="text1"/>
          <w:sz w:val="24"/>
          <w:szCs w:val="24"/>
        </w:rPr>
        <w:t>s</w:t>
      </w:r>
      <w:r w:rsidRPr="001E3C9B">
        <w:rPr>
          <w:rFonts w:ascii="Times New Roman" w:hAnsi="Times New Roman" w:cs="Times New Roman"/>
          <w:b/>
          <w:noProof/>
          <w:color w:val="000000" w:themeColor="text1"/>
          <w:sz w:val="24"/>
          <w:szCs w:val="24"/>
        </w:rPr>
        <w:t xml:space="preserve"> on</w:t>
      </w:r>
      <w:r w:rsidR="00852107" w:rsidRPr="001E3C9B">
        <w:rPr>
          <w:rFonts w:ascii="Times New Roman" w:hAnsi="Times New Roman" w:cs="Times New Roman"/>
          <w:b/>
          <w:noProof/>
          <w:color w:val="000000" w:themeColor="text1"/>
          <w:sz w:val="24"/>
          <w:szCs w:val="24"/>
        </w:rPr>
        <w:t xml:space="preserve"> fusion research</w:t>
      </w:r>
    </w:p>
    <w:p w14:paraId="7971FBBC" w14:textId="0AA9056F" w:rsidR="0013639D" w:rsidRPr="001E3C9B" w:rsidRDefault="0013639D" w:rsidP="0013639D">
      <w:pPr>
        <w:pStyle w:val="ListParagraph"/>
        <w:numPr>
          <w:ilvl w:val="0"/>
          <w:numId w:val="29"/>
        </w:numPr>
        <w:spacing w:after="120" w:line="264" w:lineRule="auto"/>
        <w:rPr>
          <w:rStyle w:val="Bodytext1"/>
          <w:noProof/>
          <w:szCs w:val="24"/>
        </w:rPr>
      </w:pPr>
      <w:r w:rsidRPr="00202402">
        <w:rPr>
          <w:rStyle w:val="Bodytext1"/>
          <w:noProof/>
          <w:szCs w:val="24"/>
        </w:rPr>
        <w:t xml:space="preserve">To proceed with </w:t>
      </w:r>
      <w:r w:rsidR="00525C94">
        <w:rPr>
          <w:rStyle w:val="Bodytext1"/>
          <w:noProof/>
          <w:szCs w:val="24"/>
        </w:rPr>
        <w:t xml:space="preserve">the </w:t>
      </w:r>
      <w:r w:rsidRPr="00202402">
        <w:rPr>
          <w:rStyle w:val="Bodytext1"/>
          <w:noProof/>
          <w:szCs w:val="24"/>
        </w:rPr>
        <w:t xml:space="preserve">engineering design of </w:t>
      </w:r>
      <w:r w:rsidR="003C26C4" w:rsidRPr="00202402">
        <w:rPr>
          <w:rStyle w:val="Bodytext1"/>
          <w:noProof/>
          <w:szCs w:val="24"/>
          <w:lang w:val="mt-MT"/>
        </w:rPr>
        <w:t xml:space="preserve">a </w:t>
      </w:r>
      <w:r w:rsidRPr="00202402">
        <w:rPr>
          <w:rStyle w:val="Bodytext1"/>
          <w:noProof/>
          <w:szCs w:val="24"/>
        </w:rPr>
        <w:t>future fusion</w:t>
      </w:r>
      <w:r w:rsidR="001C76E1">
        <w:rPr>
          <w:rStyle w:val="Bodytext1"/>
          <w:noProof/>
          <w:szCs w:val="24"/>
        </w:rPr>
        <w:t>-</w:t>
      </w:r>
      <w:r w:rsidRPr="00202402">
        <w:rPr>
          <w:rStyle w:val="Bodytext1"/>
          <w:noProof/>
          <w:szCs w:val="24"/>
        </w:rPr>
        <w:t xml:space="preserve">power plant, Euratom </w:t>
      </w:r>
      <w:r w:rsidR="00750F66">
        <w:rPr>
          <w:rStyle w:val="Bodytext1"/>
          <w:noProof/>
          <w:szCs w:val="24"/>
        </w:rPr>
        <w:t>p</w:t>
      </w:r>
      <w:r w:rsidRPr="00202402">
        <w:rPr>
          <w:rStyle w:val="Bodytext1"/>
          <w:noProof/>
          <w:szCs w:val="24"/>
        </w:rPr>
        <w:t>rogramme</w:t>
      </w:r>
      <w:r w:rsidR="003C26C4" w:rsidRPr="00202402">
        <w:rPr>
          <w:rStyle w:val="Bodytext1"/>
          <w:noProof/>
          <w:szCs w:val="24"/>
          <w:lang w:val="mt-MT"/>
        </w:rPr>
        <w:t>s</w:t>
      </w:r>
      <w:r w:rsidRPr="00202402">
        <w:rPr>
          <w:rStyle w:val="Bodytext1"/>
          <w:noProof/>
          <w:szCs w:val="24"/>
        </w:rPr>
        <w:t xml:space="preserve"> should focus now and in the </w:t>
      </w:r>
      <w:r w:rsidR="003C26C4" w:rsidRPr="00202402">
        <w:rPr>
          <w:rStyle w:val="Bodytext1"/>
          <w:noProof/>
          <w:szCs w:val="24"/>
          <w:lang w:val="mt-MT"/>
        </w:rPr>
        <w:t>coming</w:t>
      </w:r>
      <w:r w:rsidRPr="00202402">
        <w:rPr>
          <w:rStyle w:val="Bodytext1"/>
          <w:noProof/>
          <w:szCs w:val="24"/>
        </w:rPr>
        <w:t xml:space="preserve"> few years on</w:t>
      </w:r>
      <w:r w:rsidR="004D5804">
        <w:rPr>
          <w:rStyle w:val="Bodytext1"/>
          <w:noProof/>
          <w:szCs w:val="24"/>
        </w:rPr>
        <w:t>: (i)</w:t>
      </w:r>
      <w:r w:rsidRPr="00202402">
        <w:rPr>
          <w:rStyle w:val="Bodytext1"/>
          <w:noProof/>
          <w:szCs w:val="24"/>
        </w:rPr>
        <w:t xml:space="preserve"> identifying the critical issues and risks</w:t>
      </w:r>
      <w:r w:rsidR="004D5804">
        <w:rPr>
          <w:rStyle w:val="Bodytext1"/>
          <w:noProof/>
          <w:szCs w:val="24"/>
        </w:rPr>
        <w:t>;</w:t>
      </w:r>
      <w:r w:rsidR="003C26C4" w:rsidRPr="00202402">
        <w:rPr>
          <w:rStyle w:val="Bodytext1"/>
          <w:noProof/>
          <w:szCs w:val="24"/>
          <w:lang w:val="mt-MT"/>
        </w:rPr>
        <w:t xml:space="preserve"> and </w:t>
      </w:r>
      <w:r w:rsidR="004D5804">
        <w:rPr>
          <w:rStyle w:val="Bodytext1"/>
          <w:noProof/>
          <w:szCs w:val="24"/>
          <w:lang w:val="mt-MT"/>
        </w:rPr>
        <w:t>(ii)</w:t>
      </w:r>
      <w:r w:rsidR="004D5804" w:rsidRPr="00202402">
        <w:rPr>
          <w:rStyle w:val="Bodytext1"/>
          <w:noProof/>
          <w:szCs w:val="24"/>
          <w:lang w:val="mt-MT"/>
        </w:rPr>
        <w:t xml:space="preserve"> </w:t>
      </w:r>
      <w:r w:rsidR="003C26C4" w:rsidRPr="00202402">
        <w:rPr>
          <w:rStyle w:val="Bodytext1"/>
          <w:noProof/>
          <w:szCs w:val="24"/>
          <w:lang w:val="mt-MT"/>
        </w:rPr>
        <w:t>determining</w:t>
      </w:r>
      <w:r w:rsidRPr="00202402">
        <w:rPr>
          <w:rStyle w:val="Bodytext1"/>
          <w:noProof/>
          <w:szCs w:val="24"/>
        </w:rPr>
        <w:t xml:space="preserve"> </w:t>
      </w:r>
      <w:r w:rsidRPr="00202402">
        <w:rPr>
          <w:rFonts w:eastAsia="Arial Unicode MS"/>
          <w:bCs/>
          <w:noProof/>
          <w:szCs w:val="24"/>
        </w:rPr>
        <w:t>ho</w:t>
      </w:r>
      <w:r w:rsidRPr="00202402">
        <w:rPr>
          <w:rStyle w:val="Bodytext1"/>
          <w:noProof/>
          <w:szCs w:val="24"/>
        </w:rPr>
        <w:t>w much risk is acceptable</w:t>
      </w:r>
      <w:r w:rsidR="003F23D1" w:rsidRPr="00202402">
        <w:rPr>
          <w:rStyle w:val="Bodytext1"/>
          <w:noProof/>
          <w:szCs w:val="24"/>
        </w:rPr>
        <w:t>.</w:t>
      </w:r>
      <w:r w:rsidRPr="00202402">
        <w:rPr>
          <w:rStyle w:val="Bodytext1"/>
          <w:noProof/>
          <w:szCs w:val="24"/>
        </w:rPr>
        <w:t xml:space="preserve"> Innovation will be </w:t>
      </w:r>
      <w:r w:rsidR="00D1334E">
        <w:rPr>
          <w:rStyle w:val="Bodytext1"/>
          <w:noProof/>
          <w:szCs w:val="24"/>
        </w:rPr>
        <w:t xml:space="preserve">therefore </w:t>
      </w:r>
      <w:r w:rsidRPr="00202402">
        <w:rPr>
          <w:rStyle w:val="Bodytext1"/>
          <w:noProof/>
          <w:szCs w:val="24"/>
        </w:rPr>
        <w:t xml:space="preserve">needed to </w:t>
      </w:r>
      <w:r w:rsidR="003C26C4" w:rsidRPr="00202402">
        <w:rPr>
          <w:rStyle w:val="Bodytext1"/>
          <w:noProof/>
          <w:szCs w:val="24"/>
          <w:lang w:val="mt-MT"/>
        </w:rPr>
        <w:t>mitigate</w:t>
      </w:r>
      <w:r w:rsidRPr="00202402">
        <w:rPr>
          <w:rStyle w:val="Bodytext1"/>
          <w:noProof/>
          <w:szCs w:val="24"/>
        </w:rPr>
        <w:t xml:space="preserve"> these risks. The real challenge will be to </w:t>
      </w:r>
      <w:r w:rsidR="004D5804">
        <w:rPr>
          <w:rStyle w:val="Bodytext1"/>
          <w:noProof/>
          <w:szCs w:val="24"/>
        </w:rPr>
        <w:t>put in place</w:t>
      </w:r>
      <w:r w:rsidR="004D5804" w:rsidRPr="00202402">
        <w:rPr>
          <w:rStyle w:val="Bodytext1"/>
          <w:noProof/>
          <w:szCs w:val="24"/>
        </w:rPr>
        <w:t xml:space="preserve"> </w:t>
      </w:r>
      <w:r w:rsidRPr="00202402">
        <w:rPr>
          <w:rStyle w:val="Bodytext1"/>
          <w:noProof/>
          <w:szCs w:val="24"/>
        </w:rPr>
        <w:t xml:space="preserve">a process to identify and prioritise these innovations and to incorporate them in </w:t>
      </w:r>
      <w:r w:rsidR="003C26C4" w:rsidRPr="00202402">
        <w:rPr>
          <w:rStyle w:val="Bodytext1"/>
          <w:noProof/>
          <w:szCs w:val="24"/>
          <w:lang w:val="mt-MT"/>
        </w:rPr>
        <w:t xml:space="preserve">the </w:t>
      </w:r>
      <w:r w:rsidRPr="00202402">
        <w:rPr>
          <w:rStyle w:val="Bodytext1"/>
          <w:noProof/>
          <w:szCs w:val="24"/>
        </w:rPr>
        <w:t xml:space="preserve">Euratom </w:t>
      </w:r>
      <w:r w:rsidR="004D5804">
        <w:rPr>
          <w:rStyle w:val="Bodytext1"/>
          <w:noProof/>
          <w:szCs w:val="24"/>
        </w:rPr>
        <w:t>p</w:t>
      </w:r>
      <w:r w:rsidR="00B760E5">
        <w:rPr>
          <w:rStyle w:val="Bodytext1"/>
          <w:noProof/>
          <w:szCs w:val="24"/>
        </w:rPr>
        <w:t>rogramme</w:t>
      </w:r>
      <w:r w:rsidRPr="00202402">
        <w:rPr>
          <w:rStyle w:val="Bodytext1"/>
          <w:noProof/>
          <w:szCs w:val="24"/>
        </w:rPr>
        <w:t xml:space="preserve">. </w:t>
      </w:r>
    </w:p>
    <w:p w14:paraId="5960CD9B" w14:textId="465E7878" w:rsidR="006A6017" w:rsidRPr="001E3C9B" w:rsidRDefault="00852107" w:rsidP="006A6017">
      <w:pPr>
        <w:pStyle w:val="ListParagraph"/>
        <w:numPr>
          <w:ilvl w:val="0"/>
          <w:numId w:val="29"/>
        </w:numPr>
        <w:spacing w:after="120" w:line="264" w:lineRule="auto"/>
        <w:rPr>
          <w:rFonts w:cs="Times New Roman"/>
          <w:noProof/>
          <w:color w:val="000000" w:themeColor="text1"/>
          <w:szCs w:val="24"/>
        </w:rPr>
      </w:pPr>
      <w:r w:rsidRPr="00202402">
        <w:rPr>
          <w:rFonts w:cs="Times New Roman"/>
          <w:noProof/>
          <w:color w:val="000000" w:themeColor="text1"/>
          <w:szCs w:val="24"/>
        </w:rPr>
        <w:t xml:space="preserve">While the Programme </w:t>
      </w:r>
      <w:r w:rsidR="003C26C4" w:rsidRPr="00202402">
        <w:rPr>
          <w:rFonts w:cs="Times New Roman"/>
          <w:noProof/>
          <w:color w:val="000000" w:themeColor="text1"/>
          <w:szCs w:val="24"/>
          <w:lang w:val="mt-MT"/>
        </w:rPr>
        <w:t>helped make</w:t>
      </w:r>
      <w:r w:rsidRPr="00202402">
        <w:rPr>
          <w:rFonts w:cs="Times New Roman"/>
          <w:noProof/>
          <w:color w:val="000000" w:themeColor="text1"/>
          <w:szCs w:val="24"/>
        </w:rPr>
        <w:t xml:space="preserve"> substantial progress </w:t>
      </w:r>
      <w:r w:rsidR="003C26C4" w:rsidRPr="00202402">
        <w:rPr>
          <w:rFonts w:cs="Times New Roman"/>
          <w:noProof/>
          <w:color w:val="000000" w:themeColor="text1"/>
          <w:szCs w:val="24"/>
          <w:lang w:val="mt-MT"/>
        </w:rPr>
        <w:t>i</w:t>
      </w:r>
      <w:r w:rsidRPr="00202402">
        <w:rPr>
          <w:rFonts w:cs="Times New Roman"/>
          <w:noProof/>
          <w:color w:val="000000" w:themeColor="text1"/>
          <w:szCs w:val="24"/>
        </w:rPr>
        <w:t>n understanding the plasma physics</w:t>
      </w:r>
      <w:r w:rsidR="00D22449" w:rsidRPr="00202402">
        <w:rPr>
          <w:rFonts w:cs="Times New Roman"/>
          <w:noProof/>
          <w:color w:val="000000" w:themeColor="text1"/>
          <w:szCs w:val="24"/>
        </w:rPr>
        <w:t xml:space="preserve"> for ITER and beyond,</w:t>
      </w:r>
      <w:r w:rsidRPr="00202402">
        <w:rPr>
          <w:rFonts w:cs="Times New Roman"/>
          <w:noProof/>
          <w:color w:val="000000" w:themeColor="text1"/>
          <w:szCs w:val="24"/>
        </w:rPr>
        <w:t xml:space="preserve"> there is a need to further develop</w:t>
      </w:r>
      <w:r w:rsidR="00C53660" w:rsidRPr="00202402">
        <w:rPr>
          <w:rFonts w:cs="Times New Roman"/>
          <w:noProof/>
          <w:color w:val="000000" w:themeColor="text1"/>
          <w:szCs w:val="24"/>
        </w:rPr>
        <w:t xml:space="preserve"> </w:t>
      </w:r>
      <w:r w:rsidRPr="00202402">
        <w:rPr>
          <w:rFonts w:cs="Times New Roman"/>
          <w:noProof/>
          <w:color w:val="000000" w:themeColor="text1"/>
          <w:szCs w:val="24"/>
        </w:rPr>
        <w:t xml:space="preserve">computational tools </w:t>
      </w:r>
      <w:r w:rsidR="003C26C4" w:rsidRPr="00202402">
        <w:rPr>
          <w:rFonts w:cs="Times New Roman"/>
          <w:noProof/>
          <w:color w:val="000000" w:themeColor="text1"/>
          <w:szCs w:val="24"/>
        </w:rPr>
        <w:t xml:space="preserve">under </w:t>
      </w:r>
      <w:r w:rsidR="003C26C4" w:rsidRPr="00202402">
        <w:rPr>
          <w:rFonts w:cs="Times New Roman"/>
          <w:noProof/>
          <w:color w:val="000000" w:themeColor="text1"/>
          <w:szCs w:val="24"/>
          <w:lang w:val="mt-MT"/>
        </w:rPr>
        <w:t xml:space="preserve">the Euratom </w:t>
      </w:r>
      <w:r w:rsidR="00F131F1">
        <w:rPr>
          <w:rFonts w:cs="Times New Roman"/>
          <w:noProof/>
          <w:color w:val="000000" w:themeColor="text1"/>
          <w:szCs w:val="24"/>
          <w:lang w:val="mt-MT"/>
        </w:rPr>
        <w:t>p</w:t>
      </w:r>
      <w:r w:rsidR="003C26C4" w:rsidRPr="00202402">
        <w:rPr>
          <w:rFonts w:cs="Times New Roman"/>
          <w:noProof/>
          <w:color w:val="000000" w:themeColor="text1"/>
          <w:szCs w:val="24"/>
          <w:lang w:val="mt-MT"/>
        </w:rPr>
        <w:t>rogramme</w:t>
      </w:r>
      <w:r w:rsidR="00F131F1">
        <w:rPr>
          <w:rFonts w:cs="Times New Roman"/>
          <w:noProof/>
          <w:color w:val="000000" w:themeColor="text1"/>
          <w:szCs w:val="24"/>
          <w:lang w:val="mt-MT"/>
        </w:rPr>
        <w:t xml:space="preserve"> for</w:t>
      </w:r>
      <w:r w:rsidR="003C26C4" w:rsidRPr="00202402">
        <w:rPr>
          <w:rFonts w:cs="Times New Roman"/>
          <w:noProof/>
          <w:color w:val="000000" w:themeColor="text1"/>
          <w:szCs w:val="24"/>
          <w:lang w:val="mt-MT"/>
        </w:rPr>
        <w:t xml:space="preserve"> </w:t>
      </w:r>
      <w:r w:rsidR="003C26C4" w:rsidRPr="00202402">
        <w:rPr>
          <w:rFonts w:cs="Times New Roman"/>
          <w:noProof/>
          <w:color w:val="000000" w:themeColor="text1"/>
          <w:szCs w:val="24"/>
        </w:rPr>
        <w:t xml:space="preserve">2021-2025 </w:t>
      </w:r>
      <w:r w:rsidRPr="00202402">
        <w:rPr>
          <w:rFonts w:cs="Times New Roman"/>
          <w:noProof/>
          <w:color w:val="000000" w:themeColor="text1"/>
          <w:szCs w:val="24"/>
        </w:rPr>
        <w:t>to predict, analyse and interpret experimental results</w:t>
      </w:r>
      <w:r w:rsidR="003C26C4" w:rsidRPr="00202402">
        <w:rPr>
          <w:rFonts w:cs="Times New Roman"/>
          <w:noProof/>
          <w:color w:val="000000" w:themeColor="text1"/>
          <w:szCs w:val="24"/>
          <w:lang w:val="mt-MT"/>
        </w:rPr>
        <w:t>. These</w:t>
      </w:r>
      <w:r w:rsidRPr="00202402">
        <w:rPr>
          <w:rFonts w:cs="Times New Roman"/>
          <w:noProof/>
          <w:color w:val="000000" w:themeColor="text1"/>
          <w:szCs w:val="24"/>
        </w:rPr>
        <w:t xml:space="preserve"> to</w:t>
      </w:r>
      <w:r w:rsidR="003C26C4" w:rsidRPr="00202402">
        <w:rPr>
          <w:rFonts w:cs="Times New Roman"/>
          <w:noProof/>
          <w:color w:val="000000" w:themeColor="text1"/>
          <w:szCs w:val="24"/>
          <w:lang w:val="mt-MT"/>
        </w:rPr>
        <w:t>ols can be then used to</w:t>
      </w:r>
      <w:r w:rsidRPr="00202402">
        <w:rPr>
          <w:rFonts w:cs="Times New Roman"/>
          <w:noProof/>
          <w:color w:val="000000" w:themeColor="text1"/>
          <w:szCs w:val="24"/>
        </w:rPr>
        <w:t xml:space="preserve"> produce comprehensive between</w:t>
      </w:r>
      <w:r w:rsidR="003C26C4" w:rsidRPr="00202402">
        <w:rPr>
          <w:rFonts w:cs="Times New Roman"/>
          <w:noProof/>
          <w:color w:val="000000" w:themeColor="text1"/>
          <w:szCs w:val="24"/>
          <w:lang w:val="mt-MT"/>
        </w:rPr>
        <w:t>-</w:t>
      </w:r>
      <w:r w:rsidRPr="00202402">
        <w:rPr>
          <w:rFonts w:cs="Times New Roman"/>
          <w:noProof/>
          <w:color w:val="000000" w:themeColor="text1"/>
          <w:szCs w:val="24"/>
        </w:rPr>
        <w:t>shot analysis for ITER.</w:t>
      </w:r>
    </w:p>
    <w:p w14:paraId="2B943543" w14:textId="5DFDD0F1" w:rsidR="006A6017" w:rsidRPr="00EF53E8" w:rsidRDefault="00867FDC" w:rsidP="00C00CF7">
      <w:pPr>
        <w:pStyle w:val="Bodytext10"/>
        <w:numPr>
          <w:ilvl w:val="0"/>
          <w:numId w:val="29"/>
        </w:numPr>
        <w:spacing w:after="160" w:line="256" w:lineRule="auto"/>
        <w:jc w:val="both"/>
        <w:rPr>
          <w:rStyle w:val="Bodytext1"/>
          <w:rFonts w:ascii="Times New Roman" w:eastAsiaTheme="minorEastAsia" w:hAnsi="Times New Roman"/>
          <w:noProof/>
          <w:sz w:val="24"/>
          <w:szCs w:val="24"/>
          <w:lang w:eastAsia="en-GB"/>
        </w:rPr>
      </w:pPr>
      <w:r w:rsidRPr="001E3C9B">
        <w:rPr>
          <w:rStyle w:val="Bodytext1"/>
          <w:rFonts w:ascii="Times New Roman" w:eastAsiaTheme="minorEastAsia" w:hAnsi="Times New Roman"/>
          <w:noProof/>
          <w:sz w:val="24"/>
          <w:szCs w:val="24"/>
          <w:lang w:eastAsia="en-GB"/>
        </w:rPr>
        <w:t>A f</w:t>
      </w:r>
      <w:r w:rsidR="00C00CF7" w:rsidRPr="001E3C9B">
        <w:rPr>
          <w:rStyle w:val="Bodytext1"/>
          <w:rFonts w:ascii="Times New Roman" w:eastAsiaTheme="minorEastAsia" w:hAnsi="Times New Roman"/>
          <w:noProof/>
          <w:sz w:val="24"/>
          <w:szCs w:val="24"/>
          <w:lang w:eastAsia="en-GB"/>
        </w:rPr>
        <w:t>uture fusion</w:t>
      </w:r>
      <w:r w:rsidR="001C76E1">
        <w:rPr>
          <w:rStyle w:val="Bodytext1"/>
          <w:rFonts w:ascii="Times New Roman" w:eastAsiaTheme="minorEastAsia" w:hAnsi="Times New Roman"/>
          <w:noProof/>
          <w:sz w:val="24"/>
          <w:szCs w:val="24"/>
          <w:lang w:eastAsia="en-GB"/>
        </w:rPr>
        <w:t>-</w:t>
      </w:r>
      <w:r w:rsidR="00C00CF7" w:rsidRPr="001E3C9B">
        <w:rPr>
          <w:rStyle w:val="Bodytext1"/>
          <w:rFonts w:ascii="Times New Roman" w:eastAsiaTheme="minorEastAsia" w:hAnsi="Times New Roman"/>
          <w:noProof/>
          <w:sz w:val="24"/>
          <w:szCs w:val="24"/>
          <w:lang w:eastAsia="en-GB"/>
        </w:rPr>
        <w:t xml:space="preserve">power plant requires </w:t>
      </w:r>
      <w:r w:rsidR="009C1455" w:rsidRPr="001E3C9B">
        <w:rPr>
          <w:rStyle w:val="Bodytext1"/>
          <w:rFonts w:ascii="Times New Roman" w:eastAsiaTheme="minorEastAsia" w:hAnsi="Times New Roman"/>
          <w:noProof/>
          <w:sz w:val="24"/>
          <w:szCs w:val="24"/>
          <w:lang w:eastAsia="en-GB"/>
        </w:rPr>
        <w:t>efficient project engineering</w:t>
      </w:r>
      <w:r w:rsidR="00C00CF7" w:rsidRPr="001E3C9B">
        <w:rPr>
          <w:rStyle w:val="Bodytext1"/>
          <w:rFonts w:ascii="Times New Roman" w:eastAsiaTheme="minorEastAsia" w:hAnsi="Times New Roman"/>
          <w:noProof/>
          <w:sz w:val="24"/>
          <w:szCs w:val="24"/>
          <w:lang w:eastAsia="en-GB"/>
        </w:rPr>
        <w:t xml:space="preserve">. </w:t>
      </w:r>
      <w:r w:rsidR="004D5804">
        <w:rPr>
          <w:rStyle w:val="Bodytext1"/>
          <w:rFonts w:ascii="Times New Roman" w:eastAsiaTheme="minorEastAsia" w:hAnsi="Times New Roman"/>
          <w:noProof/>
          <w:sz w:val="24"/>
          <w:szCs w:val="24"/>
          <w:lang w:eastAsia="en-GB"/>
        </w:rPr>
        <w:t>Although</w:t>
      </w:r>
      <w:r w:rsidR="004D5804" w:rsidRPr="001E3C9B">
        <w:rPr>
          <w:rStyle w:val="Bodytext1"/>
          <w:rFonts w:ascii="Times New Roman" w:eastAsiaTheme="minorEastAsia" w:hAnsi="Times New Roman"/>
          <w:noProof/>
          <w:sz w:val="24"/>
          <w:szCs w:val="24"/>
          <w:lang w:eastAsia="en-GB"/>
        </w:rPr>
        <w:t xml:space="preserve"> </w:t>
      </w:r>
      <w:r w:rsidR="006A6017" w:rsidRPr="001E3C9B">
        <w:rPr>
          <w:rStyle w:val="Bodytext1"/>
          <w:rFonts w:ascii="Times New Roman" w:eastAsiaTheme="minorEastAsia" w:hAnsi="Times New Roman"/>
          <w:noProof/>
          <w:sz w:val="24"/>
          <w:szCs w:val="24"/>
          <w:lang w:eastAsia="en-GB"/>
        </w:rPr>
        <w:t xml:space="preserve">this element is expected to be delivered by industry, EUROfusion should consider developing a </w:t>
      </w:r>
      <w:r w:rsidR="00AE45F6">
        <w:rPr>
          <w:rStyle w:val="Bodytext1"/>
          <w:rFonts w:ascii="Times New Roman" w:eastAsiaTheme="minorEastAsia" w:hAnsi="Times New Roman"/>
          <w:noProof/>
          <w:sz w:val="24"/>
          <w:szCs w:val="24"/>
          <w:lang w:eastAsia="en-GB"/>
        </w:rPr>
        <w:t xml:space="preserve">training scheme for </w:t>
      </w:r>
      <w:r w:rsidR="006A6017" w:rsidRPr="001E3C9B">
        <w:rPr>
          <w:rStyle w:val="Bodytext1"/>
          <w:rFonts w:ascii="Times New Roman" w:eastAsiaTheme="minorEastAsia" w:hAnsi="Times New Roman"/>
          <w:noProof/>
          <w:sz w:val="24"/>
          <w:szCs w:val="24"/>
          <w:lang w:eastAsia="en-GB"/>
        </w:rPr>
        <w:t xml:space="preserve">project engineering and management </w:t>
      </w:r>
      <w:r w:rsidR="00AE45F6">
        <w:rPr>
          <w:rStyle w:val="Bodytext1"/>
          <w:rFonts w:ascii="Times New Roman" w:eastAsiaTheme="minorEastAsia" w:hAnsi="Times New Roman"/>
          <w:noProof/>
          <w:sz w:val="24"/>
          <w:szCs w:val="24"/>
          <w:lang w:eastAsia="en-GB"/>
        </w:rPr>
        <w:t>adapted to</w:t>
      </w:r>
      <w:r w:rsidR="006A6017" w:rsidRPr="001E3C9B">
        <w:rPr>
          <w:rStyle w:val="Bodytext1"/>
          <w:rFonts w:ascii="Times New Roman" w:eastAsiaTheme="minorEastAsia" w:hAnsi="Times New Roman"/>
          <w:noProof/>
          <w:sz w:val="24"/>
          <w:szCs w:val="24"/>
          <w:lang w:eastAsia="en-GB"/>
        </w:rPr>
        <w:t xml:space="preserve"> specialised fusion knowledge. </w:t>
      </w:r>
    </w:p>
    <w:p w14:paraId="1928AE8F" w14:textId="6D459A7E" w:rsidR="006D4750" w:rsidRPr="00854965" w:rsidRDefault="006D4750" w:rsidP="006D4750">
      <w:pPr>
        <w:spacing w:beforeLines="40" w:before="96" w:afterLines="40" w:after="96" w:line="259" w:lineRule="auto"/>
        <w:jc w:val="both"/>
        <w:rPr>
          <w:rFonts w:ascii="Times New Roman" w:hAnsi="Times New Roman" w:cs="Times New Roman"/>
          <w:noProof/>
          <w:sz w:val="24"/>
          <w:szCs w:val="24"/>
          <w:u w:val="single"/>
        </w:rPr>
      </w:pPr>
      <w:r w:rsidRPr="00854965">
        <w:rPr>
          <w:rFonts w:ascii="Times New Roman" w:hAnsi="Times New Roman" w:cs="Times New Roman"/>
          <w:noProof/>
          <w:sz w:val="24"/>
          <w:szCs w:val="24"/>
          <w:u w:val="single"/>
        </w:rPr>
        <w:t>Commission’s response</w:t>
      </w:r>
    </w:p>
    <w:p w14:paraId="004C9708" w14:textId="568E0452" w:rsidR="009D4F59" w:rsidRPr="001E3C9B" w:rsidRDefault="00867FDC" w:rsidP="009D4F59">
      <w:pPr>
        <w:spacing w:beforeLines="40" w:before="96" w:afterLines="40" w:after="96" w:line="259" w:lineRule="auto"/>
        <w:jc w:val="both"/>
        <w:rPr>
          <w:rFonts w:ascii="Times New Roman" w:hAnsi="Times New Roman" w:cs="Times New Roman"/>
          <w:noProof/>
          <w:sz w:val="24"/>
          <w:szCs w:val="24"/>
        </w:rPr>
      </w:pPr>
      <w:r w:rsidRPr="001E3C9B">
        <w:rPr>
          <w:rFonts w:ascii="Times New Roman" w:hAnsi="Times New Roman" w:cs="Times New Roman"/>
          <w:noProof/>
          <w:sz w:val="24"/>
          <w:szCs w:val="24"/>
        </w:rPr>
        <w:t>The Commission shares the experts</w:t>
      </w:r>
      <w:r w:rsidR="00AE45F6">
        <w:rPr>
          <w:rFonts w:ascii="Times New Roman" w:hAnsi="Times New Roman" w:cs="Times New Roman"/>
          <w:noProof/>
          <w:sz w:val="24"/>
          <w:szCs w:val="24"/>
        </w:rPr>
        <w:t>’</w:t>
      </w:r>
      <w:r w:rsidRPr="001E3C9B">
        <w:rPr>
          <w:rFonts w:ascii="Times New Roman" w:hAnsi="Times New Roman" w:cs="Times New Roman"/>
          <w:noProof/>
          <w:sz w:val="24"/>
          <w:szCs w:val="24"/>
        </w:rPr>
        <w:t xml:space="preserve"> views and aims to improve fusion research funded by the Euratom programme. </w:t>
      </w:r>
      <w:r w:rsidR="009D4F59" w:rsidRPr="001E3C9B">
        <w:rPr>
          <w:rFonts w:ascii="Times New Roman" w:hAnsi="Times New Roman" w:cs="Times New Roman"/>
          <w:noProof/>
          <w:sz w:val="24"/>
          <w:szCs w:val="24"/>
        </w:rPr>
        <w:t>The fusion</w:t>
      </w:r>
      <w:r w:rsidR="00AE45F6">
        <w:rPr>
          <w:rFonts w:ascii="Times New Roman" w:hAnsi="Times New Roman" w:cs="Times New Roman"/>
          <w:noProof/>
          <w:sz w:val="24"/>
          <w:szCs w:val="24"/>
        </w:rPr>
        <w:t>-</w:t>
      </w:r>
      <w:r w:rsidR="009D4F59" w:rsidRPr="001E3C9B">
        <w:rPr>
          <w:rFonts w:ascii="Times New Roman" w:hAnsi="Times New Roman" w:cs="Times New Roman"/>
          <w:noProof/>
          <w:sz w:val="24"/>
          <w:szCs w:val="24"/>
        </w:rPr>
        <w:t xml:space="preserve">research landscape is changing rapidly as international competition is increasing and a vibrant private sector </w:t>
      </w:r>
      <w:r w:rsidR="00AE45F6">
        <w:rPr>
          <w:rFonts w:ascii="Times New Roman" w:hAnsi="Times New Roman" w:cs="Times New Roman"/>
          <w:noProof/>
          <w:sz w:val="24"/>
          <w:szCs w:val="24"/>
        </w:rPr>
        <w:t xml:space="preserve">in the area of fusion </w:t>
      </w:r>
      <w:r w:rsidR="009D4F59" w:rsidRPr="001E3C9B">
        <w:rPr>
          <w:rFonts w:ascii="Times New Roman" w:hAnsi="Times New Roman" w:cs="Times New Roman"/>
          <w:noProof/>
          <w:sz w:val="24"/>
          <w:szCs w:val="24"/>
        </w:rPr>
        <w:t xml:space="preserve">is emerging globally. </w:t>
      </w:r>
      <w:r w:rsidR="009D4F59" w:rsidRPr="007C4BD5">
        <w:rPr>
          <w:rFonts w:ascii="Times New Roman" w:hAnsi="Times New Roman" w:cs="Times New Roman"/>
          <w:noProof/>
          <w:sz w:val="24"/>
          <w:szCs w:val="24"/>
        </w:rPr>
        <w:t xml:space="preserve">European fusion know-how and industrial capacity may be lost if the </w:t>
      </w:r>
      <w:r w:rsidRPr="007C4BD5">
        <w:rPr>
          <w:rFonts w:ascii="Times New Roman" w:hAnsi="Times New Roman" w:cs="Times New Roman"/>
          <w:noProof/>
          <w:sz w:val="24"/>
          <w:szCs w:val="24"/>
        </w:rPr>
        <w:t xml:space="preserve">way we organise our </w:t>
      </w:r>
      <w:r w:rsidR="009D4F59" w:rsidRPr="007C4BD5">
        <w:rPr>
          <w:rFonts w:ascii="Times New Roman" w:hAnsi="Times New Roman" w:cs="Times New Roman"/>
          <w:noProof/>
          <w:sz w:val="24"/>
          <w:szCs w:val="24"/>
        </w:rPr>
        <w:t xml:space="preserve">research is not adapted and </w:t>
      </w:r>
      <w:r w:rsidRPr="007C4BD5">
        <w:rPr>
          <w:rFonts w:ascii="Times New Roman" w:hAnsi="Times New Roman" w:cs="Times New Roman"/>
          <w:noProof/>
          <w:sz w:val="24"/>
          <w:szCs w:val="24"/>
        </w:rPr>
        <w:t xml:space="preserve">if </w:t>
      </w:r>
      <w:r w:rsidR="009D4F59" w:rsidRPr="007C4BD5">
        <w:rPr>
          <w:rFonts w:ascii="Times New Roman" w:hAnsi="Times New Roman" w:cs="Times New Roman"/>
          <w:noProof/>
          <w:sz w:val="24"/>
          <w:szCs w:val="24"/>
        </w:rPr>
        <w:t xml:space="preserve">the innovation potential of the private sector </w:t>
      </w:r>
      <w:r w:rsidRPr="007C4BD5">
        <w:rPr>
          <w:rFonts w:ascii="Times New Roman" w:hAnsi="Times New Roman" w:cs="Times New Roman"/>
          <w:noProof/>
          <w:sz w:val="24"/>
          <w:szCs w:val="24"/>
        </w:rPr>
        <w:t xml:space="preserve">in the EU </w:t>
      </w:r>
      <w:r w:rsidR="009D4F59" w:rsidRPr="007C4BD5">
        <w:rPr>
          <w:rFonts w:ascii="Times New Roman" w:hAnsi="Times New Roman" w:cs="Times New Roman"/>
          <w:noProof/>
          <w:sz w:val="24"/>
          <w:szCs w:val="24"/>
        </w:rPr>
        <w:t>is</w:t>
      </w:r>
      <w:r w:rsidR="00AE45F6">
        <w:rPr>
          <w:rFonts w:ascii="Times New Roman" w:hAnsi="Times New Roman" w:cs="Times New Roman"/>
          <w:noProof/>
          <w:sz w:val="24"/>
          <w:szCs w:val="24"/>
        </w:rPr>
        <w:t xml:space="preserve"> </w:t>
      </w:r>
      <w:r w:rsidR="009D4F59" w:rsidRPr="007C4BD5">
        <w:rPr>
          <w:rFonts w:ascii="Times New Roman" w:hAnsi="Times New Roman" w:cs="Times New Roman"/>
          <w:noProof/>
          <w:sz w:val="24"/>
          <w:szCs w:val="24"/>
        </w:rPr>
        <w:t>n</w:t>
      </w:r>
      <w:r w:rsidR="00AE45F6">
        <w:rPr>
          <w:rFonts w:ascii="Times New Roman" w:hAnsi="Times New Roman" w:cs="Times New Roman"/>
          <w:noProof/>
          <w:sz w:val="24"/>
          <w:szCs w:val="24"/>
        </w:rPr>
        <w:t>o</w:t>
      </w:r>
      <w:r w:rsidR="009D4F59" w:rsidRPr="007C4BD5">
        <w:rPr>
          <w:rFonts w:ascii="Times New Roman" w:hAnsi="Times New Roman" w:cs="Times New Roman"/>
          <w:noProof/>
          <w:sz w:val="24"/>
          <w:szCs w:val="24"/>
        </w:rPr>
        <w:t xml:space="preserve">t </w:t>
      </w:r>
      <w:r w:rsidRPr="007C4BD5">
        <w:rPr>
          <w:rFonts w:ascii="Times New Roman" w:hAnsi="Times New Roman" w:cs="Times New Roman"/>
          <w:noProof/>
          <w:sz w:val="24"/>
          <w:szCs w:val="24"/>
        </w:rPr>
        <w:t xml:space="preserve">put to </w:t>
      </w:r>
      <w:r w:rsidR="009D4F59" w:rsidRPr="007C4BD5">
        <w:rPr>
          <w:rFonts w:ascii="Times New Roman" w:hAnsi="Times New Roman" w:cs="Times New Roman"/>
          <w:noProof/>
          <w:sz w:val="24"/>
          <w:szCs w:val="24"/>
        </w:rPr>
        <w:t xml:space="preserve">use to accelerate technology development. An important step </w:t>
      </w:r>
      <w:r w:rsidRPr="007C4BD5">
        <w:rPr>
          <w:rFonts w:ascii="Times New Roman" w:hAnsi="Times New Roman" w:cs="Times New Roman"/>
          <w:noProof/>
          <w:sz w:val="24"/>
          <w:szCs w:val="24"/>
        </w:rPr>
        <w:t>would</w:t>
      </w:r>
      <w:r w:rsidR="009D4F59" w:rsidRPr="007C4BD5">
        <w:rPr>
          <w:rFonts w:ascii="Times New Roman" w:hAnsi="Times New Roman" w:cs="Times New Roman"/>
          <w:noProof/>
          <w:sz w:val="24"/>
          <w:szCs w:val="24"/>
        </w:rPr>
        <w:t xml:space="preserve"> be to support innovation </w:t>
      </w:r>
      <w:r w:rsidR="00AE45F6">
        <w:rPr>
          <w:rFonts w:ascii="Times New Roman" w:hAnsi="Times New Roman" w:cs="Times New Roman"/>
          <w:noProof/>
          <w:sz w:val="24"/>
          <w:szCs w:val="24"/>
        </w:rPr>
        <w:t xml:space="preserve">in the EU </w:t>
      </w:r>
      <w:r w:rsidR="009D4F59" w:rsidRPr="007C4BD5">
        <w:rPr>
          <w:rFonts w:ascii="Times New Roman" w:hAnsi="Times New Roman" w:cs="Times New Roman"/>
          <w:noProof/>
          <w:sz w:val="24"/>
          <w:szCs w:val="24"/>
        </w:rPr>
        <w:t>on critical enabling technologies for fusion energy.</w:t>
      </w:r>
      <w:r w:rsidR="009D4F59" w:rsidRPr="0087320C">
        <w:rPr>
          <w:rFonts w:ascii="Times New Roman" w:hAnsi="Times New Roman" w:cs="Times New Roman"/>
          <w:noProof/>
          <w:sz w:val="24"/>
          <w:szCs w:val="24"/>
        </w:rPr>
        <w:t xml:space="preserve"> </w:t>
      </w:r>
    </w:p>
    <w:p w14:paraId="358CC9B8" w14:textId="74C12AA7" w:rsidR="00191C87" w:rsidRPr="001E3C9B" w:rsidRDefault="009D4F59" w:rsidP="006D4750">
      <w:pPr>
        <w:spacing w:beforeLines="40" w:before="96" w:afterLines="40" w:after="96" w:line="259" w:lineRule="auto"/>
        <w:jc w:val="both"/>
        <w:rPr>
          <w:rFonts w:ascii="Times New Roman" w:hAnsi="Times New Roman" w:cs="Times New Roman"/>
          <w:noProof/>
          <w:sz w:val="24"/>
          <w:szCs w:val="24"/>
        </w:rPr>
      </w:pPr>
      <w:r w:rsidRPr="001E3C9B">
        <w:rPr>
          <w:rFonts w:ascii="Times New Roman" w:hAnsi="Times New Roman" w:cs="Times New Roman"/>
          <w:noProof/>
          <w:sz w:val="24"/>
          <w:szCs w:val="24"/>
        </w:rPr>
        <w:t xml:space="preserve">The interim evaluation of the ongoing Euratom </w:t>
      </w:r>
      <w:r w:rsidR="00AE45F6">
        <w:rPr>
          <w:rFonts w:ascii="Times New Roman" w:hAnsi="Times New Roman" w:cs="Times New Roman"/>
          <w:noProof/>
          <w:sz w:val="24"/>
          <w:szCs w:val="24"/>
        </w:rPr>
        <w:t>p</w:t>
      </w:r>
      <w:r w:rsidRPr="001E3C9B">
        <w:rPr>
          <w:rFonts w:ascii="Times New Roman" w:hAnsi="Times New Roman" w:cs="Times New Roman"/>
          <w:noProof/>
          <w:sz w:val="24"/>
          <w:szCs w:val="24"/>
        </w:rPr>
        <w:t xml:space="preserve">rogramme </w:t>
      </w:r>
      <w:r w:rsidR="00AE45F6">
        <w:rPr>
          <w:rFonts w:ascii="Times New Roman" w:hAnsi="Times New Roman" w:cs="Times New Roman"/>
          <w:noProof/>
          <w:sz w:val="24"/>
          <w:szCs w:val="24"/>
        </w:rPr>
        <w:t xml:space="preserve">for </w:t>
      </w:r>
      <w:r w:rsidRPr="001E3C9B">
        <w:rPr>
          <w:rFonts w:ascii="Times New Roman" w:hAnsi="Times New Roman" w:cs="Times New Roman"/>
          <w:noProof/>
          <w:sz w:val="24"/>
          <w:szCs w:val="24"/>
        </w:rPr>
        <w:t xml:space="preserve">2021-2025 will address a wide range of issues essential </w:t>
      </w:r>
      <w:r w:rsidR="00867FDC" w:rsidRPr="001E3C9B">
        <w:rPr>
          <w:rFonts w:ascii="Times New Roman" w:hAnsi="Times New Roman" w:cs="Times New Roman"/>
          <w:noProof/>
          <w:sz w:val="24"/>
          <w:szCs w:val="24"/>
        </w:rPr>
        <w:t>to</w:t>
      </w:r>
      <w:r w:rsidRPr="001E3C9B">
        <w:rPr>
          <w:rFonts w:ascii="Times New Roman" w:hAnsi="Times New Roman" w:cs="Times New Roman"/>
          <w:noProof/>
          <w:sz w:val="24"/>
          <w:szCs w:val="24"/>
        </w:rPr>
        <w:t xml:space="preserve"> accelerating the delivery of fusion electricity. Following the conclusion of the interim evaluation, the Commission intends to put forward a proposal </w:t>
      </w:r>
      <w:r w:rsidR="00F131F1">
        <w:rPr>
          <w:rFonts w:ascii="Times New Roman" w:hAnsi="Times New Roman" w:cs="Times New Roman"/>
          <w:noProof/>
          <w:sz w:val="24"/>
          <w:szCs w:val="24"/>
        </w:rPr>
        <w:t>to</w:t>
      </w:r>
      <w:r w:rsidRPr="001E3C9B">
        <w:rPr>
          <w:rFonts w:ascii="Times New Roman" w:hAnsi="Times New Roman" w:cs="Times New Roman"/>
          <w:noProof/>
          <w:sz w:val="24"/>
          <w:szCs w:val="24"/>
        </w:rPr>
        <w:t xml:space="preserve"> exten</w:t>
      </w:r>
      <w:r w:rsidR="00F131F1">
        <w:rPr>
          <w:rFonts w:ascii="Times New Roman" w:hAnsi="Times New Roman" w:cs="Times New Roman"/>
          <w:noProof/>
          <w:sz w:val="24"/>
          <w:szCs w:val="24"/>
        </w:rPr>
        <w:t>d</w:t>
      </w:r>
      <w:r w:rsidRPr="001E3C9B">
        <w:rPr>
          <w:rFonts w:ascii="Times New Roman" w:hAnsi="Times New Roman" w:cs="Times New Roman"/>
          <w:noProof/>
          <w:sz w:val="24"/>
          <w:szCs w:val="24"/>
        </w:rPr>
        <w:t xml:space="preserve"> the Euratom </w:t>
      </w:r>
      <w:r w:rsidR="00AE45F6">
        <w:rPr>
          <w:rFonts w:ascii="Times New Roman" w:hAnsi="Times New Roman" w:cs="Times New Roman"/>
          <w:noProof/>
          <w:sz w:val="24"/>
          <w:szCs w:val="24"/>
        </w:rPr>
        <w:t>p</w:t>
      </w:r>
      <w:r w:rsidRPr="001E3C9B">
        <w:rPr>
          <w:rFonts w:ascii="Times New Roman" w:hAnsi="Times New Roman" w:cs="Times New Roman"/>
          <w:noProof/>
          <w:sz w:val="24"/>
          <w:szCs w:val="24"/>
        </w:rPr>
        <w:t xml:space="preserve">rogramme for 2026-2027, </w:t>
      </w:r>
      <w:r w:rsidR="00AE45F6">
        <w:rPr>
          <w:rFonts w:ascii="Times New Roman" w:hAnsi="Times New Roman" w:cs="Times New Roman"/>
          <w:noProof/>
          <w:sz w:val="24"/>
          <w:szCs w:val="24"/>
        </w:rPr>
        <w:t>in which</w:t>
      </w:r>
      <w:r w:rsidR="00AE45F6" w:rsidRPr="001E3C9B">
        <w:rPr>
          <w:rFonts w:ascii="Times New Roman" w:hAnsi="Times New Roman" w:cs="Times New Roman"/>
          <w:noProof/>
          <w:sz w:val="24"/>
          <w:szCs w:val="24"/>
        </w:rPr>
        <w:t xml:space="preserve"> </w:t>
      </w:r>
      <w:r w:rsidRPr="001E3C9B">
        <w:rPr>
          <w:rFonts w:ascii="Times New Roman" w:hAnsi="Times New Roman" w:cs="Times New Roman"/>
          <w:noProof/>
          <w:sz w:val="24"/>
          <w:szCs w:val="24"/>
        </w:rPr>
        <w:t>the most pressing issues will be addressed.</w:t>
      </w:r>
    </w:p>
    <w:p w14:paraId="6AB6A343" w14:textId="318E4D38" w:rsidR="00C00CF7" w:rsidRPr="001E3C9B" w:rsidRDefault="00C00CF7" w:rsidP="00C00CF7">
      <w:pPr>
        <w:spacing w:after="120" w:line="264" w:lineRule="auto"/>
        <w:jc w:val="both"/>
        <w:rPr>
          <w:rFonts w:ascii="Times New Roman" w:hAnsi="Times New Roman" w:cs="Times New Roman"/>
          <w:b/>
          <w:noProof/>
          <w:color w:val="000000" w:themeColor="text1"/>
          <w:sz w:val="24"/>
          <w:szCs w:val="24"/>
        </w:rPr>
      </w:pPr>
      <w:r w:rsidRPr="001E3C9B">
        <w:rPr>
          <w:rFonts w:ascii="Times New Roman" w:hAnsi="Times New Roman" w:cs="Times New Roman"/>
          <w:b/>
          <w:noProof/>
          <w:color w:val="000000" w:themeColor="text1"/>
          <w:sz w:val="24"/>
          <w:szCs w:val="24"/>
        </w:rPr>
        <w:t>Recommendations on f</w:t>
      </w:r>
      <w:r w:rsidR="00174635" w:rsidRPr="001E3C9B">
        <w:rPr>
          <w:rFonts w:ascii="Times New Roman" w:hAnsi="Times New Roman" w:cs="Times New Roman"/>
          <w:b/>
          <w:noProof/>
          <w:color w:val="000000" w:themeColor="text1"/>
          <w:sz w:val="24"/>
          <w:szCs w:val="24"/>
        </w:rPr>
        <w:t>ission</w:t>
      </w:r>
      <w:r w:rsidRPr="001E3C9B">
        <w:rPr>
          <w:rFonts w:ascii="Times New Roman" w:hAnsi="Times New Roman" w:cs="Times New Roman"/>
          <w:b/>
          <w:noProof/>
          <w:color w:val="000000" w:themeColor="text1"/>
          <w:sz w:val="24"/>
          <w:szCs w:val="24"/>
        </w:rPr>
        <w:t xml:space="preserve"> research</w:t>
      </w:r>
      <w:r w:rsidR="00C1446A" w:rsidRPr="001E3C9B">
        <w:rPr>
          <w:rFonts w:ascii="Times New Roman" w:hAnsi="Times New Roman" w:cs="Times New Roman"/>
          <w:b/>
          <w:noProof/>
          <w:color w:val="000000" w:themeColor="text1"/>
          <w:sz w:val="24"/>
          <w:szCs w:val="24"/>
        </w:rPr>
        <w:t xml:space="preserve"> and </w:t>
      </w:r>
      <w:r w:rsidR="003431C2" w:rsidRPr="001E3C9B">
        <w:rPr>
          <w:rFonts w:ascii="Times New Roman" w:hAnsi="Times New Roman" w:cs="Times New Roman"/>
          <w:b/>
          <w:noProof/>
          <w:color w:val="000000" w:themeColor="text1"/>
          <w:sz w:val="24"/>
          <w:szCs w:val="24"/>
        </w:rPr>
        <w:t xml:space="preserve">the </w:t>
      </w:r>
      <w:r w:rsidR="00C1446A" w:rsidRPr="001E3C9B">
        <w:rPr>
          <w:rFonts w:ascii="Times New Roman" w:hAnsi="Times New Roman" w:cs="Times New Roman"/>
          <w:b/>
          <w:noProof/>
          <w:color w:val="000000" w:themeColor="text1"/>
          <w:sz w:val="24"/>
          <w:szCs w:val="24"/>
        </w:rPr>
        <w:t>C</w:t>
      </w:r>
      <w:r w:rsidR="00637876" w:rsidRPr="001E3C9B">
        <w:rPr>
          <w:rFonts w:ascii="Times New Roman" w:hAnsi="Times New Roman" w:cs="Times New Roman"/>
          <w:b/>
          <w:noProof/>
          <w:color w:val="000000" w:themeColor="text1"/>
          <w:sz w:val="24"/>
          <w:szCs w:val="24"/>
        </w:rPr>
        <w:t>ommission’s</w:t>
      </w:r>
      <w:r w:rsidR="00C1446A" w:rsidRPr="001E3C9B">
        <w:rPr>
          <w:rFonts w:ascii="Times New Roman" w:hAnsi="Times New Roman" w:cs="Times New Roman"/>
          <w:b/>
          <w:noProof/>
          <w:color w:val="000000" w:themeColor="text1"/>
          <w:sz w:val="24"/>
          <w:szCs w:val="24"/>
        </w:rPr>
        <w:t xml:space="preserve"> response</w:t>
      </w:r>
    </w:p>
    <w:p w14:paraId="45FCDAB1" w14:textId="0AEB4CFF" w:rsidR="00C1446A" w:rsidRPr="001E3C9B" w:rsidRDefault="00AE45F6" w:rsidP="00C1446A">
      <w:pPr>
        <w:pStyle w:val="Bodytext10"/>
        <w:numPr>
          <w:ilvl w:val="0"/>
          <w:numId w:val="40"/>
        </w:numPr>
        <w:spacing w:after="160" w:line="256" w:lineRule="auto"/>
        <w:jc w:val="both"/>
        <w:rPr>
          <w:rStyle w:val="Bodytext1"/>
          <w:rFonts w:ascii="Times New Roman" w:eastAsiaTheme="minorEastAsia" w:hAnsi="Times New Roman"/>
          <w:noProof/>
          <w:sz w:val="24"/>
          <w:szCs w:val="24"/>
          <w:lang w:eastAsia="en-GB"/>
        </w:rPr>
      </w:pPr>
      <w:r>
        <w:rPr>
          <w:rStyle w:val="Bodytext1"/>
          <w:rFonts w:ascii="Times New Roman" w:eastAsiaTheme="minorEastAsia" w:hAnsi="Times New Roman"/>
          <w:noProof/>
          <w:sz w:val="24"/>
          <w:szCs w:val="24"/>
          <w:lang w:eastAsia="en-GB"/>
        </w:rPr>
        <w:t>T</w:t>
      </w:r>
      <w:r w:rsidR="001438D0" w:rsidRPr="001E3C9B">
        <w:rPr>
          <w:rStyle w:val="Bodytext1"/>
          <w:rFonts w:ascii="Times New Roman" w:eastAsiaTheme="minorEastAsia" w:hAnsi="Times New Roman"/>
          <w:noProof/>
          <w:sz w:val="24"/>
          <w:szCs w:val="24"/>
          <w:lang w:eastAsia="en-GB"/>
        </w:rPr>
        <w:t xml:space="preserve">o increase </w:t>
      </w:r>
      <w:r w:rsidR="00FD7BAA">
        <w:rPr>
          <w:rStyle w:val="Bodytext1"/>
          <w:rFonts w:ascii="Times New Roman" w:eastAsiaTheme="minorEastAsia" w:hAnsi="Times New Roman"/>
          <w:noProof/>
          <w:sz w:val="24"/>
          <w:szCs w:val="24"/>
          <w:lang w:eastAsia="en-GB"/>
        </w:rPr>
        <w:t xml:space="preserve">the </w:t>
      </w:r>
      <w:r w:rsidR="001438D0" w:rsidRPr="001E3C9B">
        <w:rPr>
          <w:rStyle w:val="Bodytext1"/>
          <w:rFonts w:ascii="Times New Roman" w:eastAsiaTheme="minorEastAsia" w:hAnsi="Times New Roman"/>
          <w:noProof/>
          <w:sz w:val="24"/>
          <w:szCs w:val="24"/>
          <w:lang w:eastAsia="en-GB"/>
        </w:rPr>
        <w:t>efficiency and effectiveness of indirect actions in nuclear safety, t</w:t>
      </w:r>
      <w:r w:rsidR="0013639D" w:rsidRPr="001E3C9B">
        <w:rPr>
          <w:rStyle w:val="Bodytext1"/>
          <w:rFonts w:ascii="Times New Roman" w:eastAsiaTheme="minorEastAsia" w:hAnsi="Times New Roman"/>
          <w:noProof/>
          <w:sz w:val="24"/>
          <w:szCs w:val="24"/>
          <w:lang w:eastAsia="en-GB"/>
        </w:rPr>
        <w:t>he Commission should favour the submission of larger</w:t>
      </w:r>
      <w:r w:rsidR="00AF2248" w:rsidRPr="001E3C9B">
        <w:rPr>
          <w:rStyle w:val="Bodytext1"/>
          <w:rFonts w:ascii="Times New Roman" w:eastAsiaTheme="minorEastAsia" w:hAnsi="Times New Roman"/>
          <w:noProof/>
          <w:sz w:val="24"/>
          <w:szCs w:val="24"/>
          <w:lang w:val="mt-MT" w:eastAsia="en-GB"/>
        </w:rPr>
        <w:t xml:space="preserve">, </w:t>
      </w:r>
      <w:r w:rsidR="00867FDC" w:rsidRPr="001E3C9B">
        <w:rPr>
          <w:rStyle w:val="Bodytext1"/>
          <w:rFonts w:ascii="Times New Roman" w:eastAsiaTheme="minorEastAsia" w:hAnsi="Times New Roman"/>
          <w:noProof/>
          <w:sz w:val="24"/>
          <w:szCs w:val="24"/>
          <w:lang w:val="mt-MT" w:eastAsia="en-GB"/>
        </w:rPr>
        <w:t xml:space="preserve">more </w:t>
      </w:r>
      <w:r w:rsidR="00AF2248" w:rsidRPr="001E3C9B">
        <w:rPr>
          <w:rStyle w:val="Bodytext1"/>
          <w:rFonts w:ascii="Times New Roman" w:eastAsiaTheme="minorEastAsia" w:hAnsi="Times New Roman"/>
          <w:noProof/>
          <w:sz w:val="24"/>
          <w:szCs w:val="24"/>
          <w:lang w:val="mt-MT" w:eastAsia="en-GB"/>
        </w:rPr>
        <w:t>integrated</w:t>
      </w:r>
      <w:r w:rsidR="0013639D" w:rsidRPr="001E3C9B">
        <w:rPr>
          <w:rStyle w:val="Bodytext1"/>
          <w:rFonts w:ascii="Times New Roman" w:eastAsiaTheme="minorEastAsia" w:hAnsi="Times New Roman"/>
          <w:noProof/>
          <w:sz w:val="24"/>
          <w:szCs w:val="24"/>
          <w:lang w:eastAsia="en-GB"/>
        </w:rPr>
        <w:t xml:space="preserve"> projects encompassing all the different issues</w:t>
      </w:r>
      <w:r w:rsidR="00AF2248" w:rsidRPr="001E3C9B">
        <w:rPr>
          <w:rStyle w:val="Bodytext1"/>
          <w:rFonts w:ascii="Times New Roman" w:eastAsiaTheme="minorEastAsia" w:hAnsi="Times New Roman"/>
          <w:noProof/>
          <w:sz w:val="24"/>
          <w:szCs w:val="24"/>
          <w:lang w:val="mt-MT" w:eastAsia="en-GB"/>
        </w:rPr>
        <w:t xml:space="preserve"> and </w:t>
      </w:r>
      <w:r w:rsidR="00C53660" w:rsidRPr="001E3C9B">
        <w:rPr>
          <w:rStyle w:val="Bodytext1"/>
          <w:rFonts w:ascii="Times New Roman" w:eastAsiaTheme="minorEastAsia" w:hAnsi="Times New Roman"/>
          <w:noProof/>
          <w:sz w:val="24"/>
          <w:szCs w:val="24"/>
          <w:lang w:eastAsia="en-GB"/>
        </w:rPr>
        <w:t>aspects</w:t>
      </w:r>
      <w:r w:rsidR="0013639D" w:rsidRPr="001E3C9B">
        <w:rPr>
          <w:rStyle w:val="Bodytext1"/>
          <w:rFonts w:ascii="Times New Roman" w:eastAsiaTheme="minorEastAsia" w:hAnsi="Times New Roman"/>
          <w:noProof/>
          <w:sz w:val="24"/>
          <w:szCs w:val="24"/>
          <w:lang w:eastAsia="en-GB"/>
        </w:rPr>
        <w:t xml:space="preserve"> of </w:t>
      </w:r>
      <w:r w:rsidR="00AF2248" w:rsidRPr="001E3C9B">
        <w:rPr>
          <w:rStyle w:val="Bodytext1"/>
          <w:rFonts w:ascii="Times New Roman" w:eastAsiaTheme="minorEastAsia" w:hAnsi="Times New Roman"/>
          <w:noProof/>
          <w:sz w:val="24"/>
          <w:szCs w:val="24"/>
          <w:lang w:val="mt-MT" w:eastAsia="en-GB"/>
        </w:rPr>
        <w:t xml:space="preserve">a </w:t>
      </w:r>
      <w:r w:rsidR="0013639D" w:rsidRPr="001E3C9B">
        <w:rPr>
          <w:rStyle w:val="Bodytext1"/>
          <w:rFonts w:ascii="Times New Roman" w:eastAsiaTheme="minorEastAsia" w:hAnsi="Times New Roman"/>
          <w:noProof/>
          <w:sz w:val="24"/>
          <w:szCs w:val="24"/>
          <w:lang w:eastAsia="en-GB"/>
        </w:rPr>
        <w:t>particular topic</w:t>
      </w:r>
      <w:r w:rsidR="001438D0" w:rsidRPr="001E3C9B">
        <w:rPr>
          <w:rStyle w:val="Bodytext1"/>
          <w:rFonts w:ascii="Times New Roman" w:eastAsiaTheme="minorEastAsia" w:hAnsi="Times New Roman"/>
          <w:noProof/>
          <w:sz w:val="24"/>
          <w:szCs w:val="24"/>
          <w:lang w:eastAsia="en-GB"/>
        </w:rPr>
        <w:t xml:space="preserve">, for example </w:t>
      </w:r>
      <w:r w:rsidR="0013639D" w:rsidRPr="001E3C9B">
        <w:rPr>
          <w:rStyle w:val="Bodytext1"/>
          <w:rFonts w:ascii="Times New Roman" w:eastAsiaTheme="minorEastAsia" w:hAnsi="Times New Roman"/>
          <w:noProof/>
          <w:sz w:val="24"/>
          <w:szCs w:val="24"/>
          <w:lang w:eastAsia="en-GB"/>
        </w:rPr>
        <w:t xml:space="preserve">the </w:t>
      </w:r>
      <w:r w:rsidR="00AF2248" w:rsidRPr="001E3C9B">
        <w:rPr>
          <w:rStyle w:val="Bodytext1"/>
          <w:rFonts w:ascii="Times New Roman" w:eastAsiaTheme="minorEastAsia" w:hAnsi="Times New Roman"/>
          <w:noProof/>
          <w:sz w:val="24"/>
          <w:szCs w:val="24"/>
          <w:lang w:eastAsia="en-GB"/>
        </w:rPr>
        <w:t xml:space="preserve">effects </w:t>
      </w:r>
      <w:r w:rsidR="00AF2248" w:rsidRPr="001E3C9B">
        <w:rPr>
          <w:rStyle w:val="Bodytext1"/>
          <w:rFonts w:ascii="Times New Roman" w:eastAsiaTheme="minorEastAsia" w:hAnsi="Times New Roman"/>
          <w:noProof/>
          <w:sz w:val="24"/>
          <w:szCs w:val="24"/>
          <w:lang w:val="mt-MT" w:eastAsia="en-GB"/>
        </w:rPr>
        <w:t xml:space="preserve">of </w:t>
      </w:r>
      <w:r w:rsidR="0013639D" w:rsidRPr="001E3C9B">
        <w:rPr>
          <w:rStyle w:val="Bodytext1"/>
          <w:rFonts w:ascii="Times New Roman" w:eastAsiaTheme="minorEastAsia" w:hAnsi="Times New Roman"/>
          <w:noProof/>
          <w:sz w:val="24"/>
          <w:szCs w:val="24"/>
          <w:lang w:eastAsia="en-GB"/>
        </w:rPr>
        <w:t>ag</w:t>
      </w:r>
      <w:r w:rsidR="00162E7A">
        <w:rPr>
          <w:rStyle w:val="Bodytext1"/>
          <w:rFonts w:ascii="Times New Roman" w:eastAsiaTheme="minorEastAsia" w:hAnsi="Times New Roman"/>
          <w:noProof/>
          <w:sz w:val="24"/>
          <w:szCs w:val="24"/>
          <w:lang w:eastAsia="en-GB"/>
        </w:rPr>
        <w:t>e</w:t>
      </w:r>
      <w:r w:rsidR="0013639D" w:rsidRPr="001E3C9B">
        <w:rPr>
          <w:rStyle w:val="Bodytext1"/>
          <w:rFonts w:ascii="Times New Roman" w:eastAsiaTheme="minorEastAsia" w:hAnsi="Times New Roman"/>
          <w:noProof/>
          <w:sz w:val="24"/>
          <w:szCs w:val="24"/>
          <w:lang w:eastAsia="en-GB"/>
        </w:rPr>
        <w:t xml:space="preserve">ing in </w:t>
      </w:r>
      <w:r w:rsidR="00337AFB" w:rsidRPr="001E3C9B">
        <w:rPr>
          <w:rStyle w:val="Bodytext1"/>
          <w:rFonts w:ascii="Times New Roman" w:eastAsiaTheme="minorEastAsia" w:hAnsi="Times New Roman"/>
          <w:noProof/>
          <w:sz w:val="24"/>
          <w:szCs w:val="24"/>
          <w:lang w:eastAsia="en-GB"/>
        </w:rPr>
        <w:t>r</w:t>
      </w:r>
      <w:r w:rsidR="001438D0" w:rsidRPr="001E3C9B">
        <w:rPr>
          <w:rStyle w:val="Bodytext1"/>
          <w:rFonts w:ascii="Times New Roman" w:eastAsiaTheme="minorEastAsia" w:hAnsi="Times New Roman"/>
          <w:noProof/>
          <w:sz w:val="24"/>
          <w:szCs w:val="24"/>
          <w:lang w:eastAsia="en-GB"/>
        </w:rPr>
        <w:t xml:space="preserve">eactor </w:t>
      </w:r>
      <w:r w:rsidR="00337AFB" w:rsidRPr="001E3C9B">
        <w:rPr>
          <w:rStyle w:val="Bodytext1"/>
          <w:rFonts w:ascii="Times New Roman" w:eastAsiaTheme="minorEastAsia" w:hAnsi="Times New Roman"/>
          <w:noProof/>
          <w:sz w:val="24"/>
          <w:szCs w:val="24"/>
          <w:lang w:eastAsia="en-GB"/>
        </w:rPr>
        <w:t>p</w:t>
      </w:r>
      <w:r w:rsidR="001438D0" w:rsidRPr="001E3C9B">
        <w:rPr>
          <w:rStyle w:val="Bodytext1"/>
          <w:rFonts w:ascii="Times New Roman" w:eastAsiaTheme="minorEastAsia" w:hAnsi="Times New Roman"/>
          <w:noProof/>
          <w:sz w:val="24"/>
          <w:szCs w:val="24"/>
          <w:lang w:eastAsia="en-GB"/>
        </w:rPr>
        <w:t xml:space="preserve">ressure </w:t>
      </w:r>
      <w:r w:rsidR="00337AFB" w:rsidRPr="001E3C9B">
        <w:rPr>
          <w:rStyle w:val="Bodytext1"/>
          <w:rFonts w:ascii="Times New Roman" w:eastAsiaTheme="minorEastAsia" w:hAnsi="Times New Roman"/>
          <w:noProof/>
          <w:sz w:val="24"/>
          <w:szCs w:val="24"/>
          <w:lang w:eastAsia="en-GB"/>
        </w:rPr>
        <w:t>v</w:t>
      </w:r>
      <w:r w:rsidR="001438D0" w:rsidRPr="001E3C9B">
        <w:rPr>
          <w:rStyle w:val="Bodytext1"/>
          <w:rFonts w:ascii="Times New Roman" w:eastAsiaTheme="minorEastAsia" w:hAnsi="Times New Roman"/>
          <w:noProof/>
          <w:sz w:val="24"/>
          <w:szCs w:val="24"/>
          <w:lang w:eastAsia="en-GB"/>
        </w:rPr>
        <w:t>essels</w:t>
      </w:r>
      <w:r w:rsidR="00F27E06" w:rsidRPr="001E3C9B">
        <w:rPr>
          <w:rStyle w:val="Bodytext1"/>
          <w:rFonts w:ascii="Times New Roman" w:eastAsiaTheme="minorEastAsia" w:hAnsi="Times New Roman"/>
          <w:noProof/>
          <w:sz w:val="24"/>
          <w:szCs w:val="24"/>
          <w:lang w:eastAsia="en-GB"/>
        </w:rPr>
        <w:t>.</w:t>
      </w:r>
      <w:r w:rsidR="0013639D" w:rsidRPr="001E3C9B">
        <w:rPr>
          <w:rStyle w:val="Bodytext1"/>
          <w:rFonts w:ascii="Times New Roman" w:eastAsiaTheme="minorEastAsia" w:hAnsi="Times New Roman"/>
          <w:noProof/>
          <w:sz w:val="24"/>
          <w:szCs w:val="24"/>
          <w:lang w:eastAsia="en-GB"/>
        </w:rPr>
        <w:t xml:space="preserve"> </w:t>
      </w:r>
      <w:r w:rsidR="00867FDC" w:rsidRPr="001E3C9B">
        <w:rPr>
          <w:rStyle w:val="Bodytext1"/>
          <w:rFonts w:ascii="Times New Roman" w:eastAsiaTheme="minorEastAsia" w:hAnsi="Times New Roman"/>
          <w:noProof/>
          <w:sz w:val="24"/>
          <w:szCs w:val="24"/>
          <w:lang w:eastAsia="en-GB"/>
        </w:rPr>
        <w:t>F</w:t>
      </w:r>
      <w:r w:rsidR="003F11BA" w:rsidRPr="001E3C9B">
        <w:rPr>
          <w:rStyle w:val="Bodytext1"/>
          <w:rFonts w:ascii="Times New Roman" w:eastAsiaTheme="minorEastAsia" w:hAnsi="Times New Roman"/>
          <w:noProof/>
          <w:sz w:val="24"/>
          <w:szCs w:val="24"/>
          <w:lang w:eastAsia="en-GB"/>
        </w:rPr>
        <w:t>und</w:t>
      </w:r>
      <w:r w:rsidR="00162E7A">
        <w:rPr>
          <w:rStyle w:val="Bodytext1"/>
          <w:rFonts w:ascii="Times New Roman" w:eastAsiaTheme="minorEastAsia" w:hAnsi="Times New Roman"/>
          <w:noProof/>
          <w:sz w:val="24"/>
          <w:szCs w:val="24"/>
          <w:lang w:eastAsia="en-GB"/>
        </w:rPr>
        <w:t>ing should be increased to support</w:t>
      </w:r>
      <w:r w:rsidR="003F11BA" w:rsidRPr="001E3C9B">
        <w:rPr>
          <w:rStyle w:val="Bodytext1"/>
          <w:rFonts w:ascii="Times New Roman" w:eastAsiaTheme="minorEastAsia" w:hAnsi="Times New Roman"/>
          <w:noProof/>
          <w:sz w:val="24"/>
          <w:szCs w:val="24"/>
          <w:lang w:eastAsia="en-GB"/>
        </w:rPr>
        <w:t xml:space="preserve"> education </w:t>
      </w:r>
      <w:r w:rsidR="00AF2248" w:rsidRPr="001E3C9B">
        <w:rPr>
          <w:rStyle w:val="Bodytext1"/>
          <w:rFonts w:ascii="Times New Roman" w:eastAsiaTheme="minorEastAsia" w:hAnsi="Times New Roman"/>
          <w:noProof/>
          <w:sz w:val="24"/>
          <w:szCs w:val="24"/>
          <w:lang w:val="mt-MT" w:eastAsia="en-GB"/>
        </w:rPr>
        <w:t>and</w:t>
      </w:r>
      <w:r w:rsidR="003F11BA" w:rsidRPr="001E3C9B">
        <w:rPr>
          <w:rStyle w:val="Bodytext1"/>
          <w:rFonts w:ascii="Times New Roman" w:eastAsiaTheme="minorEastAsia" w:hAnsi="Times New Roman"/>
          <w:noProof/>
          <w:sz w:val="24"/>
          <w:szCs w:val="24"/>
          <w:lang w:eastAsia="en-GB"/>
        </w:rPr>
        <w:t xml:space="preserve"> training, knowledge management, </w:t>
      </w:r>
      <w:r w:rsidR="00162E7A">
        <w:rPr>
          <w:rStyle w:val="Bodytext1"/>
          <w:rFonts w:ascii="Times New Roman" w:eastAsiaTheme="minorEastAsia" w:hAnsi="Times New Roman"/>
          <w:noProof/>
          <w:sz w:val="24"/>
          <w:szCs w:val="24"/>
          <w:lang w:eastAsia="en-GB"/>
        </w:rPr>
        <w:t xml:space="preserve">the </w:t>
      </w:r>
      <w:r w:rsidR="003F11BA" w:rsidRPr="001E3C9B">
        <w:rPr>
          <w:rStyle w:val="Bodytext1"/>
          <w:rFonts w:ascii="Times New Roman" w:eastAsiaTheme="minorEastAsia" w:hAnsi="Times New Roman"/>
          <w:noProof/>
          <w:sz w:val="24"/>
          <w:szCs w:val="24"/>
          <w:lang w:eastAsia="en-GB"/>
        </w:rPr>
        <w:t>development of skills</w:t>
      </w:r>
      <w:r w:rsidR="00FD7BAA">
        <w:rPr>
          <w:rStyle w:val="Bodytext1"/>
          <w:rFonts w:ascii="Times New Roman" w:eastAsiaTheme="minorEastAsia" w:hAnsi="Times New Roman"/>
          <w:noProof/>
          <w:sz w:val="24"/>
          <w:szCs w:val="24"/>
          <w:lang w:eastAsia="en-GB"/>
        </w:rPr>
        <w:t>,</w:t>
      </w:r>
      <w:r w:rsidR="003F11BA" w:rsidRPr="001E3C9B">
        <w:rPr>
          <w:rStyle w:val="Bodytext1"/>
          <w:rFonts w:ascii="Times New Roman" w:eastAsiaTheme="minorEastAsia" w:hAnsi="Times New Roman"/>
          <w:noProof/>
          <w:sz w:val="24"/>
          <w:szCs w:val="24"/>
          <w:lang w:eastAsia="en-GB"/>
        </w:rPr>
        <w:t xml:space="preserve"> and </w:t>
      </w:r>
      <w:r w:rsidR="00162E7A">
        <w:rPr>
          <w:rStyle w:val="Bodytext1"/>
          <w:rFonts w:ascii="Times New Roman" w:eastAsiaTheme="minorEastAsia" w:hAnsi="Times New Roman"/>
          <w:noProof/>
          <w:sz w:val="24"/>
          <w:szCs w:val="24"/>
          <w:lang w:eastAsia="en-GB"/>
        </w:rPr>
        <w:t xml:space="preserve">staff </w:t>
      </w:r>
      <w:r w:rsidR="003F11BA" w:rsidRPr="001E3C9B">
        <w:rPr>
          <w:rStyle w:val="Bodytext1"/>
          <w:rFonts w:ascii="Times New Roman" w:eastAsiaTheme="minorEastAsia" w:hAnsi="Times New Roman"/>
          <w:noProof/>
          <w:sz w:val="24"/>
          <w:szCs w:val="24"/>
          <w:lang w:eastAsia="en-GB"/>
        </w:rPr>
        <w:t>capacit</w:t>
      </w:r>
      <w:r w:rsidR="00162E7A">
        <w:rPr>
          <w:rStyle w:val="Bodytext1"/>
          <w:rFonts w:ascii="Times New Roman" w:eastAsiaTheme="minorEastAsia" w:hAnsi="Times New Roman"/>
          <w:noProof/>
          <w:sz w:val="24"/>
          <w:szCs w:val="24"/>
          <w:lang w:eastAsia="en-GB"/>
        </w:rPr>
        <w:t>y</w:t>
      </w:r>
      <w:r w:rsidR="003F11BA" w:rsidRPr="001E3C9B">
        <w:rPr>
          <w:rStyle w:val="Bodytext1"/>
          <w:rFonts w:ascii="Times New Roman" w:eastAsiaTheme="minorEastAsia" w:hAnsi="Times New Roman"/>
          <w:noProof/>
          <w:sz w:val="24"/>
          <w:szCs w:val="24"/>
          <w:lang w:eastAsia="en-GB"/>
        </w:rPr>
        <w:t>.</w:t>
      </w:r>
      <w:r w:rsidR="00775D67" w:rsidRPr="001E3C9B">
        <w:rPr>
          <w:rStyle w:val="Bodytext1"/>
          <w:rFonts w:ascii="Times New Roman" w:eastAsiaTheme="minorEastAsia" w:hAnsi="Times New Roman"/>
          <w:noProof/>
          <w:sz w:val="24"/>
          <w:szCs w:val="24"/>
          <w:lang w:eastAsia="en-GB"/>
        </w:rPr>
        <w:t xml:space="preserve"> </w:t>
      </w:r>
      <w:r w:rsidR="00162E7A">
        <w:rPr>
          <w:rStyle w:val="Bodytext1"/>
          <w:rFonts w:ascii="Times New Roman" w:eastAsiaTheme="minorEastAsia" w:hAnsi="Times New Roman"/>
          <w:noProof/>
          <w:sz w:val="24"/>
          <w:szCs w:val="24"/>
          <w:lang w:eastAsia="en-GB"/>
        </w:rPr>
        <w:t>It is of paramount importance to</w:t>
      </w:r>
      <w:r w:rsidR="001438D0" w:rsidRPr="001E3C9B">
        <w:rPr>
          <w:rStyle w:val="Bodytext1"/>
          <w:rFonts w:ascii="Times New Roman" w:eastAsiaTheme="minorEastAsia" w:hAnsi="Times New Roman"/>
          <w:noProof/>
          <w:sz w:val="24"/>
          <w:szCs w:val="24"/>
          <w:lang w:eastAsia="en-GB"/>
        </w:rPr>
        <w:t xml:space="preserve"> integrat</w:t>
      </w:r>
      <w:r w:rsidR="00162E7A">
        <w:rPr>
          <w:rStyle w:val="Bodytext1"/>
          <w:rFonts w:ascii="Times New Roman" w:eastAsiaTheme="minorEastAsia" w:hAnsi="Times New Roman"/>
          <w:noProof/>
          <w:sz w:val="24"/>
          <w:szCs w:val="24"/>
          <w:lang w:eastAsia="en-GB"/>
        </w:rPr>
        <w:t>e</w:t>
      </w:r>
      <w:r w:rsidR="001438D0" w:rsidRPr="001E3C9B">
        <w:rPr>
          <w:rStyle w:val="Bodytext1"/>
          <w:rFonts w:ascii="Times New Roman" w:eastAsiaTheme="minorEastAsia" w:hAnsi="Times New Roman"/>
          <w:noProof/>
          <w:sz w:val="24"/>
          <w:szCs w:val="24"/>
          <w:lang w:eastAsia="en-GB"/>
        </w:rPr>
        <w:t xml:space="preserve"> the work done with the support of the Euratom grants (indirect actions) </w:t>
      </w:r>
      <w:r w:rsidR="00FF718E">
        <w:rPr>
          <w:rStyle w:val="Bodytext1"/>
          <w:rFonts w:ascii="Times New Roman" w:eastAsiaTheme="minorEastAsia" w:hAnsi="Times New Roman"/>
          <w:noProof/>
          <w:sz w:val="24"/>
          <w:szCs w:val="24"/>
          <w:lang w:eastAsia="en-GB"/>
        </w:rPr>
        <w:t xml:space="preserve">and through Euratom direct actions (carried out by the JRC) </w:t>
      </w:r>
      <w:r w:rsidR="001438D0" w:rsidRPr="001E3C9B">
        <w:rPr>
          <w:rStyle w:val="Bodytext1"/>
          <w:rFonts w:ascii="Times New Roman" w:eastAsiaTheme="minorEastAsia" w:hAnsi="Times New Roman"/>
          <w:noProof/>
          <w:sz w:val="24"/>
          <w:szCs w:val="24"/>
          <w:lang w:eastAsia="en-GB"/>
        </w:rPr>
        <w:t>with</w:t>
      </w:r>
      <w:r w:rsidR="00162E7A">
        <w:rPr>
          <w:rStyle w:val="Bodytext1"/>
          <w:rFonts w:ascii="Times New Roman" w:eastAsiaTheme="minorEastAsia" w:hAnsi="Times New Roman"/>
          <w:noProof/>
          <w:sz w:val="24"/>
          <w:szCs w:val="24"/>
          <w:lang w:eastAsia="en-GB"/>
        </w:rPr>
        <w:t xml:space="preserve"> </w:t>
      </w:r>
      <w:r w:rsidR="001438D0" w:rsidRPr="001E3C9B">
        <w:rPr>
          <w:rStyle w:val="Bodytext1"/>
          <w:rFonts w:ascii="Times New Roman" w:eastAsiaTheme="minorEastAsia" w:hAnsi="Times New Roman"/>
          <w:noProof/>
          <w:sz w:val="24"/>
          <w:szCs w:val="24"/>
          <w:lang w:eastAsia="en-GB"/>
        </w:rPr>
        <w:t xml:space="preserve">the relevant work carried out at national level. </w:t>
      </w:r>
      <w:r w:rsidR="008839CD" w:rsidRPr="001E3C9B">
        <w:rPr>
          <w:rStyle w:val="Bodytext1"/>
          <w:rFonts w:ascii="Times New Roman" w:eastAsiaTheme="minorEastAsia" w:hAnsi="Times New Roman"/>
          <w:noProof/>
          <w:sz w:val="24"/>
          <w:szCs w:val="24"/>
          <w:lang w:eastAsia="en-GB"/>
        </w:rPr>
        <w:t>T</w:t>
      </w:r>
      <w:r w:rsidR="00556139" w:rsidRPr="001E3C9B">
        <w:rPr>
          <w:rStyle w:val="Bodytext1"/>
          <w:rFonts w:ascii="Times New Roman" w:eastAsiaTheme="minorEastAsia" w:hAnsi="Times New Roman"/>
          <w:noProof/>
          <w:sz w:val="24"/>
          <w:szCs w:val="24"/>
          <w:lang w:eastAsia="en-GB"/>
        </w:rPr>
        <w:t xml:space="preserve">o guarantee an </w:t>
      </w:r>
      <w:r w:rsidR="00162E7A">
        <w:rPr>
          <w:rStyle w:val="Bodytext1"/>
          <w:rFonts w:ascii="Times New Roman" w:eastAsiaTheme="minorEastAsia" w:hAnsi="Times New Roman"/>
          <w:noProof/>
          <w:sz w:val="24"/>
          <w:szCs w:val="24"/>
          <w:lang w:eastAsia="en-GB"/>
        </w:rPr>
        <w:t>appropriate</w:t>
      </w:r>
      <w:r w:rsidR="00162E7A" w:rsidRPr="001E3C9B">
        <w:rPr>
          <w:rStyle w:val="Bodytext1"/>
          <w:rFonts w:ascii="Times New Roman" w:eastAsiaTheme="minorEastAsia" w:hAnsi="Times New Roman"/>
          <w:noProof/>
          <w:sz w:val="24"/>
          <w:szCs w:val="24"/>
          <w:lang w:eastAsia="en-GB"/>
        </w:rPr>
        <w:t xml:space="preserve"> </w:t>
      </w:r>
      <w:r w:rsidR="00556139" w:rsidRPr="001E3C9B">
        <w:rPr>
          <w:rStyle w:val="Bodytext1"/>
          <w:rFonts w:ascii="Times New Roman" w:eastAsiaTheme="minorEastAsia" w:hAnsi="Times New Roman"/>
          <w:noProof/>
          <w:sz w:val="24"/>
          <w:szCs w:val="24"/>
          <w:lang w:eastAsia="en-GB"/>
        </w:rPr>
        <w:t xml:space="preserve">engineering approach and system integration, all </w:t>
      </w:r>
      <w:r w:rsidR="0072127C" w:rsidRPr="001E3C9B">
        <w:rPr>
          <w:rStyle w:val="Bodytext1"/>
          <w:rFonts w:ascii="Times New Roman" w:eastAsiaTheme="minorEastAsia" w:hAnsi="Times New Roman"/>
          <w:noProof/>
          <w:sz w:val="24"/>
          <w:szCs w:val="24"/>
          <w:lang w:eastAsia="en-GB"/>
        </w:rPr>
        <w:t xml:space="preserve">safety </w:t>
      </w:r>
      <w:r w:rsidR="00556139" w:rsidRPr="001E3C9B">
        <w:rPr>
          <w:rStyle w:val="Bodytext1"/>
          <w:rFonts w:ascii="Times New Roman" w:eastAsiaTheme="minorEastAsia" w:hAnsi="Times New Roman"/>
          <w:noProof/>
          <w:sz w:val="24"/>
          <w:szCs w:val="24"/>
          <w:lang w:eastAsia="en-GB"/>
        </w:rPr>
        <w:t>projects related to</w:t>
      </w:r>
      <w:r w:rsidR="00AF2248" w:rsidRPr="001E3C9B">
        <w:rPr>
          <w:rStyle w:val="Bodytext1"/>
          <w:rFonts w:ascii="Times New Roman" w:eastAsiaTheme="minorEastAsia" w:hAnsi="Times New Roman"/>
          <w:noProof/>
          <w:sz w:val="24"/>
          <w:szCs w:val="24"/>
          <w:lang w:val="mt-MT" w:eastAsia="en-GB"/>
        </w:rPr>
        <w:t xml:space="preserve"> the</w:t>
      </w:r>
      <w:r w:rsidR="00556139" w:rsidRPr="001E3C9B">
        <w:rPr>
          <w:rStyle w:val="Bodytext1"/>
          <w:rFonts w:ascii="Times New Roman" w:eastAsiaTheme="minorEastAsia" w:hAnsi="Times New Roman"/>
          <w:noProof/>
          <w:sz w:val="24"/>
          <w:szCs w:val="24"/>
          <w:lang w:eastAsia="en-GB"/>
        </w:rPr>
        <w:t xml:space="preserve"> development of new power reactors should be coordinated by European industry.</w:t>
      </w:r>
      <w:r w:rsidR="0072127C" w:rsidRPr="001E3C9B">
        <w:rPr>
          <w:rStyle w:val="Bodytext1"/>
          <w:rFonts w:ascii="Times New Roman" w:eastAsiaTheme="minorEastAsia" w:hAnsi="Times New Roman"/>
          <w:noProof/>
          <w:sz w:val="24"/>
          <w:szCs w:val="24"/>
          <w:lang w:eastAsia="en-GB"/>
        </w:rPr>
        <w:t xml:space="preserve"> </w:t>
      </w:r>
      <w:r w:rsidR="008839CD" w:rsidRPr="001E3C9B">
        <w:rPr>
          <w:rStyle w:val="Bodytext1"/>
          <w:rFonts w:ascii="Times New Roman" w:eastAsiaTheme="minorEastAsia" w:hAnsi="Times New Roman"/>
          <w:noProof/>
          <w:sz w:val="24"/>
          <w:szCs w:val="24"/>
          <w:lang w:eastAsia="en-GB"/>
        </w:rPr>
        <w:t xml:space="preserve">Finally, </w:t>
      </w:r>
      <w:r w:rsidR="00AF2248" w:rsidRPr="001E3C9B">
        <w:rPr>
          <w:rStyle w:val="Bodytext1"/>
          <w:rFonts w:ascii="Times New Roman" w:eastAsiaTheme="minorEastAsia" w:hAnsi="Times New Roman"/>
          <w:noProof/>
          <w:sz w:val="24"/>
          <w:szCs w:val="24"/>
          <w:lang w:eastAsia="en-GB"/>
        </w:rPr>
        <w:t xml:space="preserve">international </w:t>
      </w:r>
      <w:r w:rsidR="008839CD" w:rsidRPr="001E3C9B">
        <w:rPr>
          <w:rStyle w:val="Bodytext1"/>
          <w:rFonts w:ascii="Times New Roman" w:eastAsiaTheme="minorEastAsia" w:hAnsi="Times New Roman"/>
          <w:noProof/>
          <w:sz w:val="24"/>
          <w:szCs w:val="24"/>
          <w:lang w:eastAsia="en-GB"/>
        </w:rPr>
        <w:t>c</w:t>
      </w:r>
      <w:r w:rsidR="0070122C" w:rsidRPr="001E3C9B">
        <w:rPr>
          <w:rStyle w:val="Bodytext1"/>
          <w:rFonts w:ascii="Times New Roman" w:eastAsiaTheme="minorEastAsia" w:hAnsi="Times New Roman"/>
          <w:noProof/>
          <w:sz w:val="24"/>
          <w:szCs w:val="24"/>
          <w:lang w:eastAsia="en-GB"/>
        </w:rPr>
        <w:t xml:space="preserve">ooperation should </w:t>
      </w:r>
      <w:r w:rsidR="003F11BA" w:rsidRPr="001E3C9B">
        <w:rPr>
          <w:rStyle w:val="Bodytext1"/>
          <w:rFonts w:ascii="Times New Roman" w:eastAsiaTheme="minorEastAsia" w:hAnsi="Times New Roman"/>
          <w:noProof/>
          <w:sz w:val="24"/>
          <w:szCs w:val="24"/>
          <w:lang w:eastAsia="en-GB"/>
        </w:rPr>
        <w:t xml:space="preserve">be </w:t>
      </w:r>
      <w:r w:rsidR="00162E7A">
        <w:rPr>
          <w:rStyle w:val="Bodytext1"/>
          <w:rFonts w:ascii="Times New Roman" w:eastAsiaTheme="minorEastAsia" w:hAnsi="Times New Roman"/>
          <w:noProof/>
          <w:sz w:val="24"/>
          <w:szCs w:val="24"/>
          <w:lang w:eastAsia="en-GB"/>
        </w:rPr>
        <w:t>increased</w:t>
      </w:r>
      <w:r w:rsidR="00162E7A" w:rsidRPr="001E3C9B">
        <w:rPr>
          <w:rStyle w:val="Bodytext1"/>
          <w:rFonts w:ascii="Times New Roman" w:eastAsiaTheme="minorEastAsia" w:hAnsi="Times New Roman"/>
          <w:noProof/>
          <w:sz w:val="24"/>
          <w:szCs w:val="24"/>
          <w:lang w:eastAsia="en-GB"/>
        </w:rPr>
        <w:t xml:space="preserve"> </w:t>
      </w:r>
      <w:r w:rsidR="003F11BA" w:rsidRPr="001E3C9B">
        <w:rPr>
          <w:rStyle w:val="Bodytext1"/>
          <w:rFonts w:ascii="Times New Roman" w:eastAsiaTheme="minorEastAsia" w:hAnsi="Times New Roman"/>
          <w:noProof/>
          <w:sz w:val="24"/>
          <w:szCs w:val="24"/>
          <w:lang w:eastAsia="en-GB"/>
        </w:rPr>
        <w:t xml:space="preserve">to </w:t>
      </w:r>
      <w:r w:rsidR="008839CD" w:rsidRPr="001E3C9B">
        <w:rPr>
          <w:rStyle w:val="Bodytext1"/>
          <w:rFonts w:ascii="Times New Roman" w:eastAsiaTheme="minorEastAsia" w:hAnsi="Times New Roman"/>
          <w:noProof/>
          <w:sz w:val="24"/>
          <w:szCs w:val="24"/>
          <w:lang w:eastAsia="en-GB"/>
        </w:rPr>
        <w:t xml:space="preserve">include </w:t>
      </w:r>
      <w:r w:rsidR="0070122C" w:rsidRPr="001E3C9B">
        <w:rPr>
          <w:rStyle w:val="Bodytext1"/>
          <w:rFonts w:ascii="Times New Roman" w:eastAsiaTheme="minorEastAsia" w:hAnsi="Times New Roman"/>
          <w:noProof/>
          <w:sz w:val="24"/>
          <w:szCs w:val="24"/>
          <w:lang w:eastAsia="en-GB"/>
        </w:rPr>
        <w:t>the</w:t>
      </w:r>
      <w:r w:rsidR="003F11BA" w:rsidRPr="001E3C9B">
        <w:rPr>
          <w:rStyle w:val="Bodytext1"/>
          <w:rFonts w:ascii="Times New Roman" w:eastAsiaTheme="minorEastAsia" w:hAnsi="Times New Roman"/>
          <w:noProof/>
          <w:sz w:val="24"/>
          <w:szCs w:val="24"/>
          <w:lang w:eastAsia="en-GB"/>
        </w:rPr>
        <w:t xml:space="preserve"> </w:t>
      </w:r>
      <w:r w:rsidR="0070122C" w:rsidRPr="001E3C9B">
        <w:rPr>
          <w:rStyle w:val="Bodytext1"/>
          <w:rFonts w:ascii="Times New Roman" w:eastAsiaTheme="minorEastAsia" w:hAnsi="Times New Roman"/>
          <w:noProof/>
          <w:sz w:val="24"/>
          <w:szCs w:val="24"/>
          <w:lang w:eastAsia="en-GB"/>
        </w:rPr>
        <w:t>IAEA and the OECD</w:t>
      </w:r>
      <w:r w:rsidR="00C60CE2">
        <w:rPr>
          <w:rStyle w:val="Bodytext1"/>
          <w:rFonts w:ascii="Times New Roman" w:eastAsiaTheme="minorEastAsia" w:hAnsi="Times New Roman"/>
          <w:noProof/>
          <w:sz w:val="24"/>
          <w:szCs w:val="24"/>
          <w:lang w:eastAsia="en-GB"/>
        </w:rPr>
        <w:t>-</w:t>
      </w:r>
      <w:r w:rsidR="0070122C" w:rsidRPr="001E3C9B">
        <w:rPr>
          <w:rStyle w:val="Bodytext1"/>
          <w:rFonts w:ascii="Times New Roman" w:eastAsiaTheme="minorEastAsia" w:hAnsi="Times New Roman"/>
          <w:noProof/>
          <w:sz w:val="24"/>
          <w:szCs w:val="24"/>
          <w:lang w:eastAsia="en-GB"/>
        </w:rPr>
        <w:t>NEA.</w:t>
      </w:r>
    </w:p>
    <w:p w14:paraId="4DE06705" w14:textId="24EF2F9C" w:rsidR="00C1446A" w:rsidRPr="001E3C9B" w:rsidRDefault="00637876" w:rsidP="00F658D0">
      <w:pPr>
        <w:pStyle w:val="Bodytext10"/>
        <w:spacing w:after="160" w:line="256" w:lineRule="auto"/>
        <w:ind w:left="360"/>
        <w:jc w:val="both"/>
        <w:rPr>
          <w:rStyle w:val="Bodytext1"/>
          <w:rFonts w:ascii="Times New Roman" w:eastAsiaTheme="minorEastAsia" w:hAnsi="Times New Roman"/>
          <w:noProof/>
          <w:sz w:val="24"/>
          <w:szCs w:val="24"/>
          <w:lang w:eastAsia="en-GB"/>
        </w:rPr>
      </w:pPr>
      <w:r w:rsidRPr="001E3C9B">
        <w:rPr>
          <w:rStyle w:val="Bodytext1"/>
          <w:rFonts w:ascii="Times New Roman" w:eastAsiaTheme="minorEastAsia" w:hAnsi="Times New Roman"/>
          <w:noProof/>
          <w:sz w:val="24"/>
          <w:szCs w:val="24"/>
          <w:u w:val="single"/>
          <w:lang w:eastAsia="en-GB"/>
        </w:rPr>
        <w:t>Commission’s response</w:t>
      </w:r>
      <w:r w:rsidRPr="001E3C9B">
        <w:rPr>
          <w:rStyle w:val="Bodytext1"/>
          <w:rFonts w:ascii="Times New Roman" w:eastAsiaTheme="minorEastAsia" w:hAnsi="Times New Roman"/>
          <w:noProof/>
          <w:sz w:val="24"/>
          <w:szCs w:val="24"/>
          <w:lang w:eastAsia="en-GB"/>
        </w:rPr>
        <w:t>:</w:t>
      </w:r>
      <w:r w:rsidR="00625F49" w:rsidRPr="001E3C9B">
        <w:rPr>
          <w:rStyle w:val="Bodytext1"/>
          <w:rFonts w:ascii="Times New Roman" w:eastAsiaTheme="minorEastAsia" w:hAnsi="Times New Roman"/>
          <w:noProof/>
          <w:sz w:val="24"/>
          <w:szCs w:val="24"/>
          <w:lang w:eastAsia="en-GB"/>
        </w:rPr>
        <w:t xml:space="preserve"> </w:t>
      </w:r>
      <w:r w:rsidR="00867FDC" w:rsidRPr="001E3C9B">
        <w:rPr>
          <w:rStyle w:val="Bodytext1"/>
          <w:rFonts w:ascii="Times New Roman" w:eastAsiaTheme="minorEastAsia" w:hAnsi="Times New Roman"/>
          <w:noProof/>
          <w:sz w:val="24"/>
          <w:szCs w:val="24"/>
          <w:lang w:eastAsia="en-GB"/>
        </w:rPr>
        <w:t xml:space="preserve">in the </w:t>
      </w:r>
      <w:r w:rsidR="008A14E1">
        <w:rPr>
          <w:rStyle w:val="Bodytext1"/>
          <w:rFonts w:ascii="Times New Roman" w:eastAsiaTheme="minorEastAsia" w:hAnsi="Times New Roman"/>
          <w:noProof/>
          <w:sz w:val="24"/>
          <w:szCs w:val="24"/>
          <w:lang w:eastAsia="en-GB"/>
        </w:rPr>
        <w:t>2021-2025</w:t>
      </w:r>
      <w:r w:rsidR="00867FDC" w:rsidRPr="001E3C9B">
        <w:rPr>
          <w:rStyle w:val="Bodytext1"/>
          <w:rFonts w:ascii="Times New Roman" w:eastAsiaTheme="minorEastAsia" w:hAnsi="Times New Roman"/>
          <w:noProof/>
          <w:sz w:val="24"/>
          <w:szCs w:val="24"/>
          <w:lang w:eastAsia="en-GB"/>
        </w:rPr>
        <w:t xml:space="preserve"> </w:t>
      </w:r>
      <w:r w:rsidR="00162E7A">
        <w:rPr>
          <w:rStyle w:val="Bodytext1"/>
          <w:rFonts w:ascii="Times New Roman" w:eastAsiaTheme="minorEastAsia" w:hAnsi="Times New Roman"/>
          <w:noProof/>
          <w:sz w:val="24"/>
          <w:szCs w:val="24"/>
          <w:lang w:eastAsia="en-GB"/>
        </w:rPr>
        <w:t>p</w:t>
      </w:r>
      <w:r w:rsidR="00867FDC" w:rsidRPr="001E3C9B">
        <w:rPr>
          <w:rStyle w:val="Bodytext1"/>
          <w:rFonts w:ascii="Times New Roman" w:eastAsiaTheme="minorEastAsia" w:hAnsi="Times New Roman"/>
          <w:noProof/>
          <w:sz w:val="24"/>
          <w:szCs w:val="24"/>
          <w:lang w:eastAsia="en-GB"/>
        </w:rPr>
        <w:t>rogramme</w:t>
      </w:r>
      <w:r w:rsidR="00162E7A">
        <w:rPr>
          <w:rStyle w:val="Bodytext1"/>
          <w:rFonts w:ascii="Times New Roman" w:eastAsiaTheme="minorEastAsia" w:hAnsi="Times New Roman"/>
          <w:noProof/>
          <w:sz w:val="24"/>
          <w:szCs w:val="24"/>
          <w:lang w:eastAsia="en-GB"/>
        </w:rPr>
        <w:t>,</w:t>
      </w:r>
      <w:r w:rsidR="00867FDC" w:rsidRPr="001E3C9B">
        <w:rPr>
          <w:rStyle w:val="Bodytext1"/>
          <w:rFonts w:ascii="Times New Roman" w:eastAsiaTheme="minorEastAsia" w:hAnsi="Times New Roman"/>
          <w:noProof/>
          <w:sz w:val="24"/>
          <w:szCs w:val="24"/>
          <w:lang w:eastAsia="en-GB"/>
        </w:rPr>
        <w:t xml:space="preserve"> </w:t>
      </w:r>
      <w:r w:rsidR="00625F49" w:rsidRPr="001E3C9B">
        <w:rPr>
          <w:rStyle w:val="Bodytext1"/>
          <w:rFonts w:ascii="Times New Roman" w:eastAsiaTheme="minorEastAsia" w:hAnsi="Times New Roman"/>
          <w:noProof/>
          <w:sz w:val="24"/>
          <w:szCs w:val="24"/>
          <w:lang w:eastAsia="en-GB"/>
        </w:rPr>
        <w:t xml:space="preserve">the Commission introduced provisions </w:t>
      </w:r>
      <w:r w:rsidR="00FD7BAA">
        <w:rPr>
          <w:rStyle w:val="Bodytext1"/>
          <w:rFonts w:ascii="Times New Roman" w:eastAsiaTheme="minorEastAsia" w:hAnsi="Times New Roman"/>
          <w:noProof/>
          <w:sz w:val="24"/>
          <w:szCs w:val="24"/>
          <w:lang w:eastAsia="en-GB"/>
        </w:rPr>
        <w:t>that</w:t>
      </w:r>
      <w:r w:rsidR="00FD7BAA" w:rsidRPr="001E3C9B">
        <w:rPr>
          <w:rStyle w:val="Bodytext1"/>
          <w:rFonts w:ascii="Times New Roman" w:eastAsiaTheme="minorEastAsia" w:hAnsi="Times New Roman"/>
          <w:noProof/>
          <w:sz w:val="24"/>
          <w:szCs w:val="24"/>
          <w:lang w:eastAsia="en-GB"/>
        </w:rPr>
        <w:t xml:space="preserve"> </w:t>
      </w:r>
      <w:r w:rsidR="00E82C70" w:rsidRPr="001E3C9B">
        <w:rPr>
          <w:rStyle w:val="Bodytext1"/>
          <w:rFonts w:ascii="Times New Roman" w:eastAsiaTheme="minorEastAsia" w:hAnsi="Times New Roman"/>
          <w:noProof/>
          <w:sz w:val="24"/>
          <w:szCs w:val="24"/>
          <w:lang w:eastAsia="en-GB"/>
        </w:rPr>
        <w:t xml:space="preserve">already </w:t>
      </w:r>
      <w:r w:rsidR="00625F49" w:rsidRPr="001E3C9B">
        <w:rPr>
          <w:rStyle w:val="Bodytext1"/>
          <w:rFonts w:ascii="Times New Roman" w:eastAsiaTheme="minorEastAsia" w:hAnsi="Times New Roman"/>
          <w:noProof/>
          <w:sz w:val="24"/>
          <w:szCs w:val="24"/>
          <w:lang w:eastAsia="en-GB"/>
        </w:rPr>
        <w:t xml:space="preserve">address </w:t>
      </w:r>
      <w:r w:rsidR="00E82C70" w:rsidRPr="001E3C9B">
        <w:rPr>
          <w:rStyle w:val="Bodytext1"/>
          <w:rFonts w:ascii="Times New Roman" w:eastAsiaTheme="minorEastAsia" w:hAnsi="Times New Roman"/>
          <w:noProof/>
          <w:sz w:val="24"/>
          <w:szCs w:val="24"/>
          <w:lang w:eastAsia="en-GB"/>
        </w:rPr>
        <w:t>some of the</w:t>
      </w:r>
      <w:r w:rsidR="00162E7A">
        <w:rPr>
          <w:rStyle w:val="Bodytext1"/>
          <w:rFonts w:ascii="Times New Roman" w:eastAsiaTheme="minorEastAsia" w:hAnsi="Times New Roman"/>
          <w:noProof/>
          <w:sz w:val="24"/>
          <w:szCs w:val="24"/>
          <w:lang w:eastAsia="en-GB"/>
        </w:rPr>
        <w:t>se</w:t>
      </w:r>
      <w:r w:rsidR="00E82C70" w:rsidRPr="001E3C9B">
        <w:rPr>
          <w:rStyle w:val="Bodytext1"/>
          <w:rFonts w:ascii="Times New Roman" w:eastAsiaTheme="minorEastAsia" w:hAnsi="Times New Roman"/>
          <w:noProof/>
          <w:sz w:val="24"/>
          <w:szCs w:val="24"/>
          <w:lang w:eastAsia="en-GB"/>
        </w:rPr>
        <w:t xml:space="preserve"> </w:t>
      </w:r>
      <w:r w:rsidR="00625F49" w:rsidRPr="001E3C9B">
        <w:rPr>
          <w:rStyle w:val="Bodytext1"/>
          <w:rFonts w:ascii="Times New Roman" w:eastAsiaTheme="minorEastAsia" w:hAnsi="Times New Roman"/>
          <w:noProof/>
          <w:sz w:val="24"/>
          <w:szCs w:val="24"/>
          <w:lang w:eastAsia="en-GB"/>
        </w:rPr>
        <w:t>recommendations</w:t>
      </w:r>
      <w:r w:rsidR="00E82C70" w:rsidRPr="001E3C9B">
        <w:rPr>
          <w:rStyle w:val="Bodytext1"/>
          <w:rFonts w:ascii="Times New Roman" w:eastAsiaTheme="minorEastAsia" w:hAnsi="Times New Roman"/>
          <w:noProof/>
          <w:sz w:val="24"/>
          <w:szCs w:val="24"/>
          <w:lang w:eastAsia="en-GB"/>
        </w:rPr>
        <w:t>. L</w:t>
      </w:r>
      <w:r w:rsidR="00625F49" w:rsidRPr="001E3C9B">
        <w:rPr>
          <w:rStyle w:val="Bodytext1"/>
          <w:rFonts w:ascii="Times New Roman" w:eastAsiaTheme="minorEastAsia" w:hAnsi="Times New Roman"/>
          <w:noProof/>
          <w:sz w:val="24"/>
          <w:szCs w:val="24"/>
          <w:lang w:eastAsia="en-GB"/>
        </w:rPr>
        <w:t xml:space="preserve">ess prescriptive </w:t>
      </w:r>
      <w:r w:rsidR="00E82C70" w:rsidRPr="001E3C9B">
        <w:rPr>
          <w:rStyle w:val="Bodytext1"/>
          <w:rFonts w:ascii="Times New Roman" w:eastAsiaTheme="minorEastAsia" w:hAnsi="Times New Roman"/>
          <w:noProof/>
          <w:sz w:val="24"/>
          <w:szCs w:val="24"/>
          <w:lang w:eastAsia="en-GB"/>
        </w:rPr>
        <w:t xml:space="preserve">call topics </w:t>
      </w:r>
      <w:r w:rsidR="00162E7A">
        <w:rPr>
          <w:rStyle w:val="Bodytext1"/>
          <w:rFonts w:ascii="Times New Roman" w:eastAsiaTheme="minorEastAsia" w:hAnsi="Times New Roman"/>
          <w:noProof/>
          <w:sz w:val="24"/>
          <w:szCs w:val="24"/>
          <w:lang w:eastAsia="en-GB"/>
        </w:rPr>
        <w:t xml:space="preserve">than in previous programme </w:t>
      </w:r>
      <w:r w:rsidR="00E82C70" w:rsidRPr="001E3C9B">
        <w:rPr>
          <w:rStyle w:val="Bodytext1"/>
          <w:rFonts w:ascii="Times New Roman" w:eastAsiaTheme="minorEastAsia" w:hAnsi="Times New Roman"/>
          <w:noProof/>
          <w:sz w:val="24"/>
          <w:szCs w:val="24"/>
          <w:lang w:eastAsia="en-GB"/>
        </w:rPr>
        <w:t>give the consortia more freedom in self</w:t>
      </w:r>
      <w:r w:rsidR="00867FDC" w:rsidRPr="001E3C9B">
        <w:rPr>
          <w:rStyle w:val="Bodytext1"/>
          <w:rFonts w:ascii="Times New Roman" w:eastAsiaTheme="minorEastAsia" w:hAnsi="Times New Roman"/>
          <w:noProof/>
          <w:sz w:val="24"/>
          <w:szCs w:val="24"/>
          <w:lang w:eastAsia="en-GB"/>
        </w:rPr>
        <w:t>-</w:t>
      </w:r>
      <w:r w:rsidR="00E82C70" w:rsidRPr="001E3C9B">
        <w:rPr>
          <w:rStyle w:val="Bodytext1"/>
          <w:rFonts w:ascii="Times New Roman" w:eastAsiaTheme="minorEastAsia" w:hAnsi="Times New Roman"/>
          <w:noProof/>
          <w:sz w:val="24"/>
          <w:szCs w:val="24"/>
          <w:lang w:eastAsia="en-GB"/>
        </w:rPr>
        <w:t>organisation</w:t>
      </w:r>
      <w:r w:rsidR="00867FDC" w:rsidRPr="001E3C9B">
        <w:rPr>
          <w:rStyle w:val="Bodytext1"/>
          <w:rFonts w:ascii="Times New Roman" w:eastAsiaTheme="minorEastAsia" w:hAnsi="Times New Roman"/>
          <w:noProof/>
          <w:sz w:val="24"/>
          <w:szCs w:val="24"/>
          <w:lang w:eastAsia="en-GB"/>
        </w:rPr>
        <w:t>,</w:t>
      </w:r>
      <w:r w:rsidR="00E82C70" w:rsidRPr="001E3C9B">
        <w:rPr>
          <w:rStyle w:val="Bodytext1"/>
          <w:rFonts w:ascii="Times New Roman" w:eastAsiaTheme="minorEastAsia" w:hAnsi="Times New Roman"/>
          <w:noProof/>
          <w:sz w:val="24"/>
          <w:szCs w:val="24"/>
          <w:lang w:eastAsia="en-GB"/>
        </w:rPr>
        <w:t xml:space="preserve"> </w:t>
      </w:r>
      <w:r w:rsidR="00162E7A">
        <w:rPr>
          <w:rStyle w:val="Bodytext1"/>
          <w:rFonts w:ascii="Times New Roman" w:eastAsiaTheme="minorEastAsia" w:hAnsi="Times New Roman"/>
          <w:noProof/>
          <w:sz w:val="24"/>
          <w:szCs w:val="24"/>
          <w:lang w:eastAsia="en-GB"/>
        </w:rPr>
        <w:t xml:space="preserve">thus </w:t>
      </w:r>
      <w:r w:rsidR="00E82C70" w:rsidRPr="001E3C9B">
        <w:rPr>
          <w:rStyle w:val="Bodytext1"/>
          <w:rFonts w:ascii="Times New Roman" w:eastAsiaTheme="minorEastAsia" w:hAnsi="Times New Roman"/>
          <w:noProof/>
          <w:sz w:val="24"/>
          <w:szCs w:val="24"/>
          <w:lang w:eastAsia="en-GB"/>
        </w:rPr>
        <w:t xml:space="preserve">increasing efficiency. </w:t>
      </w:r>
      <w:r w:rsidR="002E5453">
        <w:rPr>
          <w:rStyle w:val="Bodytext1"/>
          <w:rFonts w:ascii="Times New Roman" w:eastAsiaTheme="minorEastAsia" w:hAnsi="Times New Roman"/>
          <w:noProof/>
          <w:sz w:val="24"/>
          <w:szCs w:val="24"/>
          <w:lang w:eastAsia="en-GB"/>
        </w:rPr>
        <w:t>Our plan for l</w:t>
      </w:r>
      <w:r w:rsidR="00E82C70" w:rsidRPr="001E3C9B">
        <w:rPr>
          <w:rStyle w:val="Bodytext1"/>
          <w:rFonts w:ascii="Times New Roman" w:eastAsiaTheme="minorEastAsia" w:hAnsi="Times New Roman"/>
          <w:noProof/>
          <w:sz w:val="24"/>
          <w:szCs w:val="24"/>
          <w:lang w:eastAsia="en-GB"/>
        </w:rPr>
        <w:t>arge</w:t>
      </w:r>
      <w:r w:rsidR="00867FDC" w:rsidRPr="001E3C9B">
        <w:rPr>
          <w:rStyle w:val="Bodytext1"/>
          <w:rFonts w:ascii="Times New Roman" w:eastAsiaTheme="minorEastAsia" w:hAnsi="Times New Roman"/>
          <w:noProof/>
          <w:sz w:val="24"/>
          <w:szCs w:val="24"/>
          <w:lang w:eastAsia="en-GB"/>
        </w:rPr>
        <w:t>r</w:t>
      </w:r>
      <w:r w:rsidR="00E82C70" w:rsidRPr="001E3C9B">
        <w:rPr>
          <w:rStyle w:val="Bodytext1"/>
          <w:rFonts w:ascii="Times New Roman" w:eastAsiaTheme="minorEastAsia" w:hAnsi="Times New Roman"/>
          <w:noProof/>
          <w:sz w:val="24"/>
          <w:szCs w:val="24"/>
          <w:lang w:eastAsia="en-GB"/>
        </w:rPr>
        <w:t xml:space="preserve"> projects </w:t>
      </w:r>
      <w:r w:rsidR="00867FDC" w:rsidRPr="001E3C9B">
        <w:rPr>
          <w:rStyle w:val="Bodytext1"/>
          <w:rFonts w:ascii="Times New Roman" w:eastAsiaTheme="minorEastAsia" w:hAnsi="Times New Roman"/>
          <w:noProof/>
          <w:sz w:val="24"/>
          <w:szCs w:val="24"/>
          <w:lang w:eastAsia="en-GB"/>
        </w:rPr>
        <w:t xml:space="preserve">that </w:t>
      </w:r>
      <w:r w:rsidR="00044218" w:rsidRPr="001E3C9B">
        <w:rPr>
          <w:rStyle w:val="Bodytext1"/>
          <w:rFonts w:ascii="Times New Roman" w:eastAsiaTheme="minorEastAsia" w:hAnsi="Times New Roman"/>
          <w:noProof/>
          <w:sz w:val="24"/>
          <w:szCs w:val="24"/>
          <w:lang w:eastAsia="en-GB"/>
        </w:rPr>
        <w:t xml:space="preserve">systematically </w:t>
      </w:r>
      <w:r w:rsidR="00867FDC" w:rsidRPr="001E3C9B">
        <w:rPr>
          <w:rStyle w:val="Bodytext1"/>
          <w:rFonts w:ascii="Times New Roman" w:eastAsiaTheme="minorEastAsia" w:hAnsi="Times New Roman"/>
          <w:noProof/>
          <w:sz w:val="24"/>
          <w:szCs w:val="24"/>
          <w:lang w:eastAsia="en-GB"/>
        </w:rPr>
        <w:t xml:space="preserve">support </w:t>
      </w:r>
      <w:r w:rsidR="00E82C70" w:rsidRPr="001E3C9B">
        <w:rPr>
          <w:rStyle w:val="Bodytext1"/>
          <w:rFonts w:ascii="Times New Roman" w:eastAsiaTheme="minorEastAsia" w:hAnsi="Times New Roman"/>
          <w:noProof/>
          <w:sz w:val="24"/>
          <w:szCs w:val="24"/>
          <w:lang w:eastAsia="en-GB"/>
        </w:rPr>
        <w:t>access to education</w:t>
      </w:r>
      <w:r w:rsidR="00162E7A">
        <w:rPr>
          <w:rStyle w:val="Bodytext1"/>
          <w:rFonts w:ascii="Times New Roman" w:eastAsiaTheme="minorEastAsia" w:hAnsi="Times New Roman"/>
          <w:noProof/>
          <w:sz w:val="24"/>
          <w:szCs w:val="24"/>
          <w:lang w:eastAsia="en-GB"/>
        </w:rPr>
        <w:t xml:space="preserve">, </w:t>
      </w:r>
      <w:r w:rsidR="00E82C70" w:rsidRPr="001E3C9B">
        <w:rPr>
          <w:rStyle w:val="Bodytext1"/>
          <w:rFonts w:ascii="Times New Roman" w:eastAsiaTheme="minorEastAsia" w:hAnsi="Times New Roman"/>
          <w:noProof/>
          <w:sz w:val="24"/>
          <w:szCs w:val="24"/>
          <w:lang w:eastAsia="en-GB"/>
        </w:rPr>
        <w:t xml:space="preserve">training </w:t>
      </w:r>
      <w:r w:rsidR="00867FDC" w:rsidRPr="001E3C9B">
        <w:rPr>
          <w:rStyle w:val="Bodytext1"/>
          <w:rFonts w:ascii="Times New Roman" w:eastAsiaTheme="minorEastAsia" w:hAnsi="Times New Roman"/>
          <w:noProof/>
          <w:sz w:val="24"/>
          <w:szCs w:val="24"/>
          <w:lang w:eastAsia="en-GB"/>
        </w:rPr>
        <w:t xml:space="preserve">and infrastructures </w:t>
      </w:r>
      <w:r w:rsidR="00E82C70" w:rsidRPr="001E3C9B">
        <w:rPr>
          <w:rStyle w:val="Bodytext1"/>
          <w:rFonts w:ascii="Times New Roman" w:eastAsiaTheme="minorEastAsia" w:hAnsi="Times New Roman"/>
          <w:noProof/>
          <w:sz w:val="24"/>
          <w:szCs w:val="24"/>
          <w:lang w:eastAsia="en-GB"/>
        </w:rPr>
        <w:t>should</w:t>
      </w:r>
      <w:r w:rsidR="00044218" w:rsidRPr="001E3C9B">
        <w:rPr>
          <w:rStyle w:val="Bodytext1"/>
          <w:rFonts w:ascii="Times New Roman" w:eastAsiaTheme="minorEastAsia" w:hAnsi="Times New Roman"/>
          <w:noProof/>
          <w:sz w:val="24"/>
          <w:szCs w:val="24"/>
          <w:lang w:eastAsia="en-GB"/>
        </w:rPr>
        <w:t xml:space="preserve"> improve the situation in the long</w:t>
      </w:r>
      <w:r w:rsidR="00867FDC" w:rsidRPr="001E3C9B">
        <w:rPr>
          <w:rStyle w:val="Bodytext1"/>
          <w:rFonts w:ascii="Times New Roman" w:eastAsiaTheme="minorEastAsia" w:hAnsi="Times New Roman"/>
          <w:noProof/>
          <w:sz w:val="24"/>
          <w:szCs w:val="24"/>
          <w:lang w:eastAsia="en-GB"/>
        </w:rPr>
        <w:t>-</w:t>
      </w:r>
      <w:r w:rsidR="00044218" w:rsidRPr="001E3C9B">
        <w:rPr>
          <w:rStyle w:val="Bodytext1"/>
          <w:rFonts w:ascii="Times New Roman" w:eastAsiaTheme="minorEastAsia" w:hAnsi="Times New Roman"/>
          <w:noProof/>
          <w:sz w:val="24"/>
          <w:szCs w:val="24"/>
          <w:lang w:eastAsia="en-GB"/>
        </w:rPr>
        <w:t>term</w:t>
      </w:r>
      <w:r w:rsidR="00E82C70" w:rsidRPr="001E3C9B">
        <w:rPr>
          <w:rStyle w:val="Bodytext1"/>
          <w:rFonts w:ascii="Times New Roman" w:eastAsiaTheme="minorEastAsia" w:hAnsi="Times New Roman"/>
          <w:noProof/>
          <w:sz w:val="24"/>
          <w:szCs w:val="24"/>
          <w:lang w:eastAsia="en-GB"/>
        </w:rPr>
        <w:t>.</w:t>
      </w:r>
      <w:r w:rsidR="00044218" w:rsidRPr="001E3C9B">
        <w:rPr>
          <w:rStyle w:val="Bodytext1"/>
          <w:rFonts w:ascii="Times New Roman" w:eastAsiaTheme="minorEastAsia" w:hAnsi="Times New Roman"/>
          <w:noProof/>
          <w:sz w:val="24"/>
          <w:szCs w:val="24"/>
          <w:lang w:eastAsia="en-GB"/>
        </w:rPr>
        <w:t xml:space="preserve"> Integration of </w:t>
      </w:r>
      <w:r w:rsidR="00867FDC" w:rsidRPr="001E3C9B">
        <w:rPr>
          <w:rStyle w:val="Bodytext1"/>
          <w:rFonts w:ascii="Times New Roman" w:eastAsiaTheme="minorEastAsia" w:hAnsi="Times New Roman"/>
          <w:noProof/>
          <w:sz w:val="24"/>
          <w:szCs w:val="24"/>
          <w:lang w:eastAsia="en-GB"/>
        </w:rPr>
        <w:t xml:space="preserve">the Programme’s </w:t>
      </w:r>
      <w:r w:rsidR="00044218" w:rsidRPr="001E3C9B">
        <w:rPr>
          <w:rStyle w:val="Bodytext1"/>
          <w:rFonts w:ascii="Times New Roman" w:eastAsiaTheme="minorEastAsia" w:hAnsi="Times New Roman"/>
          <w:noProof/>
          <w:sz w:val="24"/>
          <w:szCs w:val="24"/>
          <w:lang w:eastAsia="en-GB"/>
        </w:rPr>
        <w:t>direct and indirect actions should be further strengt</w:t>
      </w:r>
      <w:r w:rsidR="00DD070A" w:rsidRPr="001E3C9B">
        <w:rPr>
          <w:rStyle w:val="Bodytext1"/>
          <w:rFonts w:ascii="Times New Roman" w:eastAsiaTheme="minorEastAsia" w:hAnsi="Times New Roman"/>
          <w:noProof/>
          <w:sz w:val="24"/>
          <w:szCs w:val="24"/>
          <w:lang w:eastAsia="en-GB"/>
        </w:rPr>
        <w:t>h</w:t>
      </w:r>
      <w:r w:rsidR="00044218" w:rsidRPr="001E3C9B">
        <w:rPr>
          <w:rStyle w:val="Bodytext1"/>
          <w:rFonts w:ascii="Times New Roman" w:eastAsiaTheme="minorEastAsia" w:hAnsi="Times New Roman"/>
          <w:noProof/>
          <w:sz w:val="24"/>
          <w:szCs w:val="24"/>
          <w:lang w:eastAsia="en-GB"/>
        </w:rPr>
        <w:t xml:space="preserve">ened by </w:t>
      </w:r>
      <w:r w:rsidR="00801365" w:rsidRPr="001E3C9B">
        <w:rPr>
          <w:rStyle w:val="Bodytext1"/>
          <w:rFonts w:ascii="Times New Roman" w:eastAsiaTheme="minorEastAsia" w:hAnsi="Times New Roman"/>
          <w:noProof/>
          <w:sz w:val="24"/>
          <w:szCs w:val="24"/>
          <w:lang w:eastAsia="en-GB"/>
        </w:rPr>
        <w:t>introduc</w:t>
      </w:r>
      <w:r w:rsidR="00867FDC" w:rsidRPr="001E3C9B">
        <w:rPr>
          <w:rStyle w:val="Bodytext1"/>
          <w:rFonts w:ascii="Times New Roman" w:eastAsiaTheme="minorEastAsia" w:hAnsi="Times New Roman"/>
          <w:noProof/>
          <w:sz w:val="24"/>
          <w:szCs w:val="24"/>
          <w:lang w:eastAsia="en-GB"/>
        </w:rPr>
        <w:t>ing</w:t>
      </w:r>
      <w:r w:rsidR="00801365" w:rsidRPr="001E3C9B">
        <w:rPr>
          <w:rStyle w:val="Bodytext1"/>
          <w:rFonts w:ascii="Times New Roman" w:eastAsiaTheme="minorEastAsia" w:hAnsi="Times New Roman"/>
          <w:noProof/>
          <w:sz w:val="24"/>
          <w:szCs w:val="24"/>
          <w:lang w:eastAsia="en-GB"/>
        </w:rPr>
        <w:t xml:space="preserve"> </w:t>
      </w:r>
      <w:r w:rsidR="00867FDC" w:rsidRPr="001E3C9B">
        <w:rPr>
          <w:rStyle w:val="Bodytext1"/>
          <w:rFonts w:ascii="Times New Roman" w:eastAsiaTheme="minorEastAsia" w:hAnsi="Times New Roman"/>
          <w:noProof/>
          <w:sz w:val="24"/>
          <w:szCs w:val="24"/>
          <w:lang w:eastAsia="en-GB"/>
        </w:rPr>
        <w:t xml:space="preserve">the </w:t>
      </w:r>
      <w:r w:rsidR="00736BD0">
        <w:rPr>
          <w:rStyle w:val="Bodytext1"/>
          <w:rFonts w:ascii="Times New Roman" w:eastAsiaTheme="minorEastAsia" w:hAnsi="Times New Roman"/>
          <w:noProof/>
          <w:sz w:val="24"/>
          <w:szCs w:val="24"/>
          <w:lang w:eastAsia="en-GB"/>
        </w:rPr>
        <w:t xml:space="preserve">access to </w:t>
      </w:r>
      <w:r w:rsidR="00801365" w:rsidRPr="001E3C9B">
        <w:rPr>
          <w:rStyle w:val="Bodytext1"/>
          <w:rFonts w:ascii="Times New Roman" w:eastAsiaTheme="minorEastAsia" w:hAnsi="Times New Roman"/>
          <w:noProof/>
          <w:sz w:val="24"/>
          <w:szCs w:val="24"/>
          <w:lang w:eastAsia="en-GB"/>
        </w:rPr>
        <w:t xml:space="preserve">JRC’s </w:t>
      </w:r>
      <w:r w:rsidR="00736BD0">
        <w:rPr>
          <w:rStyle w:val="Bodytext1"/>
          <w:rFonts w:ascii="Times New Roman" w:eastAsiaTheme="minorEastAsia" w:hAnsi="Times New Roman"/>
          <w:noProof/>
          <w:sz w:val="24"/>
          <w:szCs w:val="24"/>
          <w:lang w:eastAsia="en-GB"/>
        </w:rPr>
        <w:t>facilities and know-how</w:t>
      </w:r>
      <w:r w:rsidR="00801365" w:rsidRPr="001E3C9B">
        <w:rPr>
          <w:rStyle w:val="Bodytext1"/>
          <w:rFonts w:ascii="Times New Roman" w:eastAsiaTheme="minorEastAsia" w:hAnsi="Times New Roman"/>
          <w:noProof/>
          <w:sz w:val="24"/>
          <w:szCs w:val="24"/>
          <w:lang w:eastAsia="en-GB"/>
        </w:rPr>
        <w:t xml:space="preserve"> to consortia in Euratom calls for proposals</w:t>
      </w:r>
      <w:r w:rsidR="00044218" w:rsidRPr="001E3C9B">
        <w:rPr>
          <w:rStyle w:val="Bodytext1"/>
          <w:rFonts w:ascii="Times New Roman" w:eastAsiaTheme="minorEastAsia" w:hAnsi="Times New Roman"/>
          <w:noProof/>
          <w:sz w:val="24"/>
          <w:szCs w:val="24"/>
          <w:lang w:eastAsia="en-GB"/>
        </w:rPr>
        <w:t>.</w:t>
      </w:r>
      <w:r w:rsidR="00E82C70" w:rsidRPr="001E3C9B">
        <w:rPr>
          <w:rStyle w:val="Bodytext1"/>
          <w:rFonts w:ascii="Times New Roman" w:eastAsiaTheme="minorEastAsia" w:hAnsi="Times New Roman"/>
          <w:noProof/>
          <w:sz w:val="24"/>
          <w:szCs w:val="24"/>
          <w:lang w:eastAsia="en-GB"/>
        </w:rPr>
        <w:t xml:space="preserve"> </w:t>
      </w:r>
      <w:r w:rsidR="00044218" w:rsidRPr="001E3C9B">
        <w:rPr>
          <w:rFonts w:ascii="Times New Roman" w:hAnsi="Times New Roman" w:cs="Times New Roman"/>
          <w:noProof/>
          <w:sz w:val="24"/>
          <w:szCs w:val="24"/>
        </w:rPr>
        <w:t>The Programme’s interim evaluation will assess these actions and provide further guidance for future Euratom support.</w:t>
      </w:r>
    </w:p>
    <w:p w14:paraId="64F1A1DB" w14:textId="39157078" w:rsidR="001438D0" w:rsidRPr="001E3C9B" w:rsidRDefault="00556139" w:rsidP="00D2394E">
      <w:pPr>
        <w:pStyle w:val="Bodytext10"/>
        <w:numPr>
          <w:ilvl w:val="0"/>
          <w:numId w:val="40"/>
        </w:numPr>
        <w:spacing w:after="160" w:line="256" w:lineRule="auto"/>
        <w:jc w:val="both"/>
        <w:rPr>
          <w:rStyle w:val="Bodytext1"/>
          <w:rFonts w:ascii="Times New Roman" w:eastAsiaTheme="minorEastAsia" w:hAnsi="Times New Roman"/>
          <w:noProof/>
          <w:sz w:val="24"/>
          <w:szCs w:val="24"/>
          <w:lang w:eastAsia="en-GB"/>
        </w:rPr>
      </w:pPr>
      <w:r w:rsidRPr="001E3C9B">
        <w:rPr>
          <w:rStyle w:val="Bodytext1"/>
          <w:rFonts w:ascii="Times New Roman" w:eastAsiaTheme="minorEastAsia" w:hAnsi="Times New Roman"/>
          <w:noProof/>
          <w:sz w:val="24"/>
          <w:szCs w:val="24"/>
          <w:lang w:eastAsia="en-GB"/>
        </w:rPr>
        <w:t>I</w:t>
      </w:r>
      <w:r w:rsidR="00F27E06" w:rsidRPr="001E3C9B">
        <w:rPr>
          <w:rStyle w:val="Bodytext1"/>
          <w:rFonts w:ascii="Times New Roman" w:eastAsiaTheme="minorEastAsia" w:hAnsi="Times New Roman"/>
          <w:noProof/>
          <w:sz w:val="24"/>
          <w:szCs w:val="24"/>
          <w:lang w:eastAsia="en-GB"/>
        </w:rPr>
        <w:t>t</w:t>
      </w:r>
      <w:r w:rsidR="00241D59">
        <w:rPr>
          <w:rStyle w:val="Bodytext1"/>
          <w:rFonts w:ascii="Times New Roman" w:eastAsiaTheme="minorEastAsia" w:hAnsi="Times New Roman"/>
          <w:noProof/>
          <w:sz w:val="24"/>
          <w:szCs w:val="24"/>
          <w:lang w:eastAsia="en-GB"/>
        </w:rPr>
        <w:t xml:space="preserve"> i</w:t>
      </w:r>
      <w:r w:rsidR="00F27E06" w:rsidRPr="001E3C9B">
        <w:rPr>
          <w:rStyle w:val="Bodytext1"/>
          <w:rFonts w:ascii="Times New Roman" w:eastAsiaTheme="minorEastAsia" w:hAnsi="Times New Roman"/>
          <w:noProof/>
          <w:sz w:val="24"/>
          <w:szCs w:val="24"/>
          <w:lang w:eastAsia="en-GB"/>
        </w:rPr>
        <w:t>s time for E</w:t>
      </w:r>
      <w:r w:rsidR="00337AFB" w:rsidRPr="001E3C9B">
        <w:rPr>
          <w:rStyle w:val="Bodytext1"/>
          <w:rFonts w:ascii="Times New Roman" w:eastAsiaTheme="minorEastAsia" w:hAnsi="Times New Roman"/>
          <w:noProof/>
          <w:sz w:val="24"/>
          <w:szCs w:val="24"/>
          <w:lang w:eastAsia="en-GB"/>
        </w:rPr>
        <w:t>uratom</w:t>
      </w:r>
      <w:r w:rsidR="00F27E06" w:rsidRPr="001E3C9B">
        <w:rPr>
          <w:rStyle w:val="Bodytext1"/>
          <w:rFonts w:ascii="Times New Roman" w:eastAsiaTheme="minorEastAsia" w:hAnsi="Times New Roman"/>
          <w:noProof/>
          <w:sz w:val="24"/>
          <w:szCs w:val="24"/>
          <w:lang w:eastAsia="en-GB"/>
        </w:rPr>
        <w:t xml:space="preserve"> to streamline support</w:t>
      </w:r>
      <w:r w:rsidRPr="001E3C9B">
        <w:rPr>
          <w:rStyle w:val="Bodytext1"/>
          <w:rFonts w:ascii="Times New Roman" w:eastAsiaTheme="minorEastAsia" w:hAnsi="Times New Roman"/>
          <w:noProof/>
          <w:sz w:val="24"/>
          <w:szCs w:val="24"/>
          <w:lang w:eastAsia="en-GB"/>
        </w:rPr>
        <w:t xml:space="preserve"> for</w:t>
      </w:r>
      <w:r w:rsidR="00F27E06" w:rsidRPr="001E3C9B">
        <w:rPr>
          <w:rStyle w:val="Bodytext1"/>
          <w:rFonts w:ascii="Times New Roman" w:eastAsiaTheme="minorEastAsia" w:hAnsi="Times New Roman"/>
          <w:noProof/>
          <w:sz w:val="24"/>
          <w:szCs w:val="24"/>
          <w:lang w:eastAsia="en-GB"/>
        </w:rPr>
        <w:t xml:space="preserve"> </w:t>
      </w:r>
      <w:r w:rsidRPr="001E3C9B">
        <w:rPr>
          <w:rStyle w:val="Bodytext1"/>
          <w:rFonts w:ascii="Times New Roman" w:eastAsiaTheme="minorEastAsia" w:hAnsi="Times New Roman"/>
          <w:noProof/>
          <w:sz w:val="24"/>
          <w:szCs w:val="24"/>
          <w:lang w:eastAsia="en-GB"/>
        </w:rPr>
        <w:t>research</w:t>
      </w:r>
      <w:r w:rsidR="00F27E06" w:rsidRPr="001E3C9B">
        <w:rPr>
          <w:rStyle w:val="Bodytext1"/>
          <w:rFonts w:ascii="Times New Roman" w:eastAsiaTheme="minorEastAsia" w:hAnsi="Times New Roman"/>
          <w:noProof/>
          <w:sz w:val="24"/>
          <w:szCs w:val="24"/>
          <w:lang w:eastAsia="en-GB"/>
        </w:rPr>
        <w:t xml:space="preserve"> activities and concentrate </w:t>
      </w:r>
      <w:r w:rsidR="009733C7" w:rsidRPr="001E3C9B">
        <w:rPr>
          <w:rStyle w:val="Bodytext1"/>
          <w:rFonts w:ascii="Times New Roman" w:eastAsiaTheme="minorEastAsia" w:hAnsi="Times New Roman"/>
          <w:noProof/>
          <w:sz w:val="24"/>
          <w:szCs w:val="24"/>
          <w:lang w:eastAsia="en-GB"/>
        </w:rPr>
        <w:t xml:space="preserve">its </w:t>
      </w:r>
      <w:r w:rsidR="00F27E06" w:rsidRPr="001E3C9B">
        <w:rPr>
          <w:rStyle w:val="Bodytext1"/>
          <w:rFonts w:ascii="Times New Roman" w:eastAsiaTheme="minorEastAsia" w:hAnsi="Times New Roman"/>
          <w:noProof/>
          <w:sz w:val="24"/>
          <w:szCs w:val="24"/>
          <w:lang w:eastAsia="en-GB"/>
        </w:rPr>
        <w:t>effort</w:t>
      </w:r>
      <w:r w:rsidR="00214353" w:rsidRPr="001E3C9B">
        <w:rPr>
          <w:rStyle w:val="Bodytext1"/>
          <w:rFonts w:ascii="Times New Roman" w:eastAsiaTheme="minorEastAsia" w:hAnsi="Times New Roman"/>
          <w:noProof/>
          <w:sz w:val="24"/>
          <w:szCs w:val="24"/>
          <w:lang w:val="mt-MT" w:eastAsia="en-GB"/>
        </w:rPr>
        <w:t>s</w:t>
      </w:r>
      <w:r w:rsidR="00F27E06" w:rsidRPr="001E3C9B">
        <w:rPr>
          <w:rStyle w:val="Bodytext1"/>
          <w:rFonts w:ascii="Times New Roman" w:eastAsiaTheme="minorEastAsia" w:hAnsi="Times New Roman"/>
          <w:noProof/>
          <w:sz w:val="24"/>
          <w:szCs w:val="24"/>
          <w:lang w:eastAsia="en-GB"/>
        </w:rPr>
        <w:t xml:space="preserve"> and resources on the few </w:t>
      </w:r>
      <w:r w:rsidRPr="001E3C9B">
        <w:rPr>
          <w:rStyle w:val="Bodytext1"/>
          <w:rFonts w:ascii="Times New Roman" w:eastAsiaTheme="minorEastAsia" w:hAnsi="Times New Roman"/>
          <w:noProof/>
          <w:sz w:val="24"/>
          <w:szCs w:val="24"/>
          <w:lang w:eastAsia="en-GB"/>
        </w:rPr>
        <w:t>advanced nuclear</w:t>
      </w:r>
      <w:r w:rsidR="00F27E06" w:rsidRPr="001E3C9B">
        <w:rPr>
          <w:rStyle w:val="Bodytext1"/>
          <w:rFonts w:ascii="Times New Roman" w:eastAsiaTheme="minorEastAsia" w:hAnsi="Times New Roman"/>
          <w:noProof/>
          <w:sz w:val="24"/>
          <w:szCs w:val="24"/>
          <w:lang w:eastAsia="en-GB"/>
        </w:rPr>
        <w:t xml:space="preserve"> systems and applications </w:t>
      </w:r>
      <w:r w:rsidR="004D4664">
        <w:rPr>
          <w:rStyle w:val="Bodytext1"/>
          <w:rFonts w:ascii="Times New Roman" w:eastAsiaTheme="minorEastAsia" w:hAnsi="Times New Roman"/>
          <w:noProof/>
          <w:sz w:val="24"/>
          <w:szCs w:val="24"/>
          <w:lang w:eastAsia="en-GB"/>
        </w:rPr>
        <w:t xml:space="preserve">in </w:t>
      </w:r>
      <w:r w:rsidR="00F27E06" w:rsidRPr="001E3C9B">
        <w:rPr>
          <w:rStyle w:val="Bodytext1"/>
          <w:rFonts w:ascii="Times New Roman" w:eastAsiaTheme="minorEastAsia" w:hAnsi="Times New Roman"/>
          <w:noProof/>
          <w:sz w:val="24"/>
          <w:szCs w:val="24"/>
          <w:lang w:eastAsia="en-GB"/>
        </w:rPr>
        <w:t>which European industr</w:t>
      </w:r>
      <w:r w:rsidR="002E5453">
        <w:rPr>
          <w:rStyle w:val="Bodytext1"/>
          <w:rFonts w:ascii="Times New Roman" w:eastAsiaTheme="minorEastAsia" w:hAnsi="Times New Roman"/>
          <w:noProof/>
          <w:sz w:val="24"/>
          <w:szCs w:val="24"/>
          <w:lang w:eastAsia="en-GB"/>
        </w:rPr>
        <w:t>y</w:t>
      </w:r>
      <w:r w:rsidR="004D4664">
        <w:rPr>
          <w:rStyle w:val="Bodytext1"/>
          <w:rFonts w:ascii="Times New Roman" w:eastAsiaTheme="minorEastAsia" w:hAnsi="Times New Roman"/>
          <w:noProof/>
          <w:sz w:val="24"/>
          <w:szCs w:val="24"/>
          <w:lang w:eastAsia="en-GB"/>
        </w:rPr>
        <w:t xml:space="preserve"> ha</w:t>
      </w:r>
      <w:r w:rsidR="002E5453">
        <w:rPr>
          <w:rStyle w:val="Bodytext1"/>
          <w:rFonts w:ascii="Times New Roman" w:eastAsiaTheme="minorEastAsia" w:hAnsi="Times New Roman"/>
          <w:noProof/>
          <w:sz w:val="24"/>
          <w:szCs w:val="24"/>
          <w:lang w:eastAsia="en-GB"/>
        </w:rPr>
        <w:t>s</w:t>
      </w:r>
      <w:r w:rsidR="004D4664">
        <w:rPr>
          <w:rStyle w:val="Bodytext1"/>
          <w:rFonts w:ascii="Times New Roman" w:eastAsiaTheme="minorEastAsia" w:hAnsi="Times New Roman"/>
          <w:noProof/>
          <w:sz w:val="24"/>
          <w:szCs w:val="24"/>
          <w:lang w:eastAsia="en-GB"/>
        </w:rPr>
        <w:t xml:space="preserve"> a real interest</w:t>
      </w:r>
      <w:r w:rsidR="00F27E06" w:rsidRPr="001E3C9B">
        <w:rPr>
          <w:rStyle w:val="Bodytext1"/>
          <w:rFonts w:ascii="Times New Roman" w:eastAsiaTheme="minorEastAsia" w:hAnsi="Times New Roman"/>
          <w:noProof/>
          <w:sz w:val="24"/>
          <w:szCs w:val="24"/>
          <w:lang w:eastAsia="en-GB"/>
        </w:rPr>
        <w:t xml:space="preserve">. </w:t>
      </w:r>
      <w:r w:rsidR="0070122C" w:rsidRPr="001E3C9B">
        <w:rPr>
          <w:rStyle w:val="Bodytext1"/>
          <w:rFonts w:ascii="Times New Roman" w:eastAsiaTheme="minorEastAsia" w:hAnsi="Times New Roman"/>
          <w:noProof/>
          <w:sz w:val="24"/>
          <w:szCs w:val="24"/>
          <w:lang w:eastAsia="en-GB"/>
        </w:rPr>
        <w:t xml:space="preserve">Other systems which are of no interest </w:t>
      </w:r>
      <w:r w:rsidR="008A14E1">
        <w:rPr>
          <w:rStyle w:val="Bodytext1"/>
          <w:rFonts w:ascii="Times New Roman" w:eastAsiaTheme="minorEastAsia" w:hAnsi="Times New Roman"/>
          <w:noProof/>
          <w:sz w:val="24"/>
          <w:szCs w:val="24"/>
          <w:lang w:eastAsia="en-GB"/>
        </w:rPr>
        <w:t>to</w:t>
      </w:r>
      <w:r w:rsidR="0070122C" w:rsidRPr="001E3C9B">
        <w:rPr>
          <w:rStyle w:val="Bodytext1"/>
          <w:rFonts w:ascii="Times New Roman" w:eastAsiaTheme="minorEastAsia" w:hAnsi="Times New Roman"/>
          <w:noProof/>
          <w:sz w:val="24"/>
          <w:szCs w:val="24"/>
          <w:lang w:eastAsia="en-GB"/>
        </w:rPr>
        <w:t xml:space="preserve"> EU industry should not be funded or, if </w:t>
      </w:r>
      <w:r w:rsidR="00241D59">
        <w:rPr>
          <w:rStyle w:val="Bodytext1"/>
          <w:rFonts w:ascii="Times New Roman" w:eastAsiaTheme="minorEastAsia" w:hAnsi="Times New Roman"/>
          <w:noProof/>
          <w:sz w:val="24"/>
          <w:szCs w:val="24"/>
          <w:lang w:eastAsia="en-GB"/>
        </w:rPr>
        <w:t xml:space="preserve">they are </w:t>
      </w:r>
      <w:r w:rsidR="0070122C" w:rsidRPr="001E3C9B">
        <w:rPr>
          <w:rStyle w:val="Bodytext1"/>
          <w:rFonts w:ascii="Times New Roman" w:eastAsiaTheme="minorEastAsia" w:hAnsi="Times New Roman"/>
          <w:noProof/>
          <w:sz w:val="24"/>
          <w:szCs w:val="24"/>
          <w:lang w:eastAsia="en-GB"/>
        </w:rPr>
        <w:t xml:space="preserve">funded, </w:t>
      </w:r>
      <w:r w:rsidR="00241D59">
        <w:rPr>
          <w:rStyle w:val="Bodytext1"/>
          <w:rFonts w:ascii="Times New Roman" w:eastAsiaTheme="minorEastAsia" w:hAnsi="Times New Roman"/>
          <w:noProof/>
          <w:sz w:val="24"/>
          <w:szCs w:val="24"/>
          <w:lang w:eastAsia="en-GB"/>
        </w:rPr>
        <w:t xml:space="preserve">it should </w:t>
      </w:r>
      <w:r w:rsidR="00494852" w:rsidRPr="001E3C9B">
        <w:rPr>
          <w:rStyle w:val="Bodytext1"/>
          <w:rFonts w:ascii="Times New Roman" w:eastAsiaTheme="minorEastAsia" w:hAnsi="Times New Roman"/>
          <w:noProof/>
          <w:sz w:val="24"/>
          <w:szCs w:val="24"/>
          <w:lang w:eastAsia="en-GB"/>
        </w:rPr>
        <w:t>only</w:t>
      </w:r>
      <w:r w:rsidR="0070122C" w:rsidRPr="001E3C9B">
        <w:rPr>
          <w:rStyle w:val="Bodytext1"/>
          <w:rFonts w:ascii="Times New Roman" w:eastAsiaTheme="minorEastAsia" w:hAnsi="Times New Roman"/>
          <w:noProof/>
          <w:sz w:val="24"/>
          <w:szCs w:val="24"/>
          <w:lang w:eastAsia="en-GB"/>
        </w:rPr>
        <w:t xml:space="preserve"> </w:t>
      </w:r>
      <w:r w:rsidR="00241D59">
        <w:rPr>
          <w:rStyle w:val="Bodytext1"/>
          <w:rFonts w:ascii="Times New Roman" w:eastAsiaTheme="minorEastAsia" w:hAnsi="Times New Roman"/>
          <w:noProof/>
          <w:sz w:val="24"/>
          <w:szCs w:val="24"/>
          <w:lang w:eastAsia="en-GB"/>
        </w:rPr>
        <w:t xml:space="preserve">be </w:t>
      </w:r>
      <w:r w:rsidR="0070122C" w:rsidRPr="001E3C9B">
        <w:rPr>
          <w:rStyle w:val="Bodytext1"/>
          <w:rFonts w:ascii="Times New Roman" w:eastAsiaTheme="minorEastAsia" w:hAnsi="Times New Roman"/>
          <w:noProof/>
          <w:sz w:val="24"/>
          <w:szCs w:val="24"/>
          <w:lang w:eastAsia="en-GB"/>
        </w:rPr>
        <w:t xml:space="preserve">to maintain general </w:t>
      </w:r>
      <w:r w:rsidR="00241D59">
        <w:rPr>
          <w:rStyle w:val="Bodytext1"/>
          <w:rFonts w:ascii="Times New Roman" w:eastAsiaTheme="minorEastAsia" w:hAnsi="Times New Roman"/>
          <w:noProof/>
          <w:sz w:val="24"/>
          <w:szCs w:val="24"/>
          <w:lang w:eastAsia="en-GB"/>
        </w:rPr>
        <w:t>skills</w:t>
      </w:r>
      <w:r w:rsidR="0070122C" w:rsidRPr="001E3C9B">
        <w:rPr>
          <w:rStyle w:val="Bodytext1"/>
          <w:rFonts w:ascii="Times New Roman" w:eastAsiaTheme="minorEastAsia" w:hAnsi="Times New Roman"/>
          <w:noProof/>
          <w:sz w:val="24"/>
          <w:szCs w:val="24"/>
          <w:lang w:eastAsia="en-GB"/>
        </w:rPr>
        <w:t>.</w:t>
      </w:r>
    </w:p>
    <w:p w14:paraId="53E18C08" w14:textId="7E94C092" w:rsidR="00637876" w:rsidRPr="001E3C9B" w:rsidRDefault="00637876" w:rsidP="007C4BD5">
      <w:pPr>
        <w:spacing w:beforeLines="40" w:before="96" w:afterLines="40" w:after="96" w:line="256" w:lineRule="auto"/>
        <w:ind w:left="360"/>
        <w:jc w:val="both"/>
        <w:rPr>
          <w:rStyle w:val="Bodytext1"/>
          <w:rFonts w:ascii="Times New Roman" w:hAnsi="Times New Roman" w:cs="Times New Roman"/>
          <w:noProof/>
          <w:sz w:val="24"/>
          <w:szCs w:val="24"/>
        </w:rPr>
      </w:pPr>
      <w:r w:rsidRPr="001E3C9B">
        <w:rPr>
          <w:rStyle w:val="Bodytext1"/>
          <w:rFonts w:ascii="Times New Roman" w:eastAsiaTheme="minorEastAsia" w:hAnsi="Times New Roman"/>
          <w:noProof/>
          <w:sz w:val="24"/>
          <w:szCs w:val="24"/>
          <w:u w:val="single"/>
          <w:lang w:eastAsia="en-GB"/>
        </w:rPr>
        <w:t>Commission’s response</w:t>
      </w:r>
      <w:r w:rsidRPr="001E3C9B">
        <w:rPr>
          <w:rStyle w:val="Bodytext1"/>
          <w:rFonts w:ascii="Times New Roman" w:eastAsiaTheme="minorEastAsia" w:hAnsi="Times New Roman"/>
          <w:noProof/>
          <w:sz w:val="24"/>
          <w:szCs w:val="24"/>
          <w:lang w:eastAsia="en-GB"/>
        </w:rPr>
        <w:t xml:space="preserve">: </w:t>
      </w:r>
      <w:r w:rsidR="00957731" w:rsidRPr="001E3C9B">
        <w:rPr>
          <w:rStyle w:val="Bodytext1"/>
          <w:rFonts w:ascii="Times New Roman" w:hAnsi="Times New Roman" w:cs="Times New Roman"/>
          <w:noProof/>
          <w:sz w:val="24"/>
          <w:szCs w:val="24"/>
        </w:rPr>
        <w:t xml:space="preserve">the 2021-2025 </w:t>
      </w:r>
      <w:r w:rsidR="00241D59">
        <w:rPr>
          <w:rStyle w:val="Bodytext1"/>
          <w:rFonts w:ascii="Times New Roman" w:hAnsi="Times New Roman" w:cs="Times New Roman"/>
          <w:noProof/>
          <w:sz w:val="24"/>
          <w:szCs w:val="24"/>
        </w:rPr>
        <w:t>p</w:t>
      </w:r>
      <w:r w:rsidR="00957731" w:rsidRPr="001E3C9B">
        <w:rPr>
          <w:rStyle w:val="Bodytext1"/>
          <w:rFonts w:ascii="Times New Roman" w:hAnsi="Times New Roman" w:cs="Times New Roman"/>
          <w:noProof/>
          <w:sz w:val="24"/>
          <w:szCs w:val="24"/>
        </w:rPr>
        <w:t>rogramme focuses on advanced nuclear systems, for which research projects can provide a scientific basis for regulators to assess safety and demonstrate compliance with nuclear</w:t>
      </w:r>
      <w:r w:rsidR="00241D59">
        <w:rPr>
          <w:rStyle w:val="Bodytext1"/>
          <w:rFonts w:ascii="Times New Roman" w:hAnsi="Times New Roman" w:cs="Times New Roman"/>
          <w:noProof/>
          <w:sz w:val="24"/>
          <w:szCs w:val="24"/>
        </w:rPr>
        <w:t>-</w:t>
      </w:r>
      <w:r w:rsidR="00957731" w:rsidRPr="001E3C9B">
        <w:rPr>
          <w:rStyle w:val="Bodytext1"/>
          <w:rFonts w:ascii="Times New Roman" w:hAnsi="Times New Roman" w:cs="Times New Roman"/>
          <w:noProof/>
          <w:sz w:val="24"/>
          <w:szCs w:val="24"/>
        </w:rPr>
        <w:t xml:space="preserve">safety </w:t>
      </w:r>
      <w:r w:rsidR="00B82B2C">
        <w:rPr>
          <w:rStyle w:val="Bodytext1"/>
          <w:rFonts w:ascii="Times New Roman" w:hAnsi="Times New Roman" w:cs="Times New Roman"/>
          <w:noProof/>
          <w:sz w:val="24"/>
          <w:szCs w:val="24"/>
        </w:rPr>
        <w:t>D</w:t>
      </w:r>
      <w:r w:rsidR="00957731" w:rsidRPr="001E3C9B">
        <w:rPr>
          <w:rStyle w:val="Bodytext1"/>
          <w:rFonts w:ascii="Times New Roman" w:hAnsi="Times New Roman" w:cs="Times New Roman"/>
          <w:noProof/>
          <w:sz w:val="24"/>
          <w:szCs w:val="24"/>
        </w:rPr>
        <w:t xml:space="preserve">irectives. Following the </w:t>
      </w:r>
      <w:r w:rsidR="00241D59">
        <w:rPr>
          <w:rStyle w:val="Bodytext1"/>
          <w:rFonts w:ascii="Times New Roman" w:hAnsi="Times New Roman" w:cs="Times New Roman"/>
          <w:noProof/>
          <w:sz w:val="24"/>
          <w:szCs w:val="24"/>
        </w:rPr>
        <w:t xml:space="preserve">evaluation of the </w:t>
      </w:r>
      <w:r w:rsidR="00957731" w:rsidRPr="001E3C9B">
        <w:rPr>
          <w:rStyle w:val="Bodytext1"/>
          <w:rFonts w:ascii="Times New Roman" w:hAnsi="Times New Roman" w:cs="Times New Roman"/>
          <w:noProof/>
          <w:sz w:val="24"/>
          <w:szCs w:val="24"/>
        </w:rPr>
        <w:t xml:space="preserve">call, the Programme launched projects based on the highest quality proposals and backed by solid consortia, including </w:t>
      </w:r>
      <w:r w:rsidR="00EA6E3E">
        <w:rPr>
          <w:rStyle w:val="Bodytext1"/>
          <w:rFonts w:ascii="Times New Roman" w:hAnsi="Times New Roman" w:cs="Times New Roman"/>
          <w:noProof/>
          <w:sz w:val="24"/>
          <w:szCs w:val="24"/>
        </w:rPr>
        <w:t xml:space="preserve">from </w:t>
      </w:r>
      <w:r w:rsidR="00957731" w:rsidRPr="001E3C9B">
        <w:rPr>
          <w:rStyle w:val="Bodytext1"/>
          <w:rFonts w:ascii="Times New Roman" w:hAnsi="Times New Roman" w:cs="Times New Roman"/>
          <w:noProof/>
          <w:sz w:val="24"/>
          <w:szCs w:val="24"/>
        </w:rPr>
        <w:t xml:space="preserve">the research community and industry. The Programme’s interim evaluation will evaluate these actions and provide further guidance </w:t>
      </w:r>
      <w:r w:rsidR="00EA6E3E">
        <w:rPr>
          <w:rStyle w:val="Bodytext1"/>
          <w:rFonts w:ascii="Times New Roman" w:hAnsi="Times New Roman" w:cs="Times New Roman"/>
          <w:noProof/>
          <w:sz w:val="24"/>
          <w:szCs w:val="24"/>
        </w:rPr>
        <w:t>on</w:t>
      </w:r>
      <w:r w:rsidR="00EA6E3E" w:rsidRPr="001E3C9B">
        <w:rPr>
          <w:rStyle w:val="Bodytext1"/>
          <w:rFonts w:ascii="Times New Roman" w:hAnsi="Times New Roman" w:cs="Times New Roman"/>
          <w:noProof/>
          <w:sz w:val="24"/>
          <w:szCs w:val="24"/>
        </w:rPr>
        <w:t xml:space="preserve"> </w:t>
      </w:r>
      <w:r w:rsidR="00957731" w:rsidRPr="001E3C9B">
        <w:rPr>
          <w:rStyle w:val="Bodytext1"/>
          <w:rFonts w:ascii="Times New Roman" w:hAnsi="Times New Roman" w:cs="Times New Roman"/>
          <w:noProof/>
          <w:sz w:val="24"/>
          <w:szCs w:val="24"/>
        </w:rPr>
        <w:t xml:space="preserve">future Euratom support for advanced systems. The Commission will also consider the evolving industrial and research landscape, including the results of </w:t>
      </w:r>
      <w:r w:rsidR="002E5453">
        <w:rPr>
          <w:rStyle w:val="Bodytext1"/>
          <w:rFonts w:ascii="Times New Roman" w:hAnsi="Times New Roman" w:cs="Times New Roman"/>
          <w:noProof/>
          <w:sz w:val="24"/>
          <w:szCs w:val="24"/>
        </w:rPr>
        <w:t xml:space="preserve">the </w:t>
      </w:r>
      <w:r w:rsidR="00957731" w:rsidRPr="001E3C9B">
        <w:rPr>
          <w:rStyle w:val="Bodytext1"/>
          <w:rFonts w:ascii="Times New Roman" w:hAnsi="Times New Roman" w:cs="Times New Roman"/>
          <w:noProof/>
          <w:sz w:val="24"/>
          <w:szCs w:val="24"/>
        </w:rPr>
        <w:t>SMR industrial alliance and work under the Net Zero Industrial Act.</w:t>
      </w:r>
    </w:p>
    <w:p w14:paraId="708AF1BE" w14:textId="5DDB464F" w:rsidR="00AB4295" w:rsidRPr="001E3C9B" w:rsidRDefault="00B17D65" w:rsidP="00130541">
      <w:pPr>
        <w:pStyle w:val="ListParagraph"/>
        <w:numPr>
          <w:ilvl w:val="0"/>
          <w:numId w:val="40"/>
        </w:numPr>
        <w:spacing w:beforeLines="40" w:before="96" w:afterLines="40" w:after="96" w:line="256" w:lineRule="auto"/>
        <w:rPr>
          <w:rStyle w:val="Bodytext1"/>
          <w:noProof/>
          <w:szCs w:val="24"/>
        </w:rPr>
      </w:pPr>
      <w:r w:rsidRPr="00202402">
        <w:rPr>
          <w:rStyle w:val="Bodytext1"/>
          <w:noProof/>
          <w:szCs w:val="24"/>
        </w:rPr>
        <w:t>The q</w:t>
      </w:r>
      <w:r w:rsidR="00563453" w:rsidRPr="00202402">
        <w:rPr>
          <w:rStyle w:val="Bodytext1"/>
          <w:noProof/>
          <w:szCs w:val="24"/>
        </w:rPr>
        <w:t>uality of reporting from</w:t>
      </w:r>
      <w:r w:rsidR="00174C3E" w:rsidRPr="00202402">
        <w:rPr>
          <w:rStyle w:val="Bodytext1"/>
          <w:noProof/>
          <w:szCs w:val="24"/>
        </w:rPr>
        <w:t xml:space="preserve"> </w:t>
      </w:r>
      <w:r w:rsidR="009F674E" w:rsidRPr="00202402">
        <w:rPr>
          <w:rStyle w:val="Bodytext1"/>
          <w:noProof/>
          <w:szCs w:val="24"/>
        </w:rPr>
        <w:t xml:space="preserve">consortia implementing </w:t>
      </w:r>
      <w:r w:rsidR="00563453" w:rsidRPr="00202402">
        <w:rPr>
          <w:rStyle w:val="Bodytext1"/>
          <w:noProof/>
          <w:szCs w:val="24"/>
        </w:rPr>
        <w:t>Euratom</w:t>
      </w:r>
      <w:r w:rsidR="009F674E" w:rsidRPr="00202402">
        <w:rPr>
          <w:rStyle w:val="Bodytext1"/>
          <w:noProof/>
          <w:szCs w:val="24"/>
        </w:rPr>
        <w:t>-funded fiss</w:t>
      </w:r>
      <w:r w:rsidR="00174C3E" w:rsidRPr="00202402">
        <w:rPr>
          <w:rStyle w:val="Bodytext1"/>
          <w:noProof/>
          <w:szCs w:val="24"/>
        </w:rPr>
        <w:t xml:space="preserve">ion </w:t>
      </w:r>
      <w:r w:rsidR="00563453" w:rsidRPr="00202402">
        <w:rPr>
          <w:rStyle w:val="Bodytext1"/>
          <w:noProof/>
          <w:szCs w:val="24"/>
        </w:rPr>
        <w:t xml:space="preserve">projects </w:t>
      </w:r>
      <w:r w:rsidR="00EA6E3E">
        <w:rPr>
          <w:rStyle w:val="Bodytext1"/>
          <w:noProof/>
          <w:szCs w:val="24"/>
        </w:rPr>
        <w:t>could</w:t>
      </w:r>
      <w:r w:rsidR="00EA6E3E" w:rsidRPr="00202402">
        <w:rPr>
          <w:rStyle w:val="Bodytext1"/>
          <w:noProof/>
          <w:szCs w:val="24"/>
        </w:rPr>
        <w:t xml:space="preserve"> </w:t>
      </w:r>
      <w:r w:rsidR="00563453" w:rsidRPr="00202402">
        <w:rPr>
          <w:rStyle w:val="Bodytext1"/>
          <w:noProof/>
          <w:szCs w:val="24"/>
        </w:rPr>
        <w:t xml:space="preserve">be improved. </w:t>
      </w:r>
      <w:r w:rsidR="002E303F" w:rsidRPr="00202402">
        <w:rPr>
          <w:rStyle w:val="Bodytext1"/>
          <w:noProof/>
          <w:szCs w:val="24"/>
        </w:rPr>
        <w:t>R</w:t>
      </w:r>
      <w:r w:rsidR="0013639D" w:rsidRPr="00202402">
        <w:rPr>
          <w:rStyle w:val="Bodytext1"/>
          <w:noProof/>
          <w:szCs w:val="24"/>
        </w:rPr>
        <w:t xml:space="preserve">eports should </w:t>
      </w:r>
      <w:r w:rsidR="00A257BE" w:rsidRPr="00202402">
        <w:rPr>
          <w:rStyle w:val="Bodytext1"/>
          <w:noProof/>
          <w:szCs w:val="24"/>
        </w:rPr>
        <w:t>describe</w:t>
      </w:r>
      <w:r w:rsidR="0013639D" w:rsidRPr="00202402">
        <w:rPr>
          <w:rStyle w:val="Bodytext1"/>
          <w:noProof/>
          <w:szCs w:val="24"/>
        </w:rPr>
        <w:t xml:space="preserve"> in a clear, concise and factual way</w:t>
      </w:r>
      <w:r w:rsidR="00EA6E3E">
        <w:rPr>
          <w:rStyle w:val="Bodytext1"/>
          <w:noProof/>
          <w:szCs w:val="24"/>
        </w:rPr>
        <w:t>: (i)</w:t>
      </w:r>
      <w:r w:rsidR="0013639D" w:rsidRPr="00202402">
        <w:rPr>
          <w:rStyle w:val="Bodytext1"/>
          <w:noProof/>
          <w:szCs w:val="24"/>
        </w:rPr>
        <w:t xml:space="preserve"> the progress made with respect to the initial state</w:t>
      </w:r>
      <w:r w:rsidR="00233974" w:rsidRPr="00202402">
        <w:rPr>
          <w:rStyle w:val="Bodytext1"/>
          <w:noProof/>
          <w:szCs w:val="24"/>
          <w:lang w:val="mt-MT"/>
        </w:rPr>
        <w:t>-</w:t>
      </w:r>
      <w:r w:rsidR="0013639D" w:rsidRPr="00202402">
        <w:rPr>
          <w:rStyle w:val="Bodytext1"/>
          <w:noProof/>
          <w:szCs w:val="24"/>
        </w:rPr>
        <w:t>of</w:t>
      </w:r>
      <w:r w:rsidR="00233974" w:rsidRPr="00202402">
        <w:rPr>
          <w:rStyle w:val="Bodytext1"/>
          <w:noProof/>
          <w:szCs w:val="24"/>
          <w:lang w:val="mt-MT"/>
        </w:rPr>
        <w:t>-</w:t>
      </w:r>
      <w:r w:rsidR="0013639D" w:rsidRPr="00202402">
        <w:rPr>
          <w:rStyle w:val="Bodytext1"/>
          <w:noProof/>
          <w:szCs w:val="24"/>
        </w:rPr>
        <w:t>the</w:t>
      </w:r>
      <w:r w:rsidR="00233974" w:rsidRPr="00202402">
        <w:rPr>
          <w:rStyle w:val="Bodytext1"/>
          <w:noProof/>
          <w:szCs w:val="24"/>
          <w:lang w:val="mt-MT"/>
        </w:rPr>
        <w:t>-</w:t>
      </w:r>
      <w:r w:rsidR="0013639D" w:rsidRPr="00202402">
        <w:rPr>
          <w:rStyle w:val="Bodytext1"/>
          <w:noProof/>
          <w:szCs w:val="24"/>
        </w:rPr>
        <w:t>art</w:t>
      </w:r>
      <w:r w:rsidR="00EA6E3E">
        <w:rPr>
          <w:rStyle w:val="Bodytext1"/>
          <w:noProof/>
          <w:szCs w:val="24"/>
        </w:rPr>
        <w:t>; (ii)</w:t>
      </w:r>
      <w:r w:rsidR="0013639D" w:rsidRPr="00202402">
        <w:rPr>
          <w:rStyle w:val="Bodytext1"/>
          <w:noProof/>
          <w:szCs w:val="24"/>
        </w:rPr>
        <w:t xml:space="preserve"> the gaps covered</w:t>
      </w:r>
      <w:r w:rsidR="00EA6E3E">
        <w:rPr>
          <w:rStyle w:val="Bodytext1"/>
          <w:noProof/>
          <w:szCs w:val="24"/>
        </w:rPr>
        <w:t>; (iii)</w:t>
      </w:r>
      <w:r w:rsidR="0013639D" w:rsidRPr="00202402">
        <w:rPr>
          <w:rStyle w:val="Bodytext1"/>
          <w:noProof/>
          <w:szCs w:val="24"/>
        </w:rPr>
        <w:t xml:space="preserve"> the main achievements</w:t>
      </w:r>
      <w:r w:rsidR="00EA6E3E">
        <w:rPr>
          <w:rStyle w:val="Bodytext1"/>
          <w:noProof/>
          <w:szCs w:val="24"/>
        </w:rPr>
        <w:t>;</w:t>
      </w:r>
      <w:r w:rsidR="0013639D" w:rsidRPr="00202402">
        <w:rPr>
          <w:rStyle w:val="Bodytext1"/>
          <w:noProof/>
          <w:szCs w:val="24"/>
        </w:rPr>
        <w:t xml:space="preserve"> and </w:t>
      </w:r>
      <w:r w:rsidR="00EA6E3E">
        <w:rPr>
          <w:rStyle w:val="Bodytext1"/>
          <w:noProof/>
          <w:szCs w:val="24"/>
        </w:rPr>
        <w:t xml:space="preserve">(iv) </w:t>
      </w:r>
      <w:r w:rsidR="0013639D" w:rsidRPr="00202402">
        <w:rPr>
          <w:rStyle w:val="Bodytext1"/>
          <w:noProof/>
          <w:szCs w:val="24"/>
        </w:rPr>
        <w:t>the expected outcomes</w:t>
      </w:r>
      <w:r w:rsidR="00EA6E3E">
        <w:rPr>
          <w:rStyle w:val="Bodytext1"/>
          <w:noProof/>
          <w:szCs w:val="24"/>
        </w:rPr>
        <w:t>. The reports should also</w:t>
      </w:r>
      <w:r w:rsidR="0013639D" w:rsidRPr="00202402">
        <w:rPr>
          <w:rStyle w:val="Bodytext1"/>
          <w:noProof/>
          <w:szCs w:val="24"/>
        </w:rPr>
        <w:t xml:space="preserve"> includ</w:t>
      </w:r>
      <w:r w:rsidR="00EA6E3E">
        <w:rPr>
          <w:rStyle w:val="Bodytext1"/>
          <w:noProof/>
          <w:szCs w:val="24"/>
        </w:rPr>
        <w:t>e reference to</w:t>
      </w:r>
      <w:r w:rsidR="0013639D" w:rsidRPr="00202402">
        <w:rPr>
          <w:rStyle w:val="Bodytext1"/>
          <w:noProof/>
          <w:szCs w:val="24"/>
        </w:rPr>
        <w:t xml:space="preserve"> interactions with existing and potential end-users of research results.</w:t>
      </w:r>
      <w:r w:rsidR="00305872" w:rsidRPr="00202402">
        <w:rPr>
          <w:rStyle w:val="Bodytext1"/>
          <w:noProof/>
          <w:szCs w:val="24"/>
        </w:rPr>
        <w:t xml:space="preserve"> </w:t>
      </w:r>
    </w:p>
    <w:p w14:paraId="21B6FDB0" w14:textId="40253B0C" w:rsidR="00DD128A" w:rsidRPr="001E3C9B" w:rsidRDefault="00637876" w:rsidP="007C4BD5">
      <w:pPr>
        <w:spacing w:beforeLines="40" w:before="96" w:afterLines="40" w:after="96" w:line="256" w:lineRule="auto"/>
        <w:ind w:left="360"/>
        <w:jc w:val="both"/>
        <w:rPr>
          <w:rStyle w:val="Bodytext1"/>
          <w:noProof/>
          <w:sz w:val="24"/>
          <w:szCs w:val="24"/>
        </w:rPr>
      </w:pPr>
      <w:r w:rsidRPr="001E3C9B">
        <w:rPr>
          <w:rStyle w:val="Bodytext1"/>
          <w:rFonts w:ascii="Times New Roman" w:eastAsiaTheme="minorEastAsia" w:hAnsi="Times New Roman"/>
          <w:noProof/>
          <w:sz w:val="24"/>
          <w:szCs w:val="24"/>
          <w:u w:val="single"/>
          <w:lang w:eastAsia="en-GB"/>
        </w:rPr>
        <w:t>Commission’s response:</w:t>
      </w:r>
      <w:r w:rsidRPr="001E3C9B">
        <w:rPr>
          <w:rStyle w:val="Bodytext1"/>
          <w:rFonts w:ascii="Times New Roman" w:hAnsi="Times New Roman" w:cs="Times New Roman"/>
          <w:noProof/>
          <w:sz w:val="24"/>
          <w:szCs w:val="24"/>
        </w:rPr>
        <w:t xml:space="preserve"> t</w:t>
      </w:r>
      <w:r w:rsidR="002149C4" w:rsidRPr="001E3C9B">
        <w:rPr>
          <w:rStyle w:val="Bodytext1"/>
          <w:rFonts w:ascii="Times New Roman" w:hAnsi="Times New Roman" w:cs="Times New Roman"/>
          <w:noProof/>
          <w:sz w:val="24"/>
          <w:szCs w:val="24"/>
        </w:rPr>
        <w:t xml:space="preserve">he Commission will work with consortia to ensure that the quality of reporting is improved and focused on the elements highlighted by </w:t>
      </w:r>
      <w:r w:rsidR="002E7C54" w:rsidRPr="001E3C9B">
        <w:rPr>
          <w:rStyle w:val="Bodytext1"/>
          <w:rFonts w:ascii="Times New Roman" w:hAnsi="Times New Roman" w:cs="Times New Roman"/>
          <w:noProof/>
          <w:sz w:val="24"/>
          <w:szCs w:val="24"/>
        </w:rPr>
        <w:t xml:space="preserve">the </w:t>
      </w:r>
      <w:r w:rsidR="002149C4" w:rsidRPr="001E3C9B">
        <w:rPr>
          <w:rStyle w:val="Bodytext1"/>
          <w:rFonts w:ascii="Times New Roman" w:hAnsi="Times New Roman" w:cs="Times New Roman"/>
          <w:noProof/>
          <w:sz w:val="24"/>
          <w:szCs w:val="24"/>
        </w:rPr>
        <w:t xml:space="preserve">evaluation to facilitate project monitoring and future </w:t>
      </w:r>
      <w:r w:rsidR="00EA6E3E">
        <w:rPr>
          <w:rStyle w:val="Bodytext1"/>
          <w:rFonts w:ascii="Times New Roman" w:hAnsi="Times New Roman" w:cs="Times New Roman"/>
          <w:noProof/>
          <w:sz w:val="24"/>
          <w:szCs w:val="24"/>
        </w:rPr>
        <w:t xml:space="preserve">evaluation of the </w:t>
      </w:r>
      <w:r w:rsidR="002149C4" w:rsidRPr="001E3C9B">
        <w:rPr>
          <w:rStyle w:val="Bodytext1"/>
          <w:rFonts w:ascii="Times New Roman" w:hAnsi="Times New Roman" w:cs="Times New Roman"/>
          <w:noProof/>
          <w:sz w:val="24"/>
          <w:szCs w:val="24"/>
        </w:rPr>
        <w:t>Programme. To this end, the Commission will use its powers as granting authority to request periodic report changes before making subsequent grant payments.</w:t>
      </w:r>
    </w:p>
    <w:p w14:paraId="50D235CD" w14:textId="63EE790B" w:rsidR="00AB4295" w:rsidRPr="001E3C9B" w:rsidRDefault="0013639D" w:rsidP="00AB4295">
      <w:pPr>
        <w:pStyle w:val="Bodytext10"/>
        <w:numPr>
          <w:ilvl w:val="0"/>
          <w:numId w:val="40"/>
        </w:numPr>
        <w:spacing w:after="160" w:line="256" w:lineRule="auto"/>
        <w:jc w:val="both"/>
        <w:rPr>
          <w:rStyle w:val="Bodytext1"/>
          <w:rFonts w:ascii="Times New Roman" w:eastAsiaTheme="minorEastAsia" w:hAnsi="Times New Roman"/>
          <w:noProof/>
          <w:sz w:val="24"/>
          <w:szCs w:val="24"/>
          <w:lang w:eastAsia="en-GB"/>
        </w:rPr>
      </w:pPr>
      <w:r w:rsidRPr="001E3C9B">
        <w:rPr>
          <w:rStyle w:val="Bodytext1"/>
          <w:rFonts w:ascii="Times New Roman" w:eastAsiaTheme="minorEastAsia" w:hAnsi="Times New Roman"/>
          <w:noProof/>
          <w:sz w:val="24"/>
          <w:szCs w:val="24"/>
          <w:lang w:eastAsia="en-GB"/>
        </w:rPr>
        <w:t>For the most innovative topics</w:t>
      </w:r>
      <w:r w:rsidR="00233974" w:rsidRPr="001E3C9B">
        <w:rPr>
          <w:rStyle w:val="Bodytext1"/>
          <w:rFonts w:ascii="Times New Roman" w:eastAsiaTheme="minorEastAsia" w:hAnsi="Times New Roman"/>
          <w:noProof/>
          <w:sz w:val="24"/>
          <w:szCs w:val="24"/>
          <w:lang w:val="mt-MT" w:eastAsia="en-GB"/>
        </w:rPr>
        <w:t xml:space="preserve"> and </w:t>
      </w:r>
      <w:r w:rsidRPr="001E3C9B">
        <w:rPr>
          <w:rStyle w:val="Bodytext1"/>
          <w:rFonts w:ascii="Times New Roman" w:eastAsiaTheme="minorEastAsia" w:hAnsi="Times New Roman"/>
          <w:noProof/>
          <w:sz w:val="24"/>
          <w:szCs w:val="24"/>
          <w:lang w:eastAsia="en-GB"/>
        </w:rPr>
        <w:t xml:space="preserve">technologies which </w:t>
      </w:r>
      <w:r w:rsidR="00233974" w:rsidRPr="001E3C9B">
        <w:rPr>
          <w:rStyle w:val="Bodytext1"/>
          <w:rFonts w:ascii="Times New Roman" w:eastAsiaTheme="minorEastAsia" w:hAnsi="Times New Roman"/>
          <w:noProof/>
          <w:sz w:val="24"/>
          <w:szCs w:val="24"/>
          <w:lang w:eastAsia="en-GB"/>
        </w:rPr>
        <w:t xml:space="preserve">already </w:t>
      </w:r>
      <w:r w:rsidRPr="001E3C9B">
        <w:rPr>
          <w:rStyle w:val="Bodytext1"/>
          <w:rFonts w:ascii="Times New Roman" w:eastAsiaTheme="minorEastAsia" w:hAnsi="Times New Roman"/>
          <w:noProof/>
          <w:sz w:val="24"/>
          <w:szCs w:val="24"/>
          <w:lang w:eastAsia="en-GB"/>
        </w:rPr>
        <w:t xml:space="preserve">have </w:t>
      </w:r>
      <w:r w:rsidR="00233974" w:rsidRPr="001E3C9B">
        <w:rPr>
          <w:rStyle w:val="Bodytext1"/>
          <w:rFonts w:ascii="Times New Roman" w:eastAsiaTheme="minorEastAsia" w:hAnsi="Times New Roman"/>
          <w:noProof/>
          <w:sz w:val="24"/>
          <w:szCs w:val="24"/>
          <w:lang w:val="mt-MT" w:eastAsia="en-GB"/>
        </w:rPr>
        <w:t xml:space="preserve">a </w:t>
      </w:r>
      <w:r w:rsidR="002E7C54" w:rsidRPr="001E3C9B">
        <w:rPr>
          <w:rStyle w:val="Bodytext1"/>
          <w:rFonts w:ascii="Times New Roman" w:eastAsiaTheme="minorEastAsia" w:hAnsi="Times New Roman"/>
          <w:noProof/>
          <w:sz w:val="24"/>
          <w:szCs w:val="24"/>
          <w:lang w:val="mt-MT" w:eastAsia="en-GB"/>
        </w:rPr>
        <w:t>wide</w:t>
      </w:r>
      <w:r w:rsidRPr="001E3C9B">
        <w:rPr>
          <w:rStyle w:val="Bodytext1"/>
          <w:rFonts w:ascii="Times New Roman" w:eastAsiaTheme="minorEastAsia" w:hAnsi="Times New Roman"/>
          <w:noProof/>
          <w:sz w:val="24"/>
          <w:szCs w:val="24"/>
          <w:lang w:eastAsia="en-GB"/>
        </w:rPr>
        <w:t xml:space="preserve"> application outside the nuclear community, it is highly recommended </w:t>
      </w:r>
      <w:r w:rsidR="00233974" w:rsidRPr="001E3C9B">
        <w:rPr>
          <w:rStyle w:val="Bodytext1"/>
          <w:rFonts w:ascii="Times New Roman" w:eastAsiaTheme="minorEastAsia" w:hAnsi="Times New Roman"/>
          <w:noProof/>
          <w:sz w:val="24"/>
          <w:szCs w:val="24"/>
          <w:lang w:val="mt-MT" w:eastAsia="en-GB"/>
        </w:rPr>
        <w:t>that</w:t>
      </w:r>
      <w:r w:rsidR="007D3628">
        <w:rPr>
          <w:rStyle w:val="Bodytext1"/>
          <w:rFonts w:ascii="Times New Roman" w:eastAsiaTheme="minorEastAsia" w:hAnsi="Times New Roman"/>
          <w:noProof/>
          <w:sz w:val="24"/>
          <w:szCs w:val="24"/>
          <w:lang w:val="mt-MT" w:eastAsia="en-GB"/>
        </w:rPr>
        <w:t xml:space="preserve"> </w:t>
      </w:r>
      <w:r w:rsidR="00FF718E">
        <w:rPr>
          <w:rStyle w:val="Bodytext1"/>
          <w:rFonts w:ascii="Times New Roman" w:eastAsiaTheme="minorEastAsia" w:hAnsi="Times New Roman"/>
          <w:noProof/>
          <w:sz w:val="24"/>
          <w:szCs w:val="24"/>
          <w:lang w:val="mt-MT" w:eastAsia="en-GB"/>
        </w:rPr>
        <w:t>to</w:t>
      </w:r>
      <w:r w:rsidR="007D3628">
        <w:rPr>
          <w:rStyle w:val="Bodytext1"/>
          <w:rFonts w:ascii="Times New Roman" w:eastAsiaTheme="minorEastAsia" w:hAnsi="Times New Roman"/>
          <w:noProof/>
          <w:sz w:val="24"/>
          <w:szCs w:val="24"/>
          <w:lang w:val="mt-MT" w:eastAsia="en-GB"/>
        </w:rPr>
        <w:t xml:space="preserve"> engage with</w:t>
      </w:r>
      <w:r w:rsidRPr="001E3C9B">
        <w:rPr>
          <w:rStyle w:val="Bodytext1"/>
          <w:rFonts w:ascii="Times New Roman" w:eastAsiaTheme="minorEastAsia" w:hAnsi="Times New Roman"/>
          <w:noProof/>
          <w:sz w:val="24"/>
          <w:szCs w:val="24"/>
          <w:lang w:eastAsia="en-GB"/>
        </w:rPr>
        <w:t xml:space="preserve"> </w:t>
      </w:r>
      <w:r w:rsidR="007D3628">
        <w:rPr>
          <w:rStyle w:val="Bodytext1"/>
          <w:rFonts w:ascii="Times New Roman" w:eastAsiaTheme="minorEastAsia" w:hAnsi="Times New Roman"/>
          <w:noProof/>
          <w:sz w:val="24"/>
          <w:szCs w:val="24"/>
          <w:lang w:eastAsia="en-GB"/>
        </w:rPr>
        <w:t xml:space="preserve">and involve </w:t>
      </w:r>
      <w:r w:rsidRPr="001E3C9B">
        <w:rPr>
          <w:rStyle w:val="Bodytext1"/>
          <w:rFonts w:ascii="Times New Roman" w:eastAsiaTheme="minorEastAsia" w:hAnsi="Times New Roman"/>
          <w:noProof/>
          <w:sz w:val="24"/>
          <w:szCs w:val="24"/>
          <w:lang w:eastAsia="en-GB"/>
        </w:rPr>
        <w:t>relevant non-nuclear</w:t>
      </w:r>
      <w:r w:rsidR="00233974" w:rsidRPr="001E3C9B">
        <w:rPr>
          <w:rStyle w:val="Bodytext1"/>
          <w:rFonts w:ascii="Times New Roman" w:eastAsiaTheme="minorEastAsia" w:hAnsi="Times New Roman"/>
          <w:noProof/>
          <w:sz w:val="24"/>
          <w:szCs w:val="24"/>
          <w:lang w:val="mt-MT" w:eastAsia="en-GB"/>
        </w:rPr>
        <w:t xml:space="preserve"> and </w:t>
      </w:r>
      <w:r w:rsidRPr="001E3C9B">
        <w:rPr>
          <w:rStyle w:val="Bodytext1"/>
          <w:rFonts w:ascii="Times New Roman" w:eastAsiaTheme="minorEastAsia" w:hAnsi="Times New Roman"/>
          <w:noProof/>
          <w:sz w:val="24"/>
          <w:szCs w:val="24"/>
          <w:lang w:eastAsia="en-GB"/>
        </w:rPr>
        <w:t xml:space="preserve">non-traditional partners. Examples </w:t>
      </w:r>
      <w:r w:rsidR="007D3628">
        <w:rPr>
          <w:rFonts w:ascii="Times New Roman" w:hAnsi="Times New Roman" w:cs="Times New Roman"/>
          <w:noProof/>
          <w:sz w:val="24"/>
          <w:szCs w:val="28"/>
        </w:rPr>
        <w:t>of areas in which nuclear research could develop include:</w:t>
      </w:r>
      <w:r w:rsidR="007D3628" w:rsidRPr="001E3C9B">
        <w:rPr>
          <w:rStyle w:val="Bodytext1"/>
          <w:rFonts w:ascii="Times New Roman" w:eastAsiaTheme="minorEastAsia" w:hAnsi="Times New Roman"/>
          <w:noProof/>
          <w:sz w:val="24"/>
          <w:szCs w:val="24"/>
          <w:lang w:eastAsia="en-GB"/>
        </w:rPr>
        <w:t xml:space="preserve"> </w:t>
      </w:r>
      <w:r w:rsidRPr="001E3C9B">
        <w:rPr>
          <w:rStyle w:val="Bodytext1"/>
          <w:rFonts w:ascii="Times New Roman" w:eastAsiaTheme="minorEastAsia" w:hAnsi="Times New Roman"/>
          <w:noProof/>
          <w:sz w:val="24"/>
          <w:szCs w:val="24"/>
          <w:lang w:eastAsia="en-GB"/>
        </w:rPr>
        <w:t>artificial intelligence</w:t>
      </w:r>
      <w:r w:rsidR="007D3628">
        <w:rPr>
          <w:rStyle w:val="Bodytext1"/>
          <w:rFonts w:ascii="Times New Roman" w:eastAsiaTheme="minorEastAsia" w:hAnsi="Times New Roman"/>
          <w:noProof/>
          <w:sz w:val="24"/>
          <w:szCs w:val="24"/>
          <w:lang w:eastAsia="en-GB"/>
        </w:rPr>
        <w:t>;</w:t>
      </w:r>
      <w:r w:rsidRPr="001E3C9B">
        <w:rPr>
          <w:rStyle w:val="Bodytext1"/>
          <w:rFonts w:ascii="Times New Roman" w:eastAsiaTheme="minorEastAsia" w:hAnsi="Times New Roman"/>
          <w:noProof/>
          <w:sz w:val="24"/>
          <w:szCs w:val="24"/>
          <w:lang w:eastAsia="en-GB"/>
        </w:rPr>
        <w:t xml:space="preserve"> advanced manufacturing</w:t>
      </w:r>
      <w:r w:rsidR="007D3628">
        <w:rPr>
          <w:rStyle w:val="Bodytext1"/>
          <w:rFonts w:ascii="Times New Roman" w:eastAsiaTheme="minorEastAsia" w:hAnsi="Times New Roman"/>
          <w:noProof/>
          <w:sz w:val="24"/>
          <w:szCs w:val="24"/>
          <w:lang w:eastAsia="en-GB"/>
        </w:rPr>
        <w:t>;</w:t>
      </w:r>
      <w:r w:rsidRPr="001E3C9B">
        <w:rPr>
          <w:rStyle w:val="Bodytext1"/>
          <w:rFonts w:ascii="Times New Roman" w:eastAsiaTheme="minorEastAsia" w:hAnsi="Times New Roman"/>
          <w:noProof/>
          <w:sz w:val="24"/>
          <w:szCs w:val="24"/>
          <w:lang w:eastAsia="en-GB"/>
        </w:rPr>
        <w:t xml:space="preserve"> 3D printing applied to nuclear technologies</w:t>
      </w:r>
      <w:r w:rsidR="007D3628">
        <w:rPr>
          <w:rStyle w:val="Bodytext1"/>
          <w:rFonts w:ascii="Times New Roman" w:eastAsiaTheme="minorEastAsia" w:hAnsi="Times New Roman"/>
          <w:noProof/>
          <w:sz w:val="24"/>
          <w:szCs w:val="24"/>
          <w:lang w:val="mt-MT" w:eastAsia="en-GB"/>
        </w:rPr>
        <w:t>;</w:t>
      </w:r>
      <w:r w:rsidRPr="001E3C9B">
        <w:rPr>
          <w:rStyle w:val="Bodytext1"/>
          <w:rFonts w:ascii="Times New Roman" w:eastAsiaTheme="minorEastAsia" w:hAnsi="Times New Roman"/>
          <w:noProof/>
          <w:sz w:val="24"/>
          <w:szCs w:val="24"/>
          <w:lang w:eastAsia="en-GB"/>
        </w:rPr>
        <w:t xml:space="preserve"> integrated</w:t>
      </w:r>
      <w:r w:rsidR="00233974" w:rsidRPr="001E3C9B">
        <w:rPr>
          <w:rStyle w:val="Bodytext1"/>
          <w:rFonts w:ascii="Times New Roman" w:eastAsiaTheme="minorEastAsia" w:hAnsi="Times New Roman"/>
          <w:noProof/>
          <w:sz w:val="24"/>
          <w:szCs w:val="24"/>
          <w:lang w:val="mt-MT" w:eastAsia="en-GB"/>
        </w:rPr>
        <w:t xml:space="preserve"> and </w:t>
      </w:r>
      <w:r w:rsidRPr="001E3C9B">
        <w:rPr>
          <w:rStyle w:val="Bodytext1"/>
          <w:rFonts w:ascii="Times New Roman" w:eastAsiaTheme="minorEastAsia" w:hAnsi="Times New Roman"/>
          <w:noProof/>
          <w:sz w:val="24"/>
          <w:szCs w:val="24"/>
          <w:lang w:eastAsia="en-GB"/>
        </w:rPr>
        <w:t>hybrid energy systems</w:t>
      </w:r>
      <w:r w:rsidR="007D3628">
        <w:rPr>
          <w:rStyle w:val="Bodytext1"/>
          <w:rFonts w:ascii="Times New Roman" w:eastAsiaTheme="minorEastAsia" w:hAnsi="Times New Roman"/>
          <w:noProof/>
          <w:sz w:val="24"/>
          <w:szCs w:val="24"/>
          <w:lang w:val="mt-MT" w:eastAsia="en-GB"/>
        </w:rPr>
        <w:t>; and the</w:t>
      </w:r>
      <w:r w:rsidRPr="001E3C9B">
        <w:rPr>
          <w:rStyle w:val="Bodytext1"/>
          <w:rFonts w:ascii="Times New Roman" w:eastAsiaTheme="minorEastAsia" w:hAnsi="Times New Roman"/>
          <w:noProof/>
          <w:sz w:val="24"/>
          <w:szCs w:val="24"/>
          <w:lang w:eastAsia="en-GB"/>
        </w:rPr>
        <w:t xml:space="preserve"> application of nuclear energy </w:t>
      </w:r>
      <w:r w:rsidR="00BF5DF9" w:rsidRPr="001E3C9B">
        <w:rPr>
          <w:rStyle w:val="Bodytext1"/>
          <w:rFonts w:ascii="Times New Roman" w:eastAsiaTheme="minorEastAsia" w:hAnsi="Times New Roman"/>
          <w:noProof/>
          <w:sz w:val="24"/>
          <w:szCs w:val="24"/>
          <w:lang w:val="mt-MT" w:eastAsia="en-GB"/>
        </w:rPr>
        <w:t xml:space="preserve">other than for generating electricity </w:t>
      </w:r>
      <w:r w:rsidR="007D3628">
        <w:rPr>
          <w:rStyle w:val="Bodytext1"/>
          <w:rFonts w:ascii="Times New Roman" w:eastAsiaTheme="minorEastAsia" w:hAnsi="Times New Roman"/>
          <w:noProof/>
          <w:sz w:val="24"/>
          <w:szCs w:val="24"/>
          <w:lang w:val="mt-MT" w:eastAsia="en-GB"/>
        </w:rPr>
        <w:t>(such as</w:t>
      </w:r>
      <w:r w:rsidRPr="001E3C9B">
        <w:rPr>
          <w:rStyle w:val="Bodytext1"/>
          <w:rFonts w:ascii="Times New Roman" w:eastAsiaTheme="minorEastAsia" w:hAnsi="Times New Roman"/>
          <w:noProof/>
          <w:sz w:val="24"/>
          <w:szCs w:val="24"/>
          <w:lang w:eastAsia="en-GB"/>
        </w:rPr>
        <w:t xml:space="preserve"> nuclear heat, hydrogen production, decarbonisation of energy</w:t>
      </w:r>
      <w:r w:rsidR="001C76E1">
        <w:rPr>
          <w:rStyle w:val="Bodytext1"/>
          <w:rFonts w:ascii="Times New Roman" w:eastAsiaTheme="minorEastAsia" w:hAnsi="Times New Roman"/>
          <w:noProof/>
          <w:sz w:val="24"/>
          <w:szCs w:val="24"/>
          <w:lang w:eastAsia="en-GB"/>
        </w:rPr>
        <w:t>-</w:t>
      </w:r>
      <w:r w:rsidRPr="001E3C9B">
        <w:rPr>
          <w:rStyle w:val="Bodytext1"/>
          <w:rFonts w:ascii="Times New Roman" w:eastAsiaTheme="minorEastAsia" w:hAnsi="Times New Roman"/>
          <w:noProof/>
          <w:sz w:val="24"/>
          <w:szCs w:val="24"/>
          <w:lang w:eastAsia="en-GB"/>
        </w:rPr>
        <w:t>intensive industries</w:t>
      </w:r>
      <w:r w:rsidR="00BF5DF9" w:rsidRPr="001E3C9B">
        <w:rPr>
          <w:rStyle w:val="Bodytext1"/>
          <w:rFonts w:ascii="Times New Roman" w:eastAsiaTheme="minorEastAsia" w:hAnsi="Times New Roman"/>
          <w:noProof/>
          <w:sz w:val="24"/>
          <w:szCs w:val="24"/>
          <w:lang w:val="mt-MT" w:eastAsia="en-GB"/>
        </w:rPr>
        <w:t xml:space="preserve"> and</w:t>
      </w:r>
      <w:r w:rsidRPr="001E3C9B">
        <w:rPr>
          <w:rStyle w:val="Bodytext1"/>
          <w:rFonts w:ascii="Times New Roman" w:eastAsiaTheme="minorEastAsia" w:hAnsi="Times New Roman"/>
          <w:noProof/>
          <w:sz w:val="24"/>
          <w:szCs w:val="24"/>
          <w:lang w:eastAsia="en-GB"/>
        </w:rPr>
        <w:t xml:space="preserve"> nuclear desalination</w:t>
      </w:r>
      <w:r w:rsidR="007D3628">
        <w:rPr>
          <w:rStyle w:val="Bodytext1"/>
          <w:rFonts w:ascii="Times New Roman" w:eastAsiaTheme="minorEastAsia" w:hAnsi="Times New Roman"/>
          <w:noProof/>
          <w:sz w:val="24"/>
          <w:szCs w:val="24"/>
          <w:lang w:eastAsia="en-GB"/>
        </w:rPr>
        <w:t>)</w:t>
      </w:r>
      <w:r w:rsidRPr="001E3C9B">
        <w:rPr>
          <w:rStyle w:val="Bodytext1"/>
          <w:rFonts w:ascii="Times New Roman" w:eastAsiaTheme="minorEastAsia" w:hAnsi="Times New Roman"/>
          <w:noProof/>
          <w:sz w:val="24"/>
          <w:szCs w:val="24"/>
          <w:lang w:eastAsia="en-GB"/>
        </w:rPr>
        <w:t>.</w:t>
      </w:r>
    </w:p>
    <w:p w14:paraId="6A021BF5" w14:textId="60F4A36D" w:rsidR="00637876" w:rsidRPr="001E3C9B" w:rsidRDefault="00637876" w:rsidP="007C4BD5">
      <w:pPr>
        <w:pStyle w:val="Bodytext10"/>
        <w:spacing w:after="160" w:line="256" w:lineRule="auto"/>
        <w:ind w:left="360"/>
        <w:jc w:val="both"/>
        <w:rPr>
          <w:rStyle w:val="Bodytext1"/>
          <w:rFonts w:ascii="Times New Roman" w:hAnsi="Times New Roman" w:cs="Times New Roman"/>
          <w:noProof/>
          <w:sz w:val="24"/>
          <w:szCs w:val="24"/>
        </w:rPr>
      </w:pPr>
      <w:r w:rsidRPr="001E3C9B">
        <w:rPr>
          <w:rStyle w:val="Bodytext1"/>
          <w:rFonts w:ascii="Times New Roman" w:eastAsiaTheme="minorEastAsia" w:hAnsi="Times New Roman"/>
          <w:noProof/>
          <w:sz w:val="24"/>
          <w:szCs w:val="24"/>
          <w:u w:val="single"/>
          <w:lang w:eastAsia="en-GB"/>
        </w:rPr>
        <w:t>Commission’s response:</w:t>
      </w:r>
      <w:r w:rsidRPr="001E3C9B">
        <w:rPr>
          <w:rStyle w:val="Bodytext1"/>
          <w:rFonts w:ascii="Times New Roman" w:hAnsi="Times New Roman" w:cs="Times New Roman"/>
          <w:noProof/>
          <w:sz w:val="24"/>
          <w:szCs w:val="24"/>
        </w:rPr>
        <w:t xml:space="preserve"> s</w:t>
      </w:r>
      <w:r w:rsidR="001A3749" w:rsidRPr="001E3C9B">
        <w:rPr>
          <w:rStyle w:val="Bodytext1"/>
          <w:rFonts w:ascii="Times New Roman" w:hAnsi="Times New Roman" w:cs="Times New Roman"/>
          <w:noProof/>
          <w:sz w:val="24"/>
          <w:szCs w:val="24"/>
        </w:rPr>
        <w:t>upport for cross-sectoral synergies</w:t>
      </w:r>
      <w:r w:rsidR="002E7C54" w:rsidRPr="001E3C9B">
        <w:rPr>
          <w:rStyle w:val="Bodytext1"/>
          <w:rFonts w:ascii="Times New Roman" w:hAnsi="Times New Roman" w:cs="Times New Roman"/>
          <w:noProof/>
          <w:sz w:val="24"/>
          <w:szCs w:val="24"/>
        </w:rPr>
        <w:t xml:space="preserve"> that</w:t>
      </w:r>
      <w:r w:rsidR="001A3749" w:rsidRPr="001E3C9B">
        <w:rPr>
          <w:rStyle w:val="Bodytext1"/>
          <w:rFonts w:ascii="Times New Roman" w:hAnsi="Times New Roman" w:cs="Times New Roman"/>
          <w:noProof/>
          <w:sz w:val="24"/>
          <w:szCs w:val="24"/>
        </w:rPr>
        <w:t xml:space="preserve"> leverag</w:t>
      </w:r>
      <w:r w:rsidR="002E7C54" w:rsidRPr="001E3C9B">
        <w:rPr>
          <w:rStyle w:val="Bodytext1"/>
          <w:rFonts w:ascii="Times New Roman" w:hAnsi="Times New Roman" w:cs="Times New Roman"/>
          <w:noProof/>
          <w:sz w:val="24"/>
          <w:szCs w:val="24"/>
        </w:rPr>
        <w:t>e</w:t>
      </w:r>
      <w:r w:rsidR="001A3749" w:rsidRPr="001E3C9B">
        <w:rPr>
          <w:rStyle w:val="Bodytext1"/>
          <w:rFonts w:ascii="Times New Roman" w:hAnsi="Times New Roman" w:cs="Times New Roman"/>
          <w:noProof/>
          <w:sz w:val="24"/>
          <w:szCs w:val="24"/>
        </w:rPr>
        <w:t xml:space="preserve"> </w:t>
      </w:r>
      <w:r w:rsidR="007D3628">
        <w:rPr>
          <w:rStyle w:val="Bodytext1"/>
          <w:rFonts w:ascii="Times New Roman" w:hAnsi="Times New Roman" w:cs="Times New Roman"/>
          <w:noProof/>
          <w:sz w:val="24"/>
          <w:szCs w:val="24"/>
        </w:rPr>
        <w:t>progress</w:t>
      </w:r>
      <w:r w:rsidR="007D3628" w:rsidRPr="001E3C9B">
        <w:rPr>
          <w:rStyle w:val="Bodytext1"/>
          <w:rFonts w:ascii="Times New Roman" w:hAnsi="Times New Roman" w:cs="Times New Roman"/>
          <w:noProof/>
          <w:sz w:val="24"/>
          <w:szCs w:val="24"/>
        </w:rPr>
        <w:t xml:space="preserve"> </w:t>
      </w:r>
      <w:r w:rsidR="007D3628">
        <w:rPr>
          <w:rStyle w:val="Bodytext1"/>
          <w:rFonts w:ascii="Times New Roman" w:hAnsi="Times New Roman" w:cs="Times New Roman"/>
          <w:noProof/>
          <w:sz w:val="24"/>
          <w:szCs w:val="24"/>
        </w:rPr>
        <w:t>in</w:t>
      </w:r>
      <w:r w:rsidR="007D3628" w:rsidRPr="001E3C9B">
        <w:rPr>
          <w:rStyle w:val="Bodytext1"/>
          <w:rFonts w:ascii="Times New Roman" w:hAnsi="Times New Roman" w:cs="Times New Roman"/>
          <w:noProof/>
          <w:sz w:val="24"/>
          <w:szCs w:val="24"/>
        </w:rPr>
        <w:t xml:space="preserve"> </w:t>
      </w:r>
      <w:r w:rsidR="001A3749" w:rsidRPr="001E3C9B">
        <w:rPr>
          <w:rStyle w:val="Bodytext1"/>
          <w:rFonts w:ascii="Times New Roman" w:hAnsi="Times New Roman" w:cs="Times New Roman"/>
          <w:noProof/>
          <w:sz w:val="24"/>
          <w:szCs w:val="24"/>
        </w:rPr>
        <w:t xml:space="preserve">various sectors to </w:t>
      </w:r>
      <w:r w:rsidR="007D3628">
        <w:rPr>
          <w:rStyle w:val="Bodytext1"/>
          <w:rFonts w:ascii="Times New Roman" w:hAnsi="Times New Roman" w:cs="Times New Roman"/>
          <w:noProof/>
          <w:sz w:val="24"/>
          <w:szCs w:val="24"/>
        </w:rPr>
        <w:t>increase</w:t>
      </w:r>
      <w:r w:rsidR="007D3628" w:rsidRPr="001E3C9B">
        <w:rPr>
          <w:rStyle w:val="Bodytext1"/>
          <w:rFonts w:ascii="Times New Roman" w:hAnsi="Times New Roman" w:cs="Times New Roman"/>
          <w:noProof/>
          <w:sz w:val="24"/>
          <w:szCs w:val="24"/>
        </w:rPr>
        <w:t xml:space="preserve"> </w:t>
      </w:r>
      <w:r w:rsidR="001A3749" w:rsidRPr="001E3C9B">
        <w:rPr>
          <w:rStyle w:val="Bodytext1"/>
          <w:rFonts w:ascii="Times New Roman" w:hAnsi="Times New Roman" w:cs="Times New Roman"/>
          <w:noProof/>
          <w:sz w:val="24"/>
          <w:szCs w:val="24"/>
        </w:rPr>
        <w:t>nuclear safety is essential</w:t>
      </w:r>
      <w:r w:rsidR="009663E7" w:rsidRPr="001E3C9B">
        <w:rPr>
          <w:rStyle w:val="Bodytext1"/>
          <w:rFonts w:ascii="Times New Roman" w:hAnsi="Times New Roman" w:cs="Times New Roman"/>
          <w:noProof/>
          <w:sz w:val="24"/>
          <w:szCs w:val="24"/>
        </w:rPr>
        <w:t xml:space="preserve"> for the Commission</w:t>
      </w:r>
      <w:r w:rsidR="001A3749" w:rsidRPr="001E3C9B">
        <w:rPr>
          <w:rStyle w:val="Bodytext1"/>
          <w:rFonts w:ascii="Times New Roman" w:hAnsi="Times New Roman" w:cs="Times New Roman"/>
          <w:noProof/>
          <w:sz w:val="24"/>
          <w:szCs w:val="24"/>
        </w:rPr>
        <w:t xml:space="preserve"> in the ongoing Euratom </w:t>
      </w:r>
      <w:r w:rsidR="007D3628">
        <w:rPr>
          <w:rStyle w:val="Bodytext1"/>
          <w:rFonts w:ascii="Times New Roman" w:hAnsi="Times New Roman" w:cs="Times New Roman"/>
          <w:noProof/>
          <w:sz w:val="24"/>
          <w:szCs w:val="24"/>
        </w:rPr>
        <w:t>p</w:t>
      </w:r>
      <w:r w:rsidR="007D3628" w:rsidRPr="001E3C9B">
        <w:rPr>
          <w:rStyle w:val="Bodytext1"/>
          <w:rFonts w:ascii="Times New Roman" w:hAnsi="Times New Roman" w:cs="Times New Roman"/>
          <w:noProof/>
          <w:sz w:val="24"/>
          <w:szCs w:val="24"/>
        </w:rPr>
        <w:t xml:space="preserve">rogramme </w:t>
      </w:r>
      <w:r w:rsidR="007D3628">
        <w:rPr>
          <w:rStyle w:val="Bodytext1"/>
          <w:rFonts w:ascii="Times New Roman" w:hAnsi="Times New Roman" w:cs="Times New Roman"/>
          <w:noProof/>
          <w:sz w:val="24"/>
          <w:szCs w:val="24"/>
        </w:rPr>
        <w:t xml:space="preserve">for </w:t>
      </w:r>
      <w:r w:rsidR="001A3749" w:rsidRPr="001E3C9B">
        <w:rPr>
          <w:rStyle w:val="Bodytext1"/>
          <w:rFonts w:ascii="Times New Roman" w:hAnsi="Times New Roman" w:cs="Times New Roman"/>
          <w:noProof/>
          <w:sz w:val="24"/>
          <w:szCs w:val="24"/>
        </w:rPr>
        <w:t xml:space="preserve">2021-2025. The Commission also puts a strong emphasis on addressing the safety aspects of alternative applications of nuclear energy. Finally, the </w:t>
      </w:r>
      <w:r w:rsidR="00F657F6">
        <w:rPr>
          <w:rStyle w:val="Bodytext1"/>
          <w:rFonts w:ascii="Times New Roman" w:hAnsi="Times New Roman" w:cs="Times New Roman"/>
          <w:noProof/>
          <w:sz w:val="24"/>
          <w:szCs w:val="24"/>
        </w:rPr>
        <w:t>Programme</w:t>
      </w:r>
      <w:r w:rsidR="00F657F6" w:rsidRPr="001E3C9B">
        <w:rPr>
          <w:rStyle w:val="Bodytext1"/>
          <w:rFonts w:ascii="Times New Roman" w:hAnsi="Times New Roman" w:cs="Times New Roman"/>
          <w:noProof/>
          <w:sz w:val="24"/>
          <w:szCs w:val="24"/>
        </w:rPr>
        <w:t xml:space="preserve"> </w:t>
      </w:r>
      <w:r w:rsidR="001A3749" w:rsidRPr="001E3C9B">
        <w:rPr>
          <w:rStyle w:val="Bodytext1"/>
          <w:rFonts w:ascii="Times New Roman" w:hAnsi="Times New Roman" w:cs="Times New Roman"/>
          <w:noProof/>
          <w:sz w:val="24"/>
          <w:szCs w:val="24"/>
        </w:rPr>
        <w:t xml:space="preserve">provides funding for developing non-power applications of ionising radiation </w:t>
      </w:r>
      <w:r w:rsidR="003C79CB" w:rsidRPr="001E3C9B">
        <w:rPr>
          <w:rStyle w:val="Bodytext1"/>
          <w:rFonts w:ascii="Times New Roman" w:hAnsi="Times New Roman" w:cs="Times New Roman"/>
          <w:noProof/>
          <w:sz w:val="24"/>
          <w:szCs w:val="24"/>
        </w:rPr>
        <w:t xml:space="preserve">in </w:t>
      </w:r>
      <w:r w:rsidR="002E7C54" w:rsidRPr="001E3C9B">
        <w:rPr>
          <w:rStyle w:val="Bodytext1"/>
          <w:rFonts w:ascii="Times New Roman" w:hAnsi="Times New Roman" w:cs="Times New Roman"/>
          <w:noProof/>
          <w:sz w:val="24"/>
          <w:szCs w:val="24"/>
        </w:rPr>
        <w:t xml:space="preserve">the </w:t>
      </w:r>
      <w:r w:rsidR="003C79CB" w:rsidRPr="001E3C9B">
        <w:rPr>
          <w:rStyle w:val="Bodytext1"/>
          <w:rFonts w:ascii="Times New Roman" w:hAnsi="Times New Roman" w:cs="Times New Roman"/>
          <w:noProof/>
          <w:sz w:val="24"/>
          <w:szCs w:val="24"/>
        </w:rPr>
        <w:t xml:space="preserve">medical field and </w:t>
      </w:r>
      <w:r w:rsidR="009663E7" w:rsidRPr="001E3C9B">
        <w:rPr>
          <w:rStyle w:val="Bodytext1"/>
          <w:rFonts w:ascii="Times New Roman" w:hAnsi="Times New Roman" w:cs="Times New Roman"/>
          <w:noProof/>
          <w:sz w:val="24"/>
          <w:szCs w:val="24"/>
        </w:rPr>
        <w:t>in other innovative areas such</w:t>
      </w:r>
      <w:r w:rsidR="003C79CB" w:rsidRPr="001E3C9B">
        <w:rPr>
          <w:rStyle w:val="Bodytext1"/>
          <w:rFonts w:ascii="Times New Roman" w:hAnsi="Times New Roman" w:cs="Times New Roman"/>
          <w:noProof/>
          <w:sz w:val="24"/>
          <w:szCs w:val="24"/>
        </w:rPr>
        <w:t xml:space="preserve"> </w:t>
      </w:r>
      <w:r w:rsidR="001A3749" w:rsidRPr="001E3C9B">
        <w:rPr>
          <w:rStyle w:val="Bodytext1"/>
          <w:rFonts w:ascii="Times New Roman" w:hAnsi="Times New Roman" w:cs="Times New Roman"/>
          <w:noProof/>
          <w:sz w:val="24"/>
          <w:szCs w:val="24"/>
        </w:rPr>
        <w:t>as</w:t>
      </w:r>
      <w:r w:rsidR="009A301B">
        <w:rPr>
          <w:rStyle w:val="Bodytext1"/>
          <w:rFonts w:ascii="Times New Roman" w:hAnsi="Times New Roman" w:cs="Times New Roman"/>
          <w:noProof/>
          <w:sz w:val="24"/>
          <w:szCs w:val="24"/>
        </w:rPr>
        <w:t>: (i)</w:t>
      </w:r>
      <w:r w:rsidR="001A3749" w:rsidRPr="001E3C9B">
        <w:rPr>
          <w:rStyle w:val="Bodytext1"/>
          <w:rFonts w:ascii="Times New Roman" w:hAnsi="Times New Roman" w:cs="Times New Roman"/>
          <w:noProof/>
          <w:sz w:val="24"/>
          <w:szCs w:val="24"/>
        </w:rPr>
        <w:t xml:space="preserve"> nuclear techniques for EU strategic autonomy (production and recovery of raw materials)</w:t>
      </w:r>
      <w:r w:rsidR="009A301B">
        <w:rPr>
          <w:rStyle w:val="Bodytext1"/>
          <w:rFonts w:ascii="Times New Roman" w:hAnsi="Times New Roman" w:cs="Times New Roman"/>
          <w:noProof/>
          <w:sz w:val="24"/>
          <w:szCs w:val="24"/>
        </w:rPr>
        <w:t>; (ii) the</w:t>
      </w:r>
      <w:r w:rsidR="001A3749" w:rsidRPr="001E3C9B">
        <w:rPr>
          <w:rStyle w:val="Bodytext1"/>
          <w:rFonts w:ascii="Times New Roman" w:hAnsi="Times New Roman" w:cs="Times New Roman"/>
          <w:noProof/>
          <w:sz w:val="24"/>
          <w:szCs w:val="24"/>
        </w:rPr>
        <w:t xml:space="preserve"> circular economy (reduction of non-radioactive waste)</w:t>
      </w:r>
      <w:r w:rsidR="009A301B">
        <w:rPr>
          <w:rStyle w:val="Bodytext1"/>
          <w:rFonts w:ascii="Times New Roman" w:hAnsi="Times New Roman" w:cs="Times New Roman"/>
          <w:noProof/>
          <w:sz w:val="24"/>
          <w:szCs w:val="24"/>
        </w:rPr>
        <w:t>;</w:t>
      </w:r>
      <w:r w:rsidR="001A3749" w:rsidRPr="001E3C9B">
        <w:rPr>
          <w:rStyle w:val="Bodytext1"/>
          <w:rFonts w:ascii="Times New Roman" w:hAnsi="Times New Roman" w:cs="Times New Roman"/>
          <w:noProof/>
          <w:sz w:val="24"/>
          <w:szCs w:val="24"/>
        </w:rPr>
        <w:t xml:space="preserve"> and </w:t>
      </w:r>
      <w:r w:rsidR="009A301B">
        <w:rPr>
          <w:rStyle w:val="Bodytext1"/>
          <w:rFonts w:ascii="Times New Roman" w:hAnsi="Times New Roman" w:cs="Times New Roman"/>
          <w:noProof/>
          <w:sz w:val="24"/>
          <w:szCs w:val="24"/>
        </w:rPr>
        <w:t xml:space="preserve">(iii) </w:t>
      </w:r>
      <w:r w:rsidR="001A3749" w:rsidRPr="001E3C9B">
        <w:rPr>
          <w:rStyle w:val="Bodytext1"/>
          <w:rFonts w:ascii="Times New Roman" w:hAnsi="Times New Roman" w:cs="Times New Roman"/>
          <w:noProof/>
          <w:sz w:val="24"/>
          <w:szCs w:val="24"/>
        </w:rPr>
        <w:t xml:space="preserve">monitoring climate change and pollution. The Commission addressed these topics in </w:t>
      </w:r>
      <w:r w:rsidR="002E7C54" w:rsidRPr="001E3C9B">
        <w:rPr>
          <w:rStyle w:val="Bodytext1"/>
          <w:rFonts w:ascii="Times New Roman" w:hAnsi="Times New Roman" w:cs="Times New Roman"/>
          <w:noProof/>
          <w:sz w:val="24"/>
          <w:szCs w:val="24"/>
        </w:rPr>
        <w:t xml:space="preserve">the </w:t>
      </w:r>
      <w:r w:rsidR="001A3749" w:rsidRPr="001E3C9B">
        <w:rPr>
          <w:rStyle w:val="Bodytext1"/>
          <w:rFonts w:ascii="Times New Roman" w:hAnsi="Times New Roman" w:cs="Times New Roman"/>
          <w:noProof/>
          <w:sz w:val="24"/>
          <w:szCs w:val="24"/>
        </w:rPr>
        <w:t>2021-2025 Euratom calls for proposals, which will be discussed in detail in the interim evaluation.</w:t>
      </w:r>
    </w:p>
    <w:p w14:paraId="70E164CE" w14:textId="2BDFE200" w:rsidR="00B6404B" w:rsidRPr="001E3C9B" w:rsidRDefault="00220779" w:rsidP="00637876">
      <w:pPr>
        <w:pStyle w:val="Bodytext10"/>
        <w:numPr>
          <w:ilvl w:val="0"/>
          <w:numId w:val="40"/>
        </w:numPr>
        <w:spacing w:after="160" w:line="256" w:lineRule="auto"/>
        <w:jc w:val="both"/>
        <w:rPr>
          <w:rStyle w:val="Bodytext1"/>
          <w:rFonts w:ascii="Times New Roman" w:eastAsiaTheme="minorEastAsia" w:hAnsi="Times New Roman"/>
          <w:noProof/>
          <w:sz w:val="24"/>
          <w:szCs w:val="24"/>
          <w:lang w:eastAsia="en-GB"/>
        </w:rPr>
      </w:pPr>
      <w:r>
        <w:rPr>
          <w:rStyle w:val="Bodytext1"/>
          <w:rFonts w:ascii="Times New Roman" w:eastAsiaTheme="minorEastAsia" w:hAnsi="Times New Roman"/>
          <w:noProof/>
          <w:sz w:val="24"/>
          <w:szCs w:val="24"/>
          <w:lang w:eastAsia="en-GB"/>
        </w:rPr>
        <w:t>S</w:t>
      </w:r>
      <w:r w:rsidR="0013639D" w:rsidRPr="001E3C9B">
        <w:rPr>
          <w:rStyle w:val="Bodytext1"/>
          <w:rFonts w:ascii="Times New Roman" w:eastAsiaTheme="minorEastAsia" w:hAnsi="Times New Roman"/>
          <w:noProof/>
          <w:sz w:val="24"/>
          <w:szCs w:val="24"/>
          <w:lang w:eastAsia="en-GB"/>
        </w:rPr>
        <w:t>ynergies between fusion and fission</w:t>
      </w:r>
      <w:r w:rsidR="0068318F">
        <w:rPr>
          <w:rStyle w:val="Bodytext1"/>
          <w:rFonts w:ascii="Times New Roman" w:eastAsiaTheme="minorEastAsia" w:hAnsi="Times New Roman"/>
          <w:noProof/>
          <w:sz w:val="24"/>
          <w:szCs w:val="24"/>
          <w:lang w:eastAsia="en-GB"/>
        </w:rPr>
        <w:t xml:space="preserve"> research</w:t>
      </w:r>
      <w:r w:rsidR="0013639D" w:rsidRPr="001E3C9B">
        <w:rPr>
          <w:rStyle w:val="Bodytext1"/>
          <w:rFonts w:ascii="Times New Roman" w:eastAsiaTheme="minorEastAsia" w:hAnsi="Times New Roman"/>
          <w:noProof/>
          <w:sz w:val="24"/>
          <w:szCs w:val="24"/>
          <w:lang w:eastAsia="en-GB"/>
        </w:rPr>
        <w:t xml:space="preserve"> should be further developed, not only in the traditional area of advanced materials, but also in the use of artificial intelligence, non-power applications, advanced modelling and simulation</w:t>
      </w:r>
      <w:r w:rsidR="009A301B">
        <w:rPr>
          <w:rStyle w:val="Bodytext1"/>
          <w:rFonts w:ascii="Times New Roman" w:eastAsiaTheme="minorEastAsia" w:hAnsi="Times New Roman"/>
          <w:noProof/>
          <w:sz w:val="24"/>
          <w:szCs w:val="24"/>
          <w:lang w:eastAsia="en-GB"/>
        </w:rPr>
        <w:t>;</w:t>
      </w:r>
      <w:r w:rsidR="00BF5DF9" w:rsidRPr="001E3C9B">
        <w:rPr>
          <w:rStyle w:val="Bodytext1"/>
          <w:rFonts w:ascii="Times New Roman" w:eastAsiaTheme="minorEastAsia" w:hAnsi="Times New Roman"/>
          <w:noProof/>
          <w:sz w:val="24"/>
          <w:szCs w:val="24"/>
          <w:lang w:eastAsia="en-GB"/>
        </w:rPr>
        <w:t xml:space="preserve"> and</w:t>
      </w:r>
      <w:r w:rsidR="0013639D" w:rsidRPr="001E3C9B">
        <w:rPr>
          <w:rStyle w:val="Bodytext1"/>
          <w:rFonts w:ascii="Times New Roman" w:eastAsiaTheme="minorEastAsia" w:hAnsi="Times New Roman"/>
          <w:noProof/>
          <w:sz w:val="24"/>
          <w:szCs w:val="24"/>
          <w:lang w:eastAsia="en-GB"/>
        </w:rPr>
        <w:t xml:space="preserve"> experimental tests.</w:t>
      </w:r>
    </w:p>
    <w:p w14:paraId="23AFCB55" w14:textId="31E43E31" w:rsidR="00206E1C" w:rsidRPr="001E3C9B" w:rsidRDefault="00637876" w:rsidP="00F658D0">
      <w:pPr>
        <w:pStyle w:val="Bodytext10"/>
        <w:spacing w:after="160" w:line="256" w:lineRule="auto"/>
        <w:ind w:left="360"/>
        <w:jc w:val="both"/>
        <w:rPr>
          <w:rStyle w:val="Bodytext1"/>
          <w:rFonts w:ascii="Times New Roman" w:hAnsi="Times New Roman" w:cs="Times New Roman"/>
          <w:noProof/>
          <w:sz w:val="24"/>
          <w:szCs w:val="24"/>
        </w:rPr>
      </w:pPr>
      <w:r w:rsidRPr="001E3C9B">
        <w:rPr>
          <w:rStyle w:val="Bodytext1"/>
          <w:rFonts w:ascii="Times New Roman" w:eastAsiaTheme="minorEastAsia" w:hAnsi="Times New Roman"/>
          <w:noProof/>
          <w:sz w:val="24"/>
          <w:szCs w:val="24"/>
          <w:u w:val="single"/>
          <w:lang w:eastAsia="en-GB"/>
        </w:rPr>
        <w:t>Commission’s response</w:t>
      </w:r>
      <w:r w:rsidRPr="001E3C9B">
        <w:rPr>
          <w:rStyle w:val="Bodytext1"/>
          <w:rFonts w:ascii="Times New Roman" w:eastAsiaTheme="minorEastAsia" w:hAnsi="Times New Roman"/>
          <w:noProof/>
          <w:sz w:val="24"/>
          <w:szCs w:val="24"/>
          <w:lang w:eastAsia="en-GB"/>
        </w:rPr>
        <w:t xml:space="preserve">: </w:t>
      </w:r>
      <w:r w:rsidR="00544B00" w:rsidRPr="001E3C9B">
        <w:rPr>
          <w:rStyle w:val="Bodytext1"/>
          <w:rFonts w:ascii="Times New Roman" w:hAnsi="Times New Roman" w:cs="Times New Roman"/>
          <w:noProof/>
          <w:sz w:val="24"/>
          <w:szCs w:val="24"/>
        </w:rPr>
        <w:t xml:space="preserve">under the ongoing 2021-2025 </w:t>
      </w:r>
      <w:r w:rsidR="009A301B">
        <w:rPr>
          <w:rStyle w:val="Bodytext1"/>
          <w:rFonts w:ascii="Times New Roman" w:hAnsi="Times New Roman" w:cs="Times New Roman"/>
          <w:noProof/>
          <w:sz w:val="24"/>
          <w:szCs w:val="24"/>
        </w:rPr>
        <w:t>p</w:t>
      </w:r>
      <w:r w:rsidR="00544B00" w:rsidRPr="001E3C9B">
        <w:rPr>
          <w:rStyle w:val="Bodytext1"/>
          <w:rFonts w:ascii="Times New Roman" w:hAnsi="Times New Roman" w:cs="Times New Roman"/>
          <w:noProof/>
          <w:sz w:val="24"/>
          <w:szCs w:val="24"/>
        </w:rPr>
        <w:t>rogramme</w:t>
      </w:r>
      <w:r w:rsidR="009A301B">
        <w:rPr>
          <w:rStyle w:val="Bodytext1"/>
          <w:rFonts w:ascii="Times New Roman" w:hAnsi="Times New Roman" w:cs="Times New Roman"/>
          <w:noProof/>
          <w:sz w:val="24"/>
          <w:szCs w:val="24"/>
        </w:rPr>
        <w:t>,</w:t>
      </w:r>
      <w:r w:rsidR="00544B00" w:rsidRPr="001E3C9B">
        <w:rPr>
          <w:rStyle w:val="Bodytext1"/>
          <w:rFonts w:ascii="Times New Roman" w:hAnsi="Times New Roman" w:cs="Times New Roman"/>
          <w:noProof/>
          <w:sz w:val="24"/>
          <w:szCs w:val="24"/>
        </w:rPr>
        <w:t xml:space="preserve"> </w:t>
      </w:r>
      <w:r w:rsidR="00F80C23" w:rsidRPr="001E3C9B">
        <w:rPr>
          <w:rStyle w:val="Bodytext1"/>
          <w:rFonts w:ascii="Times New Roman" w:hAnsi="Times New Roman" w:cs="Times New Roman"/>
          <w:noProof/>
          <w:sz w:val="24"/>
          <w:szCs w:val="24"/>
        </w:rPr>
        <w:t xml:space="preserve">the Commission </w:t>
      </w:r>
      <w:r w:rsidR="009A301B">
        <w:rPr>
          <w:rStyle w:val="Bodytext1"/>
          <w:rFonts w:ascii="Times New Roman" w:hAnsi="Times New Roman" w:cs="Times New Roman"/>
          <w:noProof/>
          <w:sz w:val="24"/>
          <w:szCs w:val="24"/>
        </w:rPr>
        <w:t xml:space="preserve">is </w:t>
      </w:r>
      <w:r w:rsidR="009A301B" w:rsidRPr="001E3C9B">
        <w:rPr>
          <w:rStyle w:val="Bodytext1"/>
          <w:rFonts w:ascii="Times New Roman" w:hAnsi="Times New Roman" w:cs="Times New Roman"/>
          <w:noProof/>
          <w:sz w:val="24"/>
          <w:szCs w:val="24"/>
        </w:rPr>
        <w:t>pursu</w:t>
      </w:r>
      <w:r w:rsidR="009A301B">
        <w:rPr>
          <w:rStyle w:val="Bodytext1"/>
          <w:rFonts w:ascii="Times New Roman" w:hAnsi="Times New Roman" w:cs="Times New Roman"/>
          <w:noProof/>
          <w:sz w:val="24"/>
          <w:szCs w:val="24"/>
        </w:rPr>
        <w:t>ing</w:t>
      </w:r>
      <w:r w:rsidR="009A301B" w:rsidRPr="001E3C9B">
        <w:rPr>
          <w:rStyle w:val="Bodytext1"/>
          <w:rFonts w:ascii="Times New Roman" w:hAnsi="Times New Roman" w:cs="Times New Roman"/>
          <w:noProof/>
          <w:sz w:val="24"/>
          <w:szCs w:val="24"/>
        </w:rPr>
        <w:t xml:space="preserve"> </w:t>
      </w:r>
      <w:r w:rsidR="00544B00" w:rsidRPr="001E3C9B">
        <w:rPr>
          <w:rStyle w:val="Bodytext1"/>
          <w:rFonts w:ascii="Times New Roman" w:hAnsi="Times New Roman" w:cs="Times New Roman"/>
          <w:noProof/>
          <w:sz w:val="24"/>
          <w:szCs w:val="24"/>
        </w:rPr>
        <w:t xml:space="preserve">the development of fission-fusion synergies in fields such as </w:t>
      </w:r>
      <w:r w:rsidR="00483207">
        <w:rPr>
          <w:rStyle w:val="Bodytext1"/>
          <w:rFonts w:ascii="Times New Roman" w:hAnsi="Times New Roman" w:cs="Times New Roman"/>
          <w:noProof/>
          <w:sz w:val="24"/>
          <w:szCs w:val="24"/>
        </w:rPr>
        <w:t xml:space="preserve">the </w:t>
      </w:r>
      <w:r w:rsidR="00544B00" w:rsidRPr="001E3C9B">
        <w:rPr>
          <w:rStyle w:val="Bodytext1"/>
          <w:rFonts w:ascii="Times New Roman" w:hAnsi="Times New Roman" w:cs="Times New Roman"/>
          <w:noProof/>
          <w:sz w:val="24"/>
          <w:szCs w:val="24"/>
        </w:rPr>
        <w:t>harmonisation of safety assessment, tritium management</w:t>
      </w:r>
      <w:r w:rsidR="00483207">
        <w:rPr>
          <w:rStyle w:val="Bodytext1"/>
          <w:rFonts w:ascii="Times New Roman" w:hAnsi="Times New Roman" w:cs="Times New Roman"/>
          <w:noProof/>
          <w:sz w:val="24"/>
          <w:szCs w:val="24"/>
        </w:rPr>
        <w:t>,</w:t>
      </w:r>
      <w:r w:rsidR="00544B00" w:rsidRPr="001E3C9B">
        <w:rPr>
          <w:rStyle w:val="Bodytext1"/>
          <w:rFonts w:ascii="Times New Roman" w:hAnsi="Times New Roman" w:cs="Times New Roman"/>
          <w:noProof/>
          <w:sz w:val="24"/>
          <w:szCs w:val="24"/>
        </w:rPr>
        <w:t xml:space="preserve"> and nuclear data. The Commission also emphasises the further use of fusion technologies in non-power applications through the EUROfusion technology</w:t>
      </w:r>
      <w:r w:rsidR="00AA2B63">
        <w:rPr>
          <w:rStyle w:val="Bodytext1"/>
          <w:rFonts w:ascii="Times New Roman" w:hAnsi="Times New Roman" w:cs="Times New Roman"/>
          <w:noProof/>
          <w:sz w:val="24"/>
          <w:szCs w:val="24"/>
        </w:rPr>
        <w:t>-</w:t>
      </w:r>
      <w:r w:rsidR="00544B00" w:rsidRPr="001E3C9B">
        <w:rPr>
          <w:rStyle w:val="Bodytext1"/>
          <w:rFonts w:ascii="Times New Roman" w:hAnsi="Times New Roman" w:cs="Times New Roman"/>
          <w:noProof/>
          <w:sz w:val="24"/>
          <w:szCs w:val="24"/>
        </w:rPr>
        <w:t xml:space="preserve">transfer programme. The Commission addressed these topics </w:t>
      </w:r>
      <w:r w:rsidR="00483207">
        <w:rPr>
          <w:rStyle w:val="Bodytext1"/>
          <w:rFonts w:ascii="Times New Roman" w:hAnsi="Times New Roman" w:cs="Times New Roman"/>
          <w:noProof/>
          <w:sz w:val="24"/>
          <w:szCs w:val="24"/>
        </w:rPr>
        <w:t xml:space="preserve">both </w:t>
      </w:r>
      <w:r w:rsidR="00544B00" w:rsidRPr="001E3C9B">
        <w:rPr>
          <w:rStyle w:val="Bodytext1"/>
          <w:rFonts w:ascii="Times New Roman" w:hAnsi="Times New Roman" w:cs="Times New Roman"/>
          <w:noProof/>
          <w:sz w:val="24"/>
          <w:szCs w:val="24"/>
        </w:rPr>
        <w:t xml:space="preserve">in Euratom calls for proposals and via </w:t>
      </w:r>
      <w:r w:rsidR="000932EF" w:rsidRPr="001E3C9B">
        <w:rPr>
          <w:rStyle w:val="Bodytext1"/>
          <w:rFonts w:ascii="Times New Roman" w:hAnsi="Times New Roman" w:cs="Times New Roman"/>
          <w:noProof/>
          <w:sz w:val="24"/>
          <w:szCs w:val="24"/>
        </w:rPr>
        <w:t xml:space="preserve">the </w:t>
      </w:r>
      <w:r w:rsidR="00544B00" w:rsidRPr="001E3C9B">
        <w:rPr>
          <w:rStyle w:val="Bodytext1"/>
          <w:rFonts w:ascii="Times New Roman" w:hAnsi="Times New Roman" w:cs="Times New Roman"/>
          <w:noProof/>
          <w:sz w:val="24"/>
          <w:szCs w:val="24"/>
        </w:rPr>
        <w:t xml:space="preserve">EUROfusion </w:t>
      </w:r>
      <w:r w:rsidR="004A2C34">
        <w:rPr>
          <w:rStyle w:val="Bodytext1"/>
          <w:rFonts w:ascii="Times New Roman" w:hAnsi="Times New Roman" w:cs="Times New Roman"/>
          <w:noProof/>
          <w:sz w:val="24"/>
          <w:szCs w:val="24"/>
        </w:rPr>
        <w:t>p</w:t>
      </w:r>
      <w:r w:rsidR="00544B00" w:rsidRPr="001E3C9B">
        <w:rPr>
          <w:rStyle w:val="Bodytext1"/>
          <w:rFonts w:ascii="Times New Roman" w:hAnsi="Times New Roman" w:cs="Times New Roman"/>
          <w:noProof/>
          <w:sz w:val="24"/>
          <w:szCs w:val="24"/>
        </w:rPr>
        <w:t>artnership, which will be discussed in detail in the interim evaluation.</w:t>
      </w:r>
      <w:r w:rsidR="00A278F9" w:rsidRPr="001E3C9B">
        <w:rPr>
          <w:rStyle w:val="Bodytext1"/>
          <w:rFonts w:ascii="Times New Roman" w:hAnsi="Times New Roman" w:cs="Times New Roman"/>
          <w:noProof/>
          <w:sz w:val="24"/>
          <w:szCs w:val="24"/>
        </w:rPr>
        <w:t xml:space="preserve"> </w:t>
      </w:r>
    </w:p>
    <w:p w14:paraId="332A8148" w14:textId="73121CEB" w:rsidR="00234820" w:rsidRPr="001E3C9B" w:rsidRDefault="00E764A3" w:rsidP="00234820">
      <w:pPr>
        <w:pStyle w:val="Bodytext10"/>
        <w:numPr>
          <w:ilvl w:val="0"/>
          <w:numId w:val="40"/>
        </w:numPr>
        <w:spacing w:after="160" w:line="256" w:lineRule="auto"/>
        <w:jc w:val="both"/>
        <w:rPr>
          <w:rStyle w:val="Bodytext1"/>
          <w:rFonts w:ascii="Times New Roman" w:eastAsiaTheme="minorEastAsia" w:hAnsi="Times New Roman"/>
          <w:noProof/>
          <w:sz w:val="24"/>
          <w:szCs w:val="24"/>
          <w:lang w:eastAsia="en-GB"/>
        </w:rPr>
      </w:pPr>
      <w:r w:rsidRPr="001E3C9B">
        <w:rPr>
          <w:rStyle w:val="Bodytext1"/>
          <w:rFonts w:ascii="Times New Roman" w:eastAsiaTheme="minorEastAsia" w:hAnsi="Times New Roman"/>
          <w:noProof/>
          <w:sz w:val="24"/>
          <w:szCs w:val="24"/>
          <w:lang w:eastAsia="en-GB"/>
        </w:rPr>
        <w:t>A</w:t>
      </w:r>
      <w:r w:rsidR="00B379A9" w:rsidRPr="001E3C9B">
        <w:rPr>
          <w:rStyle w:val="Bodytext1"/>
          <w:rFonts w:ascii="Times New Roman" w:eastAsiaTheme="minorEastAsia" w:hAnsi="Times New Roman"/>
          <w:noProof/>
          <w:sz w:val="24"/>
          <w:szCs w:val="24"/>
          <w:lang w:eastAsia="en-GB"/>
        </w:rPr>
        <w:t xml:space="preserve"> multidisciplinary approach should be further encouraged</w:t>
      </w:r>
      <w:r w:rsidRPr="001E3C9B">
        <w:rPr>
          <w:rStyle w:val="Bodytext1"/>
          <w:rFonts w:ascii="Times New Roman" w:eastAsiaTheme="minorEastAsia" w:hAnsi="Times New Roman"/>
          <w:noProof/>
          <w:sz w:val="24"/>
          <w:szCs w:val="24"/>
          <w:lang w:eastAsia="en-GB"/>
        </w:rPr>
        <w:t xml:space="preserve"> in radiation protection</w:t>
      </w:r>
      <w:r w:rsidR="00B379A9" w:rsidRPr="001E3C9B">
        <w:rPr>
          <w:rStyle w:val="Bodytext1"/>
          <w:rFonts w:ascii="Times New Roman" w:eastAsiaTheme="minorEastAsia" w:hAnsi="Times New Roman"/>
          <w:noProof/>
          <w:sz w:val="24"/>
          <w:szCs w:val="24"/>
          <w:lang w:eastAsia="en-GB"/>
        </w:rPr>
        <w:t xml:space="preserve">. Euratom </w:t>
      </w:r>
      <w:r w:rsidR="00684BA5" w:rsidRPr="001E3C9B">
        <w:rPr>
          <w:rStyle w:val="Bodytext1"/>
          <w:rFonts w:ascii="Times New Roman" w:eastAsiaTheme="minorEastAsia" w:hAnsi="Times New Roman"/>
          <w:noProof/>
          <w:sz w:val="24"/>
          <w:szCs w:val="24"/>
          <w:lang w:eastAsia="en-GB"/>
        </w:rPr>
        <w:t xml:space="preserve">should increase </w:t>
      </w:r>
      <w:r w:rsidR="001B282C">
        <w:rPr>
          <w:rStyle w:val="Bodytext1"/>
          <w:rFonts w:ascii="Times New Roman" w:eastAsiaTheme="minorEastAsia" w:hAnsi="Times New Roman"/>
          <w:noProof/>
          <w:sz w:val="24"/>
          <w:szCs w:val="24"/>
          <w:lang w:eastAsia="en-GB"/>
        </w:rPr>
        <w:t xml:space="preserve">its </w:t>
      </w:r>
      <w:r w:rsidR="00684BA5" w:rsidRPr="001E3C9B">
        <w:rPr>
          <w:rStyle w:val="Bodytext1"/>
          <w:rFonts w:ascii="Times New Roman" w:eastAsiaTheme="minorEastAsia" w:hAnsi="Times New Roman"/>
          <w:noProof/>
          <w:sz w:val="24"/>
          <w:szCs w:val="24"/>
          <w:lang w:eastAsia="en-GB"/>
        </w:rPr>
        <w:t xml:space="preserve">coverage </w:t>
      </w:r>
      <w:r w:rsidR="000832A6" w:rsidRPr="001E3C9B">
        <w:rPr>
          <w:rStyle w:val="Bodytext1"/>
          <w:rFonts w:ascii="Times New Roman" w:eastAsiaTheme="minorEastAsia" w:hAnsi="Times New Roman"/>
          <w:noProof/>
          <w:sz w:val="24"/>
          <w:szCs w:val="24"/>
          <w:lang w:eastAsia="en-GB"/>
        </w:rPr>
        <w:t>of</w:t>
      </w:r>
      <w:r w:rsidR="00684BA5" w:rsidRPr="001E3C9B">
        <w:rPr>
          <w:rStyle w:val="Bodytext1"/>
          <w:rFonts w:ascii="Times New Roman" w:eastAsiaTheme="minorEastAsia" w:hAnsi="Times New Roman"/>
          <w:noProof/>
          <w:sz w:val="24"/>
          <w:szCs w:val="24"/>
          <w:lang w:eastAsia="en-GB"/>
        </w:rPr>
        <w:t xml:space="preserve"> a broader spectrum of scientific questions, not only </w:t>
      </w:r>
      <w:r w:rsidR="00B102F3">
        <w:rPr>
          <w:rStyle w:val="Bodytext1"/>
          <w:rFonts w:ascii="Times New Roman" w:eastAsiaTheme="minorEastAsia" w:hAnsi="Times New Roman"/>
          <w:noProof/>
          <w:sz w:val="24"/>
          <w:szCs w:val="24"/>
          <w:lang w:eastAsia="en-GB"/>
        </w:rPr>
        <w:t xml:space="preserve">on </w:t>
      </w:r>
      <w:r w:rsidR="00684BA5" w:rsidRPr="001E3C9B">
        <w:rPr>
          <w:rStyle w:val="Bodytext1"/>
          <w:rFonts w:ascii="Times New Roman" w:eastAsiaTheme="minorEastAsia" w:hAnsi="Times New Roman"/>
          <w:noProof/>
          <w:sz w:val="24"/>
          <w:szCs w:val="24"/>
          <w:lang w:eastAsia="en-GB"/>
        </w:rPr>
        <w:t>low</w:t>
      </w:r>
      <w:r w:rsidR="00B102F3">
        <w:rPr>
          <w:rStyle w:val="Bodytext1"/>
          <w:rFonts w:ascii="Times New Roman" w:eastAsiaTheme="minorEastAsia" w:hAnsi="Times New Roman"/>
          <w:noProof/>
          <w:sz w:val="24"/>
          <w:szCs w:val="24"/>
          <w:lang w:eastAsia="en-GB"/>
        </w:rPr>
        <w:t>-</w:t>
      </w:r>
      <w:r w:rsidR="00684BA5" w:rsidRPr="001E3C9B">
        <w:rPr>
          <w:rStyle w:val="Bodytext1"/>
          <w:rFonts w:ascii="Times New Roman" w:eastAsiaTheme="minorEastAsia" w:hAnsi="Times New Roman"/>
          <w:noProof/>
          <w:sz w:val="24"/>
          <w:szCs w:val="24"/>
          <w:lang w:eastAsia="en-GB"/>
        </w:rPr>
        <w:t xml:space="preserve">dose risks but also </w:t>
      </w:r>
      <w:r w:rsidR="00B102F3">
        <w:rPr>
          <w:rStyle w:val="Bodytext1"/>
          <w:rFonts w:ascii="Times New Roman" w:eastAsiaTheme="minorEastAsia" w:hAnsi="Times New Roman"/>
          <w:noProof/>
          <w:sz w:val="24"/>
          <w:szCs w:val="24"/>
          <w:lang w:eastAsia="en-GB"/>
        </w:rPr>
        <w:t xml:space="preserve">on </w:t>
      </w:r>
      <w:r w:rsidR="00684BA5" w:rsidRPr="001E3C9B">
        <w:rPr>
          <w:rStyle w:val="Bodytext1"/>
          <w:rFonts w:ascii="Times New Roman" w:eastAsiaTheme="minorEastAsia" w:hAnsi="Times New Roman"/>
          <w:noProof/>
          <w:sz w:val="24"/>
          <w:szCs w:val="24"/>
          <w:lang w:eastAsia="en-GB"/>
        </w:rPr>
        <w:t xml:space="preserve">several </w:t>
      </w:r>
      <w:r w:rsidR="00BF5DF9" w:rsidRPr="001E3C9B">
        <w:rPr>
          <w:rStyle w:val="Bodytext1"/>
          <w:rFonts w:ascii="Times New Roman" w:eastAsiaTheme="minorEastAsia" w:hAnsi="Times New Roman"/>
          <w:noProof/>
          <w:sz w:val="24"/>
          <w:szCs w:val="24"/>
          <w:lang w:eastAsia="en-GB"/>
        </w:rPr>
        <w:t xml:space="preserve">other </w:t>
      </w:r>
      <w:r w:rsidR="00684BA5" w:rsidRPr="001E3C9B">
        <w:rPr>
          <w:rStyle w:val="Bodytext1"/>
          <w:rFonts w:ascii="Times New Roman" w:eastAsiaTheme="minorEastAsia" w:hAnsi="Times New Roman"/>
          <w:noProof/>
          <w:sz w:val="24"/>
          <w:szCs w:val="24"/>
          <w:lang w:eastAsia="en-GB"/>
        </w:rPr>
        <w:t>questions related to planned, existing and emergency exposure situations</w:t>
      </w:r>
      <w:r w:rsidR="002D00B2" w:rsidRPr="001E3C9B">
        <w:rPr>
          <w:rStyle w:val="Bodytext1"/>
          <w:rFonts w:ascii="Times New Roman" w:eastAsiaTheme="minorEastAsia" w:hAnsi="Times New Roman"/>
          <w:noProof/>
          <w:sz w:val="24"/>
          <w:szCs w:val="24"/>
          <w:lang w:eastAsia="en-GB"/>
        </w:rPr>
        <w:t>.</w:t>
      </w:r>
    </w:p>
    <w:p w14:paraId="0BC63160" w14:textId="0CCAF6C8" w:rsidR="00320547" w:rsidRPr="001E3C9B" w:rsidRDefault="00637876" w:rsidP="00F658D0">
      <w:pPr>
        <w:ind w:left="360"/>
        <w:jc w:val="both"/>
        <w:rPr>
          <w:noProof/>
          <w:sz w:val="24"/>
          <w:szCs w:val="24"/>
        </w:rPr>
      </w:pPr>
      <w:r w:rsidRPr="001E3C9B">
        <w:rPr>
          <w:rStyle w:val="Bodytext1"/>
          <w:rFonts w:ascii="Times New Roman" w:eastAsiaTheme="minorEastAsia" w:hAnsi="Times New Roman"/>
          <w:noProof/>
          <w:sz w:val="24"/>
          <w:szCs w:val="24"/>
          <w:u w:val="single"/>
          <w:lang w:eastAsia="en-GB"/>
        </w:rPr>
        <w:t>Commission’s response</w:t>
      </w:r>
      <w:r w:rsidRPr="001E3C9B">
        <w:rPr>
          <w:rStyle w:val="Bodytext1"/>
          <w:rFonts w:ascii="Times New Roman" w:eastAsiaTheme="minorEastAsia" w:hAnsi="Times New Roman"/>
          <w:noProof/>
          <w:sz w:val="24"/>
          <w:szCs w:val="24"/>
          <w:lang w:eastAsia="en-GB"/>
        </w:rPr>
        <w:t>:</w:t>
      </w:r>
      <w:r w:rsidR="00320547" w:rsidRPr="001E3C9B">
        <w:rPr>
          <w:rFonts w:ascii="Times New Roman" w:hAnsi="Times New Roman" w:cs="Times New Roman"/>
          <w:noProof/>
          <w:sz w:val="24"/>
          <w:szCs w:val="24"/>
        </w:rPr>
        <w:t xml:space="preserve"> </w:t>
      </w:r>
      <w:r w:rsidR="0023079B" w:rsidRPr="001E3C9B">
        <w:rPr>
          <w:rFonts w:ascii="Times New Roman" w:hAnsi="Times New Roman" w:cs="Times New Roman"/>
          <w:noProof/>
          <w:sz w:val="24"/>
          <w:szCs w:val="24"/>
        </w:rPr>
        <w:t>t</w:t>
      </w:r>
      <w:r w:rsidR="00320547" w:rsidRPr="001E3C9B">
        <w:rPr>
          <w:rFonts w:ascii="Times New Roman" w:hAnsi="Times New Roman" w:cs="Times New Roman"/>
          <w:noProof/>
          <w:sz w:val="24"/>
          <w:szCs w:val="24"/>
        </w:rPr>
        <w:t xml:space="preserve">he Commission has tasked </w:t>
      </w:r>
      <w:r w:rsidR="0023079B" w:rsidRPr="001E3C9B">
        <w:rPr>
          <w:rFonts w:ascii="Times New Roman" w:hAnsi="Times New Roman" w:cs="Times New Roman"/>
          <w:noProof/>
          <w:sz w:val="24"/>
          <w:szCs w:val="24"/>
        </w:rPr>
        <w:t xml:space="preserve">PIANOFORTE, a new co-funded European </w:t>
      </w:r>
      <w:r w:rsidR="001B282C">
        <w:rPr>
          <w:rFonts w:ascii="Times New Roman" w:hAnsi="Times New Roman" w:cs="Times New Roman"/>
          <w:noProof/>
          <w:sz w:val="24"/>
          <w:szCs w:val="24"/>
        </w:rPr>
        <w:t>p</w:t>
      </w:r>
      <w:r w:rsidR="0023079B" w:rsidRPr="001E3C9B">
        <w:rPr>
          <w:rFonts w:ascii="Times New Roman" w:hAnsi="Times New Roman" w:cs="Times New Roman"/>
          <w:noProof/>
          <w:sz w:val="24"/>
          <w:szCs w:val="24"/>
        </w:rPr>
        <w:t>artnership in radiation protection</w:t>
      </w:r>
      <w:r w:rsidR="00F80C23" w:rsidRPr="001E3C9B">
        <w:rPr>
          <w:rFonts w:ascii="Times New Roman" w:hAnsi="Times New Roman" w:cs="Times New Roman"/>
          <w:noProof/>
          <w:sz w:val="24"/>
          <w:szCs w:val="24"/>
        </w:rPr>
        <w:t>,</w:t>
      </w:r>
      <w:r w:rsidR="00320547" w:rsidRPr="001E3C9B">
        <w:rPr>
          <w:rFonts w:ascii="Times New Roman" w:hAnsi="Times New Roman" w:cs="Times New Roman"/>
          <w:noProof/>
          <w:sz w:val="24"/>
          <w:szCs w:val="24"/>
        </w:rPr>
        <w:t xml:space="preserve"> with adopting a comprehensive, multidisciplinary approach to research and innovation in this field</w:t>
      </w:r>
      <w:r w:rsidR="0023079B" w:rsidRPr="001E3C9B">
        <w:rPr>
          <w:rFonts w:ascii="Times New Roman" w:hAnsi="Times New Roman" w:cs="Times New Roman"/>
          <w:noProof/>
          <w:sz w:val="24"/>
          <w:szCs w:val="24"/>
        </w:rPr>
        <w:t xml:space="preserve"> under the 2021-2025 </w:t>
      </w:r>
      <w:r w:rsidR="001B282C">
        <w:rPr>
          <w:rFonts w:ascii="Times New Roman" w:hAnsi="Times New Roman" w:cs="Times New Roman"/>
          <w:noProof/>
          <w:sz w:val="24"/>
          <w:szCs w:val="24"/>
        </w:rPr>
        <w:t>p</w:t>
      </w:r>
      <w:r w:rsidR="0023079B" w:rsidRPr="001E3C9B">
        <w:rPr>
          <w:rFonts w:ascii="Times New Roman" w:hAnsi="Times New Roman" w:cs="Times New Roman"/>
          <w:noProof/>
          <w:sz w:val="24"/>
          <w:szCs w:val="24"/>
        </w:rPr>
        <w:t>rogramme</w:t>
      </w:r>
      <w:r w:rsidR="00320547" w:rsidRPr="001E3C9B">
        <w:rPr>
          <w:rFonts w:ascii="Times New Roman" w:hAnsi="Times New Roman" w:cs="Times New Roman"/>
          <w:noProof/>
          <w:sz w:val="24"/>
          <w:szCs w:val="24"/>
        </w:rPr>
        <w:t>. PIANOFORTE</w:t>
      </w:r>
      <w:r w:rsidR="001B282C">
        <w:rPr>
          <w:rFonts w:ascii="Times New Roman" w:hAnsi="Times New Roman" w:cs="Times New Roman"/>
          <w:noProof/>
          <w:sz w:val="24"/>
          <w:szCs w:val="24"/>
        </w:rPr>
        <w:t>’</w:t>
      </w:r>
      <w:r w:rsidR="00320547" w:rsidRPr="001E3C9B">
        <w:rPr>
          <w:rFonts w:ascii="Times New Roman" w:hAnsi="Times New Roman" w:cs="Times New Roman"/>
          <w:noProof/>
          <w:sz w:val="24"/>
          <w:szCs w:val="24"/>
        </w:rPr>
        <w:t xml:space="preserve">s calls for proposals confirm this approach, </w:t>
      </w:r>
      <w:r w:rsidR="001B282C">
        <w:rPr>
          <w:rFonts w:ascii="Times New Roman" w:hAnsi="Times New Roman" w:cs="Times New Roman"/>
          <w:noProof/>
          <w:sz w:val="24"/>
          <w:szCs w:val="24"/>
        </w:rPr>
        <w:t xml:space="preserve">by </w:t>
      </w:r>
      <w:r w:rsidR="00320547" w:rsidRPr="001E3C9B">
        <w:rPr>
          <w:rFonts w:ascii="Times New Roman" w:hAnsi="Times New Roman" w:cs="Times New Roman"/>
          <w:noProof/>
          <w:sz w:val="24"/>
          <w:szCs w:val="24"/>
        </w:rPr>
        <w:t xml:space="preserve">including </w:t>
      </w:r>
      <w:r w:rsidR="001B282C">
        <w:rPr>
          <w:rFonts w:ascii="Times New Roman" w:hAnsi="Times New Roman" w:cs="Times New Roman"/>
          <w:noProof/>
          <w:sz w:val="24"/>
          <w:szCs w:val="24"/>
        </w:rPr>
        <w:t xml:space="preserve">calls on issues such as </w:t>
      </w:r>
      <w:r w:rsidR="00320547" w:rsidRPr="001E3C9B">
        <w:rPr>
          <w:rFonts w:ascii="Times New Roman" w:hAnsi="Times New Roman" w:cs="Times New Roman"/>
          <w:noProof/>
          <w:sz w:val="24"/>
          <w:szCs w:val="24"/>
        </w:rPr>
        <w:t xml:space="preserve">threats arising from war, armed conflict, natural disasters, </w:t>
      </w:r>
      <w:r w:rsidR="001B282C">
        <w:rPr>
          <w:rFonts w:ascii="Times New Roman" w:hAnsi="Times New Roman" w:cs="Times New Roman"/>
          <w:noProof/>
          <w:sz w:val="24"/>
          <w:szCs w:val="24"/>
        </w:rPr>
        <w:t xml:space="preserve">and </w:t>
      </w:r>
      <w:r w:rsidR="00320547" w:rsidRPr="001E3C9B">
        <w:rPr>
          <w:rFonts w:ascii="Times New Roman" w:hAnsi="Times New Roman" w:cs="Times New Roman"/>
          <w:noProof/>
          <w:sz w:val="24"/>
          <w:szCs w:val="24"/>
        </w:rPr>
        <w:t xml:space="preserve">emergency preparedness and response for novel nuclear technologies. The Programme’s interim evaluation will assess these actions and provide further guidance for future Euratom support for the </w:t>
      </w:r>
      <w:r w:rsidR="001B282C">
        <w:rPr>
          <w:rFonts w:ascii="Times New Roman" w:hAnsi="Times New Roman" w:cs="Times New Roman"/>
          <w:noProof/>
          <w:sz w:val="24"/>
          <w:szCs w:val="24"/>
        </w:rPr>
        <w:t>p</w:t>
      </w:r>
      <w:r w:rsidR="00320547" w:rsidRPr="001E3C9B">
        <w:rPr>
          <w:rFonts w:ascii="Times New Roman" w:hAnsi="Times New Roman" w:cs="Times New Roman"/>
          <w:noProof/>
          <w:sz w:val="24"/>
          <w:szCs w:val="24"/>
        </w:rPr>
        <w:t>artnership.</w:t>
      </w:r>
    </w:p>
    <w:p w14:paraId="64E5DDE3" w14:textId="3A673F4B" w:rsidR="00765CA3" w:rsidRPr="001E3C9B" w:rsidRDefault="00BF5DF9" w:rsidP="000B12D4">
      <w:pPr>
        <w:pStyle w:val="Bodytext10"/>
        <w:numPr>
          <w:ilvl w:val="0"/>
          <w:numId w:val="40"/>
        </w:numPr>
        <w:spacing w:after="160" w:line="256" w:lineRule="auto"/>
        <w:jc w:val="both"/>
        <w:rPr>
          <w:rStyle w:val="Bodytext1"/>
          <w:rFonts w:ascii="Times New Roman" w:eastAsiaTheme="minorEastAsia" w:hAnsi="Times New Roman"/>
          <w:noProof/>
          <w:sz w:val="24"/>
          <w:szCs w:val="24"/>
          <w:lang w:eastAsia="en-GB"/>
        </w:rPr>
      </w:pPr>
      <w:r w:rsidRPr="001E3C9B">
        <w:rPr>
          <w:rStyle w:val="Bodytext1"/>
          <w:rFonts w:ascii="Times New Roman" w:eastAsiaTheme="minorEastAsia" w:hAnsi="Times New Roman"/>
          <w:noProof/>
          <w:sz w:val="24"/>
          <w:szCs w:val="24"/>
          <w:lang w:val="mt-MT" w:eastAsia="en-GB"/>
        </w:rPr>
        <w:t xml:space="preserve">The </w:t>
      </w:r>
      <w:r w:rsidR="000B12D4" w:rsidRPr="001E3C9B">
        <w:rPr>
          <w:rStyle w:val="Bodytext1"/>
          <w:rFonts w:ascii="Times New Roman" w:eastAsiaTheme="minorEastAsia" w:hAnsi="Times New Roman"/>
          <w:noProof/>
          <w:sz w:val="24"/>
          <w:szCs w:val="24"/>
          <w:lang w:eastAsia="en-GB"/>
        </w:rPr>
        <w:t>SRA</w:t>
      </w:r>
      <w:r w:rsidR="009A4E01" w:rsidRPr="001E3C9B">
        <w:rPr>
          <w:rStyle w:val="Bodytext1"/>
          <w:rFonts w:ascii="Times New Roman" w:eastAsiaTheme="minorEastAsia" w:hAnsi="Times New Roman"/>
          <w:noProof/>
          <w:sz w:val="24"/>
          <w:szCs w:val="24"/>
          <w:lang w:eastAsia="en-GB"/>
        </w:rPr>
        <w:t xml:space="preserve"> in the field of medical applications of ionising radiation and related radiation protection</w:t>
      </w:r>
      <w:r w:rsidR="000B12D4" w:rsidRPr="001E3C9B">
        <w:rPr>
          <w:rStyle w:val="Bodytext1"/>
          <w:rFonts w:ascii="Times New Roman" w:eastAsiaTheme="minorEastAsia" w:hAnsi="Times New Roman"/>
          <w:noProof/>
          <w:sz w:val="24"/>
          <w:szCs w:val="24"/>
          <w:lang w:eastAsia="en-GB"/>
        </w:rPr>
        <w:t>, prepared together with</w:t>
      </w:r>
      <w:r w:rsidR="009A4E01" w:rsidRPr="001E3C9B">
        <w:rPr>
          <w:rStyle w:val="Bodytext1"/>
          <w:rFonts w:ascii="Times New Roman" w:eastAsiaTheme="minorEastAsia" w:hAnsi="Times New Roman"/>
          <w:noProof/>
          <w:sz w:val="24"/>
          <w:szCs w:val="24"/>
          <w:lang w:eastAsia="en-GB"/>
        </w:rPr>
        <w:t> a corresponding roadmap</w:t>
      </w:r>
      <w:r w:rsidR="000B12D4" w:rsidRPr="001E3C9B">
        <w:rPr>
          <w:rStyle w:val="Bodytext1"/>
          <w:rFonts w:ascii="Times New Roman" w:eastAsiaTheme="minorEastAsia" w:hAnsi="Times New Roman"/>
          <w:noProof/>
          <w:sz w:val="24"/>
          <w:szCs w:val="24"/>
          <w:lang w:eastAsia="en-GB"/>
        </w:rPr>
        <w:t xml:space="preserve"> by </w:t>
      </w:r>
      <w:r w:rsidRPr="001E3C9B">
        <w:rPr>
          <w:rStyle w:val="Bodytext1"/>
          <w:rFonts w:ascii="Times New Roman" w:eastAsiaTheme="minorEastAsia" w:hAnsi="Times New Roman"/>
          <w:noProof/>
          <w:sz w:val="24"/>
          <w:szCs w:val="24"/>
          <w:lang w:val="mt-MT" w:eastAsia="en-GB"/>
        </w:rPr>
        <w:t xml:space="preserve">the </w:t>
      </w:r>
      <w:r w:rsidR="000B12D4" w:rsidRPr="001E3C9B">
        <w:rPr>
          <w:rStyle w:val="Bodytext1"/>
          <w:rFonts w:ascii="Times New Roman" w:eastAsiaTheme="minorEastAsia" w:hAnsi="Times New Roman"/>
          <w:noProof/>
          <w:sz w:val="24"/>
          <w:szCs w:val="24"/>
          <w:lang w:eastAsia="en-GB"/>
        </w:rPr>
        <w:t>EURAMED rocc-n-roll project</w:t>
      </w:r>
      <w:r w:rsidRPr="001E3C9B">
        <w:rPr>
          <w:rStyle w:val="Bodytext1"/>
          <w:rFonts w:ascii="Times New Roman" w:eastAsiaTheme="minorEastAsia" w:hAnsi="Times New Roman"/>
          <w:noProof/>
          <w:sz w:val="24"/>
          <w:szCs w:val="24"/>
          <w:lang w:val="mt-MT" w:eastAsia="en-GB"/>
        </w:rPr>
        <w:t>,</w:t>
      </w:r>
      <w:r w:rsidR="000B12D4" w:rsidRPr="001E3C9B">
        <w:rPr>
          <w:rStyle w:val="Bodytext1"/>
          <w:rFonts w:ascii="Times New Roman" w:eastAsiaTheme="minorEastAsia" w:hAnsi="Times New Roman"/>
          <w:noProof/>
          <w:sz w:val="24"/>
          <w:szCs w:val="24"/>
          <w:lang w:eastAsia="en-GB"/>
        </w:rPr>
        <w:t xml:space="preserve"> provides </w:t>
      </w:r>
      <w:r w:rsidR="00765CA3" w:rsidRPr="001E3C9B">
        <w:rPr>
          <w:rStyle w:val="Bodytext1"/>
          <w:rFonts w:ascii="Times New Roman" w:eastAsiaTheme="minorEastAsia" w:hAnsi="Times New Roman"/>
          <w:noProof/>
          <w:sz w:val="24"/>
          <w:szCs w:val="24"/>
          <w:lang w:eastAsia="en-GB"/>
        </w:rPr>
        <w:t>an excellent basis for future state-of-the-art calls. SRA</w:t>
      </w:r>
      <w:r w:rsidR="00A4360B" w:rsidRPr="001E3C9B">
        <w:rPr>
          <w:rStyle w:val="Bodytext1"/>
          <w:rFonts w:ascii="Times New Roman" w:eastAsiaTheme="minorEastAsia" w:hAnsi="Times New Roman"/>
          <w:noProof/>
          <w:sz w:val="24"/>
          <w:szCs w:val="24"/>
          <w:lang w:eastAsia="en-GB"/>
        </w:rPr>
        <w:t>s</w:t>
      </w:r>
      <w:r w:rsidR="00765CA3" w:rsidRPr="001E3C9B">
        <w:rPr>
          <w:rStyle w:val="Bodytext1"/>
          <w:rFonts w:ascii="Times New Roman" w:eastAsiaTheme="minorEastAsia" w:hAnsi="Times New Roman"/>
          <w:noProof/>
          <w:sz w:val="24"/>
          <w:szCs w:val="24"/>
          <w:lang w:eastAsia="en-GB"/>
        </w:rPr>
        <w:t xml:space="preserve"> should be </w:t>
      </w:r>
      <w:r w:rsidRPr="001E3C9B">
        <w:rPr>
          <w:rStyle w:val="Bodytext1"/>
          <w:rFonts w:ascii="Times New Roman" w:eastAsiaTheme="minorEastAsia" w:hAnsi="Times New Roman"/>
          <w:noProof/>
          <w:sz w:val="24"/>
          <w:szCs w:val="24"/>
          <w:lang w:eastAsia="en-GB"/>
        </w:rPr>
        <w:t xml:space="preserve">systematically </w:t>
      </w:r>
      <w:r w:rsidR="00765CA3" w:rsidRPr="001E3C9B">
        <w:rPr>
          <w:rStyle w:val="Bodytext1"/>
          <w:rFonts w:ascii="Times New Roman" w:eastAsiaTheme="minorEastAsia" w:hAnsi="Times New Roman"/>
          <w:noProof/>
          <w:sz w:val="24"/>
          <w:szCs w:val="24"/>
          <w:lang w:eastAsia="en-GB"/>
        </w:rPr>
        <w:t>developed in all areas</w:t>
      </w:r>
      <w:r w:rsidRPr="001E3C9B">
        <w:rPr>
          <w:rStyle w:val="Bodytext1"/>
          <w:rFonts w:ascii="Times New Roman" w:eastAsiaTheme="minorEastAsia" w:hAnsi="Times New Roman"/>
          <w:noProof/>
          <w:sz w:val="24"/>
          <w:szCs w:val="24"/>
          <w:lang w:val="mt-MT" w:eastAsia="en-GB"/>
        </w:rPr>
        <w:t xml:space="preserve"> of</w:t>
      </w:r>
      <w:r w:rsidR="00765CA3" w:rsidRPr="001E3C9B">
        <w:rPr>
          <w:rStyle w:val="Bodytext1"/>
          <w:rFonts w:ascii="Times New Roman" w:eastAsiaTheme="minorEastAsia" w:hAnsi="Times New Roman"/>
          <w:noProof/>
          <w:sz w:val="24"/>
          <w:szCs w:val="24"/>
          <w:lang w:eastAsia="en-GB"/>
        </w:rPr>
        <w:t xml:space="preserve"> planned, existing and emergency exposure situations. The </w:t>
      </w:r>
      <w:r w:rsidR="00B760E5">
        <w:rPr>
          <w:rStyle w:val="Bodytext1"/>
          <w:rFonts w:ascii="Times New Roman" w:eastAsiaTheme="minorEastAsia" w:hAnsi="Times New Roman"/>
          <w:noProof/>
          <w:sz w:val="24"/>
          <w:szCs w:val="24"/>
          <w:lang w:eastAsia="en-GB"/>
        </w:rPr>
        <w:t>joint</w:t>
      </w:r>
      <w:r w:rsidR="00765CA3" w:rsidRPr="001E3C9B">
        <w:rPr>
          <w:rStyle w:val="Bodytext1"/>
          <w:rFonts w:ascii="Times New Roman" w:eastAsiaTheme="minorEastAsia" w:hAnsi="Times New Roman"/>
          <w:noProof/>
          <w:sz w:val="24"/>
          <w:szCs w:val="24"/>
          <w:lang w:eastAsia="en-GB"/>
        </w:rPr>
        <w:t xml:space="preserve"> roadmap for radiation protection </w:t>
      </w:r>
      <w:r w:rsidR="000B12D4" w:rsidRPr="001E3C9B">
        <w:rPr>
          <w:rStyle w:val="Bodytext1"/>
          <w:rFonts w:ascii="Times New Roman" w:eastAsiaTheme="minorEastAsia" w:hAnsi="Times New Roman"/>
          <w:noProof/>
          <w:sz w:val="24"/>
          <w:szCs w:val="24"/>
          <w:lang w:eastAsia="en-GB"/>
        </w:rPr>
        <w:t>prepared by CONCERT EJP</w:t>
      </w:r>
      <w:r w:rsidR="00765CA3" w:rsidRPr="001E3C9B">
        <w:rPr>
          <w:rStyle w:val="Bodytext1"/>
          <w:rFonts w:ascii="Times New Roman" w:eastAsiaTheme="minorEastAsia" w:hAnsi="Times New Roman"/>
          <w:noProof/>
          <w:sz w:val="24"/>
          <w:szCs w:val="24"/>
          <w:lang w:eastAsia="en-GB"/>
        </w:rPr>
        <w:t xml:space="preserve"> might be </w:t>
      </w:r>
      <w:r w:rsidR="00334B7F">
        <w:rPr>
          <w:rStyle w:val="Bodytext1"/>
          <w:rFonts w:ascii="Times New Roman" w:eastAsiaTheme="minorEastAsia" w:hAnsi="Times New Roman"/>
          <w:noProof/>
          <w:sz w:val="24"/>
          <w:szCs w:val="24"/>
          <w:lang w:eastAsia="en-GB"/>
        </w:rPr>
        <w:t>a</w:t>
      </w:r>
      <w:r w:rsidR="00334B7F" w:rsidRPr="001E3C9B">
        <w:rPr>
          <w:rStyle w:val="Bodytext1"/>
          <w:rFonts w:ascii="Times New Roman" w:eastAsiaTheme="minorEastAsia" w:hAnsi="Times New Roman"/>
          <w:noProof/>
          <w:sz w:val="24"/>
          <w:szCs w:val="24"/>
          <w:lang w:eastAsia="en-GB"/>
        </w:rPr>
        <w:t xml:space="preserve"> </w:t>
      </w:r>
      <w:r w:rsidR="000B12D4" w:rsidRPr="001E3C9B">
        <w:rPr>
          <w:rStyle w:val="Bodytext1"/>
          <w:rFonts w:ascii="Times New Roman" w:eastAsiaTheme="minorEastAsia" w:hAnsi="Times New Roman"/>
          <w:noProof/>
          <w:sz w:val="24"/>
          <w:szCs w:val="24"/>
          <w:lang w:eastAsia="en-GB"/>
        </w:rPr>
        <w:t>good</w:t>
      </w:r>
      <w:r w:rsidR="00765CA3" w:rsidRPr="001E3C9B">
        <w:rPr>
          <w:rStyle w:val="Bodytext1"/>
          <w:rFonts w:ascii="Times New Roman" w:eastAsiaTheme="minorEastAsia" w:hAnsi="Times New Roman"/>
          <w:noProof/>
          <w:sz w:val="24"/>
          <w:szCs w:val="24"/>
          <w:lang w:eastAsia="en-GB"/>
        </w:rPr>
        <w:t xml:space="preserve"> starting point. </w:t>
      </w:r>
    </w:p>
    <w:p w14:paraId="7A628C63" w14:textId="4D8F5D6C" w:rsidR="00AB44E9" w:rsidRPr="001E3C9B" w:rsidRDefault="00637876" w:rsidP="00F658D0">
      <w:pPr>
        <w:pStyle w:val="Bodytext10"/>
        <w:spacing w:after="160" w:line="256" w:lineRule="auto"/>
        <w:ind w:left="360"/>
        <w:jc w:val="both"/>
        <w:rPr>
          <w:rStyle w:val="Bodytext1"/>
          <w:rFonts w:ascii="Times New Roman" w:hAnsi="Times New Roman" w:cs="Times New Roman"/>
          <w:noProof/>
          <w:sz w:val="24"/>
          <w:szCs w:val="24"/>
        </w:rPr>
      </w:pPr>
      <w:r w:rsidRPr="001E3C9B">
        <w:rPr>
          <w:rStyle w:val="Bodytext1"/>
          <w:rFonts w:ascii="Times New Roman" w:eastAsiaTheme="minorEastAsia" w:hAnsi="Times New Roman"/>
          <w:noProof/>
          <w:sz w:val="24"/>
          <w:szCs w:val="24"/>
          <w:u w:val="single"/>
          <w:lang w:eastAsia="en-GB"/>
        </w:rPr>
        <w:t>Commission’s response</w:t>
      </w:r>
      <w:r w:rsidRPr="001E3C9B">
        <w:rPr>
          <w:rStyle w:val="Bodytext1"/>
          <w:rFonts w:ascii="Times New Roman" w:eastAsiaTheme="minorEastAsia" w:hAnsi="Times New Roman"/>
          <w:noProof/>
          <w:sz w:val="24"/>
          <w:szCs w:val="24"/>
          <w:lang w:eastAsia="en-GB"/>
        </w:rPr>
        <w:t xml:space="preserve">: </w:t>
      </w:r>
      <w:r w:rsidR="00995072" w:rsidRPr="001E3C9B">
        <w:rPr>
          <w:rStyle w:val="Bodytext1"/>
          <w:rFonts w:ascii="Times New Roman" w:eastAsiaTheme="minorEastAsia" w:hAnsi="Times New Roman"/>
          <w:noProof/>
          <w:sz w:val="24"/>
          <w:szCs w:val="24"/>
          <w:lang w:eastAsia="en-GB"/>
        </w:rPr>
        <w:t xml:space="preserve">with </w:t>
      </w:r>
      <w:r w:rsidR="00CF4043" w:rsidRPr="001E3C9B">
        <w:rPr>
          <w:rStyle w:val="Bodytext1"/>
          <w:rFonts w:ascii="Times New Roman" w:eastAsiaTheme="minorEastAsia" w:hAnsi="Times New Roman"/>
          <w:noProof/>
          <w:sz w:val="24"/>
          <w:szCs w:val="24"/>
          <w:lang w:eastAsia="en-GB"/>
        </w:rPr>
        <w:t xml:space="preserve">the </w:t>
      </w:r>
      <w:r w:rsidR="00F43615" w:rsidRPr="001E3C9B">
        <w:rPr>
          <w:rStyle w:val="Bodytext1"/>
          <w:rFonts w:ascii="Times New Roman" w:eastAsiaTheme="minorEastAsia" w:hAnsi="Times New Roman"/>
          <w:noProof/>
          <w:sz w:val="24"/>
          <w:szCs w:val="24"/>
          <w:lang w:eastAsia="en-GB"/>
        </w:rPr>
        <w:t xml:space="preserve">Euratom grant award and </w:t>
      </w:r>
      <w:r w:rsidR="00CF4043" w:rsidRPr="001E3C9B">
        <w:rPr>
          <w:rStyle w:val="Bodytext1"/>
          <w:rFonts w:ascii="Times New Roman" w:eastAsiaTheme="minorEastAsia" w:hAnsi="Times New Roman"/>
          <w:noProof/>
          <w:sz w:val="24"/>
          <w:szCs w:val="24"/>
          <w:lang w:eastAsia="en-GB"/>
        </w:rPr>
        <w:t xml:space="preserve">establishment of the PIANOFORTE </w:t>
      </w:r>
      <w:r w:rsidR="001B282C">
        <w:rPr>
          <w:rStyle w:val="Bodytext1"/>
          <w:rFonts w:ascii="Times New Roman" w:eastAsiaTheme="minorEastAsia" w:hAnsi="Times New Roman"/>
          <w:noProof/>
          <w:sz w:val="24"/>
          <w:szCs w:val="24"/>
          <w:lang w:eastAsia="en-GB"/>
        </w:rPr>
        <w:t>p</w:t>
      </w:r>
      <w:r w:rsidR="00CF4043" w:rsidRPr="001E3C9B">
        <w:rPr>
          <w:rStyle w:val="Bodytext1"/>
          <w:rFonts w:ascii="Times New Roman" w:eastAsiaTheme="minorEastAsia" w:hAnsi="Times New Roman"/>
          <w:noProof/>
          <w:sz w:val="24"/>
          <w:szCs w:val="24"/>
          <w:lang w:eastAsia="en-GB"/>
        </w:rPr>
        <w:t>artnership in 2022</w:t>
      </w:r>
      <w:r w:rsidR="00995072" w:rsidRPr="001E3C9B">
        <w:rPr>
          <w:rStyle w:val="Bodytext1"/>
          <w:rFonts w:ascii="Times New Roman" w:eastAsiaTheme="minorEastAsia" w:hAnsi="Times New Roman"/>
          <w:noProof/>
          <w:sz w:val="24"/>
          <w:szCs w:val="24"/>
          <w:lang w:eastAsia="en-GB"/>
        </w:rPr>
        <w:t>, a dedicated stakeholder</w:t>
      </w:r>
      <w:r w:rsidR="00CF4043" w:rsidRPr="001E3C9B">
        <w:rPr>
          <w:rStyle w:val="Bodytext1"/>
          <w:rFonts w:ascii="Times New Roman" w:eastAsiaTheme="minorEastAsia" w:hAnsi="Times New Roman"/>
          <w:noProof/>
          <w:sz w:val="24"/>
          <w:szCs w:val="24"/>
          <w:lang w:eastAsia="en-GB"/>
        </w:rPr>
        <w:t>s’</w:t>
      </w:r>
      <w:r w:rsidR="00995072" w:rsidRPr="001E3C9B">
        <w:rPr>
          <w:rStyle w:val="Bodytext1"/>
          <w:rFonts w:ascii="Times New Roman" w:eastAsiaTheme="minorEastAsia" w:hAnsi="Times New Roman"/>
          <w:noProof/>
          <w:sz w:val="24"/>
          <w:szCs w:val="24"/>
          <w:lang w:eastAsia="en-GB"/>
        </w:rPr>
        <w:t xml:space="preserve"> forum exist</w:t>
      </w:r>
      <w:r w:rsidR="00F80C23" w:rsidRPr="001E3C9B">
        <w:rPr>
          <w:rStyle w:val="Bodytext1"/>
          <w:rFonts w:ascii="Times New Roman" w:eastAsiaTheme="minorEastAsia" w:hAnsi="Times New Roman"/>
          <w:noProof/>
          <w:sz w:val="24"/>
          <w:szCs w:val="24"/>
          <w:lang w:eastAsia="en-GB"/>
        </w:rPr>
        <w:t>s</w:t>
      </w:r>
      <w:r w:rsidR="00CF4043" w:rsidRPr="001E3C9B">
        <w:rPr>
          <w:rStyle w:val="Bodytext1"/>
          <w:rFonts w:ascii="Times New Roman" w:eastAsiaTheme="minorEastAsia" w:hAnsi="Times New Roman"/>
          <w:noProof/>
          <w:sz w:val="24"/>
          <w:szCs w:val="24"/>
          <w:lang w:eastAsia="en-GB"/>
        </w:rPr>
        <w:t xml:space="preserve"> today</w:t>
      </w:r>
      <w:r w:rsidR="00995072" w:rsidRPr="001E3C9B">
        <w:rPr>
          <w:rStyle w:val="Bodytext1"/>
          <w:rFonts w:ascii="Times New Roman" w:eastAsiaTheme="minorEastAsia" w:hAnsi="Times New Roman"/>
          <w:noProof/>
          <w:sz w:val="24"/>
          <w:szCs w:val="24"/>
          <w:lang w:eastAsia="en-GB"/>
        </w:rPr>
        <w:t xml:space="preserve"> </w:t>
      </w:r>
      <w:r w:rsidR="00A45F2E" w:rsidRPr="001E3C9B">
        <w:rPr>
          <w:rStyle w:val="Bodytext1"/>
          <w:rFonts w:ascii="Times New Roman" w:eastAsiaTheme="minorEastAsia" w:hAnsi="Times New Roman"/>
          <w:noProof/>
          <w:sz w:val="24"/>
          <w:szCs w:val="24"/>
          <w:lang w:eastAsia="en-GB"/>
        </w:rPr>
        <w:t>to discuss and further develop SRA</w:t>
      </w:r>
      <w:r w:rsidR="00CF4043" w:rsidRPr="001E3C9B">
        <w:rPr>
          <w:rStyle w:val="Bodytext1"/>
          <w:rFonts w:ascii="Times New Roman" w:eastAsiaTheme="minorEastAsia" w:hAnsi="Times New Roman"/>
          <w:noProof/>
          <w:sz w:val="24"/>
          <w:szCs w:val="24"/>
          <w:lang w:eastAsia="en-GB"/>
        </w:rPr>
        <w:t xml:space="preserve">s and research </w:t>
      </w:r>
      <w:r w:rsidR="00A45F2E" w:rsidRPr="001E3C9B">
        <w:rPr>
          <w:rStyle w:val="Bodytext1"/>
          <w:rFonts w:ascii="Times New Roman" w:eastAsiaTheme="minorEastAsia" w:hAnsi="Times New Roman"/>
          <w:noProof/>
          <w:sz w:val="24"/>
          <w:szCs w:val="24"/>
          <w:lang w:eastAsia="en-GB"/>
        </w:rPr>
        <w:t>roadmaps</w:t>
      </w:r>
      <w:r w:rsidR="00CF4043" w:rsidRPr="001E3C9B">
        <w:rPr>
          <w:rStyle w:val="Bodytext1"/>
          <w:rFonts w:ascii="Times New Roman" w:eastAsiaTheme="minorEastAsia" w:hAnsi="Times New Roman"/>
          <w:noProof/>
          <w:sz w:val="24"/>
          <w:szCs w:val="24"/>
          <w:lang w:eastAsia="en-GB"/>
        </w:rPr>
        <w:t xml:space="preserve"> in radiation protection and related fields</w:t>
      </w:r>
      <w:r w:rsidR="00A45F2E" w:rsidRPr="001E3C9B">
        <w:rPr>
          <w:rStyle w:val="Bodytext1"/>
          <w:rFonts w:ascii="Times New Roman" w:eastAsiaTheme="minorEastAsia" w:hAnsi="Times New Roman"/>
          <w:noProof/>
          <w:sz w:val="24"/>
          <w:szCs w:val="24"/>
          <w:lang w:eastAsia="en-GB"/>
        </w:rPr>
        <w:t>.</w:t>
      </w:r>
      <w:r w:rsidR="00CF4043" w:rsidRPr="001E3C9B">
        <w:rPr>
          <w:rStyle w:val="Bodytext1"/>
          <w:rFonts w:ascii="Times New Roman" w:eastAsiaTheme="minorEastAsia" w:hAnsi="Times New Roman"/>
          <w:noProof/>
          <w:sz w:val="24"/>
          <w:szCs w:val="24"/>
          <w:lang w:eastAsia="en-GB"/>
        </w:rPr>
        <w:t xml:space="preserve"> </w:t>
      </w:r>
      <w:r w:rsidR="00F43615" w:rsidRPr="001E3C9B">
        <w:rPr>
          <w:rStyle w:val="Bodytext1"/>
          <w:rFonts w:ascii="Times New Roman" w:eastAsiaTheme="minorEastAsia" w:hAnsi="Times New Roman"/>
          <w:noProof/>
          <w:sz w:val="24"/>
          <w:szCs w:val="24"/>
          <w:lang w:eastAsia="en-GB"/>
        </w:rPr>
        <w:t xml:space="preserve">These documents will </w:t>
      </w:r>
      <w:r w:rsidR="001B282C">
        <w:rPr>
          <w:rStyle w:val="Bodytext1"/>
          <w:rFonts w:ascii="Times New Roman" w:eastAsiaTheme="minorEastAsia" w:hAnsi="Times New Roman"/>
          <w:noProof/>
          <w:sz w:val="24"/>
          <w:szCs w:val="24"/>
          <w:lang w:eastAsia="en-GB"/>
        </w:rPr>
        <w:t xml:space="preserve">both </w:t>
      </w:r>
      <w:r w:rsidR="00F43615" w:rsidRPr="001E3C9B">
        <w:rPr>
          <w:rStyle w:val="Bodytext1"/>
          <w:rFonts w:ascii="Times New Roman" w:eastAsiaTheme="minorEastAsia" w:hAnsi="Times New Roman"/>
          <w:noProof/>
          <w:sz w:val="24"/>
          <w:szCs w:val="24"/>
          <w:lang w:eastAsia="en-GB"/>
        </w:rPr>
        <w:t xml:space="preserve">shape PIANOFORTE actions </w:t>
      </w:r>
      <w:r w:rsidR="001B282C">
        <w:rPr>
          <w:rStyle w:val="Bodytext1"/>
          <w:rFonts w:ascii="Times New Roman" w:eastAsiaTheme="minorEastAsia" w:hAnsi="Times New Roman"/>
          <w:noProof/>
          <w:sz w:val="24"/>
          <w:szCs w:val="24"/>
          <w:lang w:eastAsia="en-GB"/>
        </w:rPr>
        <w:t>and</w:t>
      </w:r>
      <w:r w:rsidR="00F43615" w:rsidRPr="001E3C9B">
        <w:rPr>
          <w:rStyle w:val="Bodytext1"/>
          <w:rFonts w:ascii="Times New Roman" w:eastAsiaTheme="minorEastAsia" w:hAnsi="Times New Roman"/>
          <w:noProof/>
          <w:sz w:val="24"/>
          <w:szCs w:val="24"/>
          <w:lang w:eastAsia="en-GB"/>
        </w:rPr>
        <w:t xml:space="preserve"> inform </w:t>
      </w:r>
      <w:r w:rsidR="001B282C">
        <w:rPr>
          <w:rStyle w:val="Bodytext1"/>
          <w:rFonts w:ascii="Times New Roman" w:eastAsiaTheme="minorEastAsia" w:hAnsi="Times New Roman"/>
          <w:noProof/>
          <w:sz w:val="24"/>
          <w:szCs w:val="24"/>
          <w:lang w:eastAsia="en-GB"/>
        </w:rPr>
        <w:t xml:space="preserve">the </w:t>
      </w:r>
      <w:r w:rsidR="00F43615" w:rsidRPr="001E3C9B">
        <w:rPr>
          <w:rStyle w:val="Bodytext1"/>
          <w:rFonts w:ascii="Times New Roman" w:eastAsiaTheme="minorEastAsia" w:hAnsi="Times New Roman"/>
          <w:noProof/>
          <w:sz w:val="24"/>
          <w:szCs w:val="24"/>
          <w:lang w:eastAsia="en-GB"/>
        </w:rPr>
        <w:t>implementation of</w:t>
      </w:r>
      <w:r w:rsidR="00206AE2" w:rsidRPr="001E3C9B">
        <w:rPr>
          <w:rStyle w:val="Bodytext1"/>
          <w:rFonts w:ascii="Times New Roman" w:eastAsiaTheme="minorEastAsia" w:hAnsi="Times New Roman"/>
          <w:noProof/>
          <w:sz w:val="24"/>
          <w:szCs w:val="24"/>
          <w:lang w:eastAsia="en-GB"/>
        </w:rPr>
        <w:t xml:space="preserve"> other actions under </w:t>
      </w:r>
      <w:r w:rsidR="001B282C">
        <w:rPr>
          <w:rStyle w:val="Bodytext1"/>
          <w:rFonts w:ascii="Times New Roman" w:eastAsiaTheme="minorEastAsia" w:hAnsi="Times New Roman"/>
          <w:noProof/>
          <w:sz w:val="24"/>
          <w:szCs w:val="24"/>
          <w:lang w:eastAsia="en-GB"/>
        </w:rPr>
        <w:t xml:space="preserve">the </w:t>
      </w:r>
      <w:r w:rsidR="00206AE2" w:rsidRPr="001E3C9B">
        <w:rPr>
          <w:rStyle w:val="Bodytext1"/>
          <w:rFonts w:ascii="Times New Roman" w:eastAsiaTheme="minorEastAsia" w:hAnsi="Times New Roman"/>
          <w:noProof/>
          <w:sz w:val="24"/>
          <w:szCs w:val="24"/>
          <w:lang w:eastAsia="en-GB"/>
        </w:rPr>
        <w:t xml:space="preserve">Euratom </w:t>
      </w:r>
      <w:r w:rsidR="001B282C">
        <w:rPr>
          <w:rStyle w:val="Bodytext1"/>
          <w:rFonts w:ascii="Times New Roman" w:eastAsiaTheme="minorEastAsia" w:hAnsi="Times New Roman"/>
          <w:noProof/>
          <w:sz w:val="24"/>
          <w:szCs w:val="24"/>
          <w:lang w:eastAsia="en-GB"/>
        </w:rPr>
        <w:t>p</w:t>
      </w:r>
      <w:r w:rsidR="00206AE2" w:rsidRPr="001E3C9B">
        <w:rPr>
          <w:rStyle w:val="Bodytext1"/>
          <w:rFonts w:ascii="Times New Roman" w:eastAsiaTheme="minorEastAsia" w:hAnsi="Times New Roman"/>
          <w:noProof/>
          <w:sz w:val="24"/>
          <w:szCs w:val="24"/>
          <w:lang w:eastAsia="en-GB"/>
        </w:rPr>
        <w:t>rogramme</w:t>
      </w:r>
      <w:r w:rsidR="00F43615" w:rsidRPr="001E3C9B">
        <w:rPr>
          <w:rStyle w:val="Bodytext1"/>
          <w:rFonts w:ascii="Times New Roman" w:eastAsiaTheme="minorEastAsia" w:hAnsi="Times New Roman"/>
          <w:noProof/>
          <w:sz w:val="24"/>
          <w:szCs w:val="24"/>
          <w:lang w:eastAsia="en-GB"/>
        </w:rPr>
        <w:t xml:space="preserve">. </w:t>
      </w:r>
      <w:r w:rsidR="007208C9" w:rsidRPr="001E3C9B">
        <w:rPr>
          <w:rFonts w:ascii="Times New Roman" w:hAnsi="Times New Roman" w:cs="Times New Roman"/>
          <w:noProof/>
          <w:sz w:val="24"/>
          <w:szCs w:val="24"/>
        </w:rPr>
        <w:t xml:space="preserve">The Programme’s interim evaluation will assess these actions and provide further guidance </w:t>
      </w:r>
      <w:r w:rsidR="001B282C">
        <w:rPr>
          <w:rFonts w:ascii="Times New Roman" w:hAnsi="Times New Roman" w:cs="Times New Roman"/>
          <w:noProof/>
          <w:sz w:val="24"/>
          <w:szCs w:val="24"/>
        </w:rPr>
        <w:t>on</w:t>
      </w:r>
      <w:r w:rsidR="001B282C" w:rsidRPr="001E3C9B">
        <w:rPr>
          <w:rFonts w:ascii="Times New Roman" w:hAnsi="Times New Roman" w:cs="Times New Roman"/>
          <w:noProof/>
          <w:sz w:val="24"/>
          <w:szCs w:val="24"/>
        </w:rPr>
        <w:t xml:space="preserve"> </w:t>
      </w:r>
      <w:r w:rsidR="007208C9" w:rsidRPr="001E3C9B">
        <w:rPr>
          <w:rFonts w:ascii="Times New Roman" w:hAnsi="Times New Roman" w:cs="Times New Roman"/>
          <w:noProof/>
          <w:sz w:val="24"/>
          <w:szCs w:val="24"/>
        </w:rPr>
        <w:t xml:space="preserve">future Euratom support for </w:t>
      </w:r>
      <w:r w:rsidR="00BC788A" w:rsidRPr="001E3C9B">
        <w:rPr>
          <w:rFonts w:ascii="Times New Roman" w:hAnsi="Times New Roman" w:cs="Times New Roman"/>
          <w:noProof/>
          <w:sz w:val="24"/>
          <w:szCs w:val="24"/>
        </w:rPr>
        <w:t>radiation protection</w:t>
      </w:r>
      <w:r w:rsidR="007208C9" w:rsidRPr="001E3C9B">
        <w:rPr>
          <w:rFonts w:ascii="Times New Roman" w:hAnsi="Times New Roman" w:cs="Times New Roman"/>
          <w:noProof/>
          <w:sz w:val="24"/>
          <w:szCs w:val="24"/>
        </w:rPr>
        <w:t>.</w:t>
      </w:r>
    </w:p>
    <w:p w14:paraId="050B4660" w14:textId="657045FA" w:rsidR="00966BBB" w:rsidRPr="001E3C9B" w:rsidRDefault="00966BBB" w:rsidP="004447FE">
      <w:pPr>
        <w:pStyle w:val="Bodytext10"/>
        <w:numPr>
          <w:ilvl w:val="0"/>
          <w:numId w:val="40"/>
        </w:numPr>
        <w:spacing w:after="160" w:line="256" w:lineRule="auto"/>
        <w:jc w:val="both"/>
        <w:rPr>
          <w:rStyle w:val="Bodytext1"/>
          <w:rFonts w:ascii="Times New Roman" w:eastAsiaTheme="minorEastAsia" w:hAnsi="Times New Roman"/>
          <w:noProof/>
          <w:sz w:val="24"/>
          <w:szCs w:val="24"/>
          <w:lang w:eastAsia="en-GB"/>
        </w:rPr>
      </w:pPr>
      <w:r w:rsidRPr="001E3C9B">
        <w:rPr>
          <w:rStyle w:val="Bodytext1"/>
          <w:rFonts w:ascii="Times New Roman" w:eastAsiaTheme="minorEastAsia" w:hAnsi="Times New Roman"/>
          <w:noProof/>
          <w:sz w:val="24"/>
          <w:szCs w:val="24"/>
          <w:lang w:eastAsia="en-GB"/>
        </w:rPr>
        <w:t>EURAD</w:t>
      </w:r>
      <w:r w:rsidR="004447FE" w:rsidRPr="001E3C9B">
        <w:rPr>
          <w:rStyle w:val="Bodytext1"/>
          <w:rFonts w:ascii="Times New Roman" w:eastAsiaTheme="minorEastAsia" w:hAnsi="Times New Roman"/>
          <w:noProof/>
          <w:sz w:val="24"/>
          <w:szCs w:val="24"/>
          <w:lang w:eastAsia="en-GB"/>
        </w:rPr>
        <w:t>’s</w:t>
      </w:r>
      <w:r w:rsidRPr="001E3C9B">
        <w:rPr>
          <w:rStyle w:val="Bodytext1"/>
          <w:rFonts w:ascii="Times New Roman" w:eastAsiaTheme="minorEastAsia" w:hAnsi="Times New Roman"/>
          <w:noProof/>
          <w:sz w:val="24"/>
          <w:szCs w:val="24"/>
          <w:lang w:eastAsia="en-GB"/>
        </w:rPr>
        <w:t xml:space="preserve"> research </w:t>
      </w:r>
      <w:r w:rsidR="004447FE" w:rsidRPr="001E3C9B">
        <w:rPr>
          <w:rStyle w:val="Bodytext1"/>
          <w:rFonts w:ascii="Times New Roman" w:eastAsiaTheme="minorEastAsia" w:hAnsi="Times New Roman"/>
          <w:noProof/>
          <w:sz w:val="24"/>
          <w:szCs w:val="24"/>
          <w:lang w:eastAsia="en-GB"/>
        </w:rPr>
        <w:t>in radioactive</w:t>
      </w:r>
      <w:r w:rsidR="001B282C">
        <w:rPr>
          <w:rStyle w:val="Bodytext1"/>
          <w:rFonts w:ascii="Times New Roman" w:eastAsiaTheme="minorEastAsia" w:hAnsi="Times New Roman"/>
          <w:noProof/>
          <w:sz w:val="24"/>
          <w:szCs w:val="24"/>
          <w:lang w:eastAsia="en-GB"/>
        </w:rPr>
        <w:t>-</w:t>
      </w:r>
      <w:r w:rsidR="004447FE" w:rsidRPr="001E3C9B">
        <w:rPr>
          <w:rStyle w:val="Bodytext1"/>
          <w:rFonts w:ascii="Times New Roman" w:eastAsiaTheme="minorEastAsia" w:hAnsi="Times New Roman"/>
          <w:noProof/>
          <w:sz w:val="24"/>
          <w:szCs w:val="24"/>
          <w:lang w:eastAsia="en-GB"/>
        </w:rPr>
        <w:t>waste management</w:t>
      </w:r>
      <w:r w:rsidRPr="001E3C9B">
        <w:rPr>
          <w:rStyle w:val="Bodytext1"/>
          <w:rFonts w:ascii="Times New Roman" w:eastAsiaTheme="minorEastAsia" w:hAnsi="Times New Roman"/>
          <w:noProof/>
          <w:sz w:val="24"/>
          <w:szCs w:val="24"/>
          <w:lang w:eastAsia="en-GB"/>
        </w:rPr>
        <w:t xml:space="preserve"> </w:t>
      </w:r>
      <w:r w:rsidR="00BF5DF9" w:rsidRPr="001E3C9B">
        <w:rPr>
          <w:rStyle w:val="Bodytext1"/>
          <w:rFonts w:ascii="Times New Roman" w:eastAsiaTheme="minorEastAsia" w:hAnsi="Times New Roman"/>
          <w:noProof/>
          <w:sz w:val="24"/>
          <w:szCs w:val="24"/>
          <w:lang w:val="mt-MT" w:eastAsia="en-GB"/>
        </w:rPr>
        <w:t xml:space="preserve">is the </w:t>
      </w:r>
      <w:r w:rsidRPr="001E3C9B">
        <w:rPr>
          <w:rStyle w:val="Bodytext1"/>
          <w:rFonts w:ascii="Times New Roman" w:eastAsiaTheme="minorEastAsia" w:hAnsi="Times New Roman"/>
          <w:noProof/>
          <w:sz w:val="24"/>
          <w:szCs w:val="24"/>
          <w:lang w:eastAsia="en-GB"/>
        </w:rPr>
        <w:t xml:space="preserve">result </w:t>
      </w:r>
      <w:r w:rsidR="00BF5DF9" w:rsidRPr="001E3C9B">
        <w:rPr>
          <w:rStyle w:val="Bodytext1"/>
          <w:rFonts w:ascii="Times New Roman" w:eastAsiaTheme="minorEastAsia" w:hAnsi="Times New Roman"/>
          <w:noProof/>
          <w:sz w:val="24"/>
          <w:szCs w:val="24"/>
          <w:lang w:val="mt-MT" w:eastAsia="en-GB"/>
        </w:rPr>
        <w:t>of</w:t>
      </w:r>
      <w:r w:rsidRPr="001E3C9B">
        <w:rPr>
          <w:rStyle w:val="Bodytext1"/>
          <w:rFonts w:ascii="Times New Roman" w:eastAsiaTheme="minorEastAsia" w:hAnsi="Times New Roman"/>
          <w:noProof/>
          <w:sz w:val="24"/>
          <w:szCs w:val="24"/>
          <w:lang w:eastAsia="en-GB"/>
        </w:rPr>
        <w:t xml:space="preserve"> a </w:t>
      </w:r>
      <w:r w:rsidR="00BF5DF9" w:rsidRPr="001E3C9B">
        <w:rPr>
          <w:rStyle w:val="Bodytext1"/>
          <w:rFonts w:ascii="Times New Roman" w:eastAsiaTheme="minorEastAsia" w:hAnsi="Times New Roman"/>
          <w:noProof/>
          <w:sz w:val="24"/>
          <w:szCs w:val="24"/>
          <w:lang w:val="mt-MT" w:eastAsia="en-GB"/>
        </w:rPr>
        <w:t xml:space="preserve">joint </w:t>
      </w:r>
      <w:r w:rsidRPr="001E3C9B">
        <w:rPr>
          <w:rStyle w:val="Bodytext1"/>
          <w:rFonts w:ascii="Times New Roman" w:eastAsiaTheme="minorEastAsia" w:hAnsi="Times New Roman"/>
          <w:noProof/>
          <w:sz w:val="24"/>
          <w:szCs w:val="24"/>
          <w:lang w:eastAsia="en-GB"/>
        </w:rPr>
        <w:t xml:space="preserve">decision process between </w:t>
      </w:r>
      <w:r w:rsidR="001B282C">
        <w:rPr>
          <w:rStyle w:val="Bodytext1"/>
          <w:rFonts w:ascii="Times New Roman" w:eastAsiaTheme="minorEastAsia" w:hAnsi="Times New Roman"/>
          <w:noProof/>
          <w:sz w:val="24"/>
          <w:szCs w:val="24"/>
          <w:lang w:eastAsia="en-GB"/>
        </w:rPr>
        <w:t>w</w:t>
      </w:r>
      <w:r w:rsidR="00B05A91" w:rsidRPr="001E3C9B">
        <w:rPr>
          <w:rStyle w:val="Bodytext1"/>
          <w:rFonts w:ascii="Times New Roman" w:eastAsiaTheme="minorEastAsia" w:hAnsi="Times New Roman"/>
          <w:noProof/>
          <w:sz w:val="24"/>
          <w:szCs w:val="24"/>
          <w:lang w:eastAsia="en-GB"/>
        </w:rPr>
        <w:t>aste</w:t>
      </w:r>
      <w:r w:rsidR="00E86DB0">
        <w:rPr>
          <w:rStyle w:val="Bodytext1"/>
          <w:rFonts w:ascii="Times New Roman" w:eastAsiaTheme="minorEastAsia" w:hAnsi="Times New Roman"/>
          <w:noProof/>
          <w:sz w:val="24"/>
          <w:szCs w:val="24"/>
          <w:lang w:eastAsia="en-GB"/>
        </w:rPr>
        <w:t>-management</w:t>
      </w:r>
      <w:r w:rsidR="00B05A91" w:rsidRPr="001E3C9B">
        <w:rPr>
          <w:rStyle w:val="Bodytext1"/>
          <w:rFonts w:ascii="Times New Roman" w:eastAsiaTheme="minorEastAsia" w:hAnsi="Times New Roman"/>
          <w:noProof/>
          <w:sz w:val="24"/>
          <w:szCs w:val="24"/>
          <w:lang w:eastAsia="en-GB"/>
        </w:rPr>
        <w:t xml:space="preserve"> </w:t>
      </w:r>
      <w:r w:rsidR="001B282C">
        <w:rPr>
          <w:rStyle w:val="Bodytext1"/>
          <w:rFonts w:ascii="Times New Roman" w:eastAsiaTheme="minorEastAsia" w:hAnsi="Times New Roman"/>
          <w:noProof/>
          <w:sz w:val="24"/>
          <w:szCs w:val="24"/>
          <w:lang w:eastAsia="en-GB"/>
        </w:rPr>
        <w:t>o</w:t>
      </w:r>
      <w:r w:rsidR="00B05A91" w:rsidRPr="001E3C9B">
        <w:rPr>
          <w:rStyle w:val="Bodytext1"/>
          <w:rFonts w:ascii="Times New Roman" w:eastAsiaTheme="minorEastAsia" w:hAnsi="Times New Roman"/>
          <w:noProof/>
          <w:sz w:val="24"/>
          <w:szCs w:val="24"/>
          <w:lang w:eastAsia="en-GB"/>
        </w:rPr>
        <w:t>rganisation</w:t>
      </w:r>
      <w:r w:rsidRPr="001E3C9B">
        <w:rPr>
          <w:rStyle w:val="Bodytext1"/>
          <w:rFonts w:ascii="Times New Roman" w:eastAsiaTheme="minorEastAsia" w:hAnsi="Times New Roman"/>
          <w:noProof/>
          <w:sz w:val="24"/>
          <w:szCs w:val="24"/>
          <w:lang w:eastAsia="en-GB"/>
        </w:rPr>
        <w:t>s</w:t>
      </w:r>
      <w:r w:rsidR="00F80C23" w:rsidRPr="001E3C9B">
        <w:rPr>
          <w:rStyle w:val="Bodytext1"/>
          <w:rFonts w:ascii="Times New Roman" w:eastAsiaTheme="minorEastAsia" w:hAnsi="Times New Roman"/>
          <w:noProof/>
          <w:sz w:val="24"/>
          <w:szCs w:val="24"/>
          <w:lang w:eastAsia="en-GB"/>
        </w:rPr>
        <w:t xml:space="preserve"> (WMOs)</w:t>
      </w:r>
      <w:r w:rsidRPr="001E3C9B">
        <w:rPr>
          <w:rStyle w:val="Bodytext1"/>
          <w:rFonts w:ascii="Times New Roman" w:eastAsiaTheme="minorEastAsia" w:hAnsi="Times New Roman"/>
          <w:noProof/>
          <w:sz w:val="24"/>
          <w:szCs w:val="24"/>
          <w:lang w:eastAsia="en-GB"/>
        </w:rPr>
        <w:t xml:space="preserve">, </w:t>
      </w:r>
      <w:r w:rsidR="001B282C">
        <w:rPr>
          <w:rStyle w:val="Bodytext1"/>
          <w:rFonts w:ascii="Times New Roman" w:eastAsiaTheme="minorEastAsia" w:hAnsi="Times New Roman"/>
          <w:noProof/>
          <w:sz w:val="24"/>
          <w:szCs w:val="24"/>
          <w:lang w:eastAsia="en-GB"/>
        </w:rPr>
        <w:t>t</w:t>
      </w:r>
      <w:r w:rsidR="00B05A91" w:rsidRPr="001E3C9B">
        <w:rPr>
          <w:rStyle w:val="Bodytext1"/>
          <w:rFonts w:ascii="Times New Roman" w:eastAsiaTheme="minorEastAsia" w:hAnsi="Times New Roman"/>
          <w:noProof/>
          <w:sz w:val="24"/>
          <w:szCs w:val="24"/>
          <w:lang w:eastAsia="en-GB"/>
        </w:rPr>
        <w:t xml:space="preserve">echnical </w:t>
      </w:r>
      <w:r w:rsidR="001B282C">
        <w:rPr>
          <w:rStyle w:val="Bodytext1"/>
          <w:rFonts w:ascii="Times New Roman" w:eastAsiaTheme="minorEastAsia" w:hAnsi="Times New Roman"/>
          <w:noProof/>
          <w:sz w:val="24"/>
          <w:szCs w:val="24"/>
          <w:lang w:eastAsia="en-GB"/>
        </w:rPr>
        <w:t>s</w:t>
      </w:r>
      <w:r w:rsidR="00B05A91" w:rsidRPr="001E3C9B">
        <w:rPr>
          <w:rStyle w:val="Bodytext1"/>
          <w:rFonts w:ascii="Times New Roman" w:eastAsiaTheme="minorEastAsia" w:hAnsi="Times New Roman"/>
          <w:noProof/>
          <w:sz w:val="24"/>
          <w:szCs w:val="24"/>
          <w:lang w:eastAsia="en-GB"/>
        </w:rPr>
        <w:t xml:space="preserve">afety </w:t>
      </w:r>
      <w:r w:rsidR="001B282C">
        <w:rPr>
          <w:rStyle w:val="Bodytext1"/>
          <w:rFonts w:ascii="Times New Roman" w:eastAsiaTheme="minorEastAsia" w:hAnsi="Times New Roman"/>
          <w:noProof/>
          <w:sz w:val="24"/>
          <w:szCs w:val="24"/>
          <w:lang w:eastAsia="en-GB"/>
        </w:rPr>
        <w:t>o</w:t>
      </w:r>
      <w:r w:rsidR="00B05A91" w:rsidRPr="001E3C9B">
        <w:rPr>
          <w:rStyle w:val="Bodytext1"/>
          <w:rFonts w:ascii="Times New Roman" w:eastAsiaTheme="minorEastAsia" w:hAnsi="Times New Roman"/>
          <w:noProof/>
          <w:sz w:val="24"/>
          <w:szCs w:val="24"/>
          <w:lang w:eastAsia="en-GB"/>
        </w:rPr>
        <w:t>rganisation</w:t>
      </w:r>
      <w:r w:rsidRPr="001E3C9B">
        <w:rPr>
          <w:rStyle w:val="Bodytext1"/>
          <w:rFonts w:ascii="Times New Roman" w:eastAsiaTheme="minorEastAsia" w:hAnsi="Times New Roman"/>
          <w:noProof/>
          <w:sz w:val="24"/>
          <w:szCs w:val="24"/>
          <w:lang w:eastAsia="en-GB"/>
        </w:rPr>
        <w:t xml:space="preserve">s </w:t>
      </w:r>
      <w:r w:rsidR="00F80C23" w:rsidRPr="001E3C9B">
        <w:rPr>
          <w:rStyle w:val="Bodytext1"/>
          <w:rFonts w:ascii="Times New Roman" w:eastAsiaTheme="minorEastAsia" w:hAnsi="Times New Roman"/>
          <w:noProof/>
          <w:sz w:val="24"/>
          <w:szCs w:val="24"/>
          <w:lang w:eastAsia="en-GB"/>
        </w:rPr>
        <w:t xml:space="preserve">(TSOs) </w:t>
      </w:r>
      <w:r w:rsidRPr="001E3C9B">
        <w:rPr>
          <w:rStyle w:val="Bodytext1"/>
          <w:rFonts w:ascii="Times New Roman" w:eastAsiaTheme="minorEastAsia" w:hAnsi="Times New Roman"/>
          <w:noProof/>
          <w:sz w:val="24"/>
          <w:szCs w:val="24"/>
          <w:lang w:eastAsia="en-GB"/>
        </w:rPr>
        <w:t xml:space="preserve">and </w:t>
      </w:r>
      <w:r w:rsidR="001B282C">
        <w:rPr>
          <w:rStyle w:val="Bodytext1"/>
          <w:rFonts w:ascii="Times New Roman" w:eastAsiaTheme="minorEastAsia" w:hAnsi="Times New Roman"/>
          <w:noProof/>
          <w:sz w:val="24"/>
          <w:szCs w:val="24"/>
          <w:lang w:eastAsia="en-GB"/>
        </w:rPr>
        <w:t>r</w:t>
      </w:r>
      <w:r w:rsidR="00B05A91" w:rsidRPr="001E3C9B">
        <w:rPr>
          <w:rStyle w:val="Bodytext1"/>
          <w:rFonts w:ascii="Times New Roman" w:eastAsiaTheme="minorEastAsia" w:hAnsi="Times New Roman"/>
          <w:noProof/>
          <w:sz w:val="24"/>
          <w:szCs w:val="24"/>
          <w:lang w:eastAsia="en-GB"/>
        </w:rPr>
        <w:t xml:space="preserve">esearch </w:t>
      </w:r>
      <w:r w:rsidR="00BF5DF9" w:rsidRPr="001E3C9B">
        <w:rPr>
          <w:rStyle w:val="Bodytext1"/>
          <w:rFonts w:ascii="Times New Roman" w:eastAsiaTheme="minorEastAsia" w:hAnsi="Times New Roman"/>
          <w:noProof/>
          <w:sz w:val="24"/>
          <w:szCs w:val="24"/>
          <w:lang w:eastAsia="en-GB"/>
        </w:rPr>
        <w:t>e</w:t>
      </w:r>
      <w:r w:rsidR="00B05A91" w:rsidRPr="001E3C9B">
        <w:rPr>
          <w:rStyle w:val="Bodytext1"/>
          <w:rFonts w:ascii="Times New Roman" w:eastAsiaTheme="minorEastAsia" w:hAnsi="Times New Roman"/>
          <w:noProof/>
          <w:sz w:val="24"/>
          <w:szCs w:val="24"/>
          <w:lang w:eastAsia="en-GB"/>
        </w:rPr>
        <w:t>ntitie</w:t>
      </w:r>
      <w:r w:rsidRPr="001E3C9B">
        <w:rPr>
          <w:rStyle w:val="Bodytext1"/>
          <w:rFonts w:ascii="Times New Roman" w:eastAsiaTheme="minorEastAsia" w:hAnsi="Times New Roman"/>
          <w:noProof/>
          <w:sz w:val="24"/>
          <w:szCs w:val="24"/>
          <w:lang w:eastAsia="en-GB"/>
        </w:rPr>
        <w:t>s</w:t>
      </w:r>
      <w:r w:rsidR="00BF5DF9" w:rsidRPr="001E3C9B">
        <w:rPr>
          <w:rStyle w:val="Bodytext1"/>
          <w:rFonts w:ascii="Times New Roman" w:eastAsiaTheme="minorEastAsia" w:hAnsi="Times New Roman"/>
          <w:noProof/>
          <w:sz w:val="24"/>
          <w:szCs w:val="24"/>
          <w:lang w:val="mt-MT" w:eastAsia="en-GB"/>
        </w:rPr>
        <w:t>,</w:t>
      </w:r>
      <w:r w:rsidRPr="001E3C9B">
        <w:rPr>
          <w:rStyle w:val="Bodytext1"/>
          <w:rFonts w:ascii="Times New Roman" w:eastAsiaTheme="minorEastAsia" w:hAnsi="Times New Roman"/>
          <w:noProof/>
          <w:sz w:val="24"/>
          <w:szCs w:val="24"/>
          <w:lang w:eastAsia="en-GB"/>
        </w:rPr>
        <w:t xml:space="preserve"> enabling a balanced approach </w:t>
      </w:r>
      <w:r w:rsidR="00BF5DF9" w:rsidRPr="001E3C9B">
        <w:rPr>
          <w:rStyle w:val="Bodytext1"/>
          <w:rFonts w:ascii="Times New Roman" w:eastAsiaTheme="minorEastAsia" w:hAnsi="Times New Roman"/>
          <w:noProof/>
          <w:sz w:val="24"/>
          <w:szCs w:val="24"/>
          <w:lang w:val="mt-MT" w:eastAsia="en-GB"/>
        </w:rPr>
        <w:t>to</w:t>
      </w:r>
      <w:r w:rsidRPr="001E3C9B">
        <w:rPr>
          <w:rStyle w:val="Bodytext1"/>
          <w:rFonts w:ascii="Times New Roman" w:eastAsiaTheme="minorEastAsia" w:hAnsi="Times New Roman"/>
          <w:noProof/>
          <w:sz w:val="24"/>
          <w:szCs w:val="24"/>
          <w:lang w:eastAsia="en-GB"/>
        </w:rPr>
        <w:t xml:space="preserve"> research needs. However, the chosen </w:t>
      </w:r>
      <w:r w:rsidR="004447FE" w:rsidRPr="001E3C9B">
        <w:rPr>
          <w:rStyle w:val="Bodytext1"/>
          <w:rFonts w:ascii="Times New Roman" w:eastAsiaTheme="minorEastAsia" w:hAnsi="Times New Roman"/>
          <w:noProof/>
          <w:sz w:val="24"/>
          <w:szCs w:val="24"/>
          <w:lang w:eastAsia="en-GB"/>
        </w:rPr>
        <w:t>research directions</w:t>
      </w:r>
      <w:r w:rsidRPr="001E3C9B">
        <w:rPr>
          <w:rStyle w:val="Bodytext1"/>
          <w:rFonts w:ascii="Times New Roman" w:eastAsiaTheme="minorEastAsia" w:hAnsi="Times New Roman"/>
          <w:noProof/>
          <w:sz w:val="24"/>
          <w:szCs w:val="24"/>
          <w:lang w:eastAsia="en-GB"/>
        </w:rPr>
        <w:t xml:space="preserve"> are still strongly in line with previous </w:t>
      </w:r>
      <w:r w:rsidR="004447FE" w:rsidRPr="001E3C9B">
        <w:rPr>
          <w:rStyle w:val="Bodytext1"/>
          <w:rFonts w:ascii="Times New Roman" w:eastAsiaTheme="minorEastAsia" w:hAnsi="Times New Roman"/>
          <w:noProof/>
          <w:sz w:val="24"/>
          <w:szCs w:val="24"/>
          <w:lang w:eastAsia="en-GB"/>
        </w:rPr>
        <w:t>Euratom</w:t>
      </w:r>
      <w:r w:rsidRPr="001E3C9B">
        <w:rPr>
          <w:rStyle w:val="Bodytext1"/>
          <w:rFonts w:ascii="Times New Roman" w:eastAsiaTheme="minorEastAsia" w:hAnsi="Times New Roman"/>
          <w:noProof/>
          <w:sz w:val="24"/>
          <w:szCs w:val="24"/>
          <w:lang w:eastAsia="en-GB"/>
        </w:rPr>
        <w:t xml:space="preserve"> </w:t>
      </w:r>
      <w:r w:rsidR="004447FE" w:rsidRPr="001E3C9B">
        <w:rPr>
          <w:rStyle w:val="Bodytext1"/>
          <w:rFonts w:ascii="Times New Roman" w:eastAsiaTheme="minorEastAsia" w:hAnsi="Times New Roman"/>
          <w:noProof/>
          <w:sz w:val="24"/>
          <w:szCs w:val="24"/>
          <w:lang w:eastAsia="en-GB"/>
        </w:rPr>
        <w:t>actions</w:t>
      </w:r>
      <w:r w:rsidRPr="001E3C9B">
        <w:rPr>
          <w:rStyle w:val="Bodytext1"/>
          <w:rFonts w:ascii="Times New Roman" w:eastAsiaTheme="minorEastAsia" w:hAnsi="Times New Roman"/>
          <w:noProof/>
          <w:sz w:val="24"/>
          <w:szCs w:val="24"/>
          <w:lang w:eastAsia="en-GB"/>
        </w:rPr>
        <w:t>. Considering that disposal facilities are currently</w:t>
      </w:r>
      <w:r w:rsidR="001B282C">
        <w:rPr>
          <w:rStyle w:val="Bodytext1"/>
          <w:rFonts w:ascii="Times New Roman" w:eastAsiaTheme="minorEastAsia" w:hAnsi="Times New Roman"/>
          <w:noProof/>
          <w:sz w:val="24"/>
          <w:szCs w:val="24"/>
          <w:lang w:eastAsia="en-GB"/>
        </w:rPr>
        <w:t xml:space="preserve"> already</w:t>
      </w:r>
      <w:r w:rsidRPr="001E3C9B">
        <w:rPr>
          <w:rStyle w:val="Bodytext1"/>
          <w:rFonts w:ascii="Times New Roman" w:eastAsiaTheme="minorEastAsia" w:hAnsi="Times New Roman"/>
          <w:noProof/>
          <w:sz w:val="24"/>
          <w:szCs w:val="24"/>
          <w:lang w:eastAsia="en-GB"/>
        </w:rPr>
        <w:t xml:space="preserve"> licensed (Finland, Sweden) or under licensing review (France), research should progressively depart from the acquisition of pure scientific knowledge </w:t>
      </w:r>
      <w:r w:rsidR="001B282C">
        <w:rPr>
          <w:rStyle w:val="Bodytext1"/>
          <w:rFonts w:ascii="Times New Roman" w:eastAsiaTheme="minorEastAsia" w:hAnsi="Times New Roman"/>
          <w:noProof/>
          <w:sz w:val="24"/>
          <w:szCs w:val="24"/>
          <w:lang w:eastAsia="en-GB"/>
        </w:rPr>
        <w:t>and instead focus on</w:t>
      </w:r>
      <w:r w:rsidRPr="001E3C9B">
        <w:rPr>
          <w:rStyle w:val="Bodytext1"/>
          <w:rFonts w:ascii="Times New Roman" w:eastAsiaTheme="minorEastAsia" w:hAnsi="Times New Roman"/>
          <w:noProof/>
          <w:sz w:val="24"/>
          <w:szCs w:val="24"/>
          <w:lang w:eastAsia="en-GB"/>
        </w:rPr>
        <w:t xml:space="preserve"> operation, closure and oversight. The governance of EURAD should integrate this evolution by </w:t>
      </w:r>
      <w:r w:rsidR="004A2C34">
        <w:rPr>
          <w:rStyle w:val="Bodytext1"/>
          <w:rFonts w:ascii="Times New Roman" w:eastAsiaTheme="minorEastAsia" w:hAnsi="Times New Roman"/>
          <w:noProof/>
          <w:sz w:val="24"/>
          <w:szCs w:val="24"/>
          <w:lang w:eastAsia="en-GB"/>
        </w:rPr>
        <w:t>strengthening</w:t>
      </w:r>
      <w:r w:rsidR="004A2C34" w:rsidRPr="001E3C9B">
        <w:rPr>
          <w:rStyle w:val="Bodytext1"/>
          <w:rFonts w:ascii="Times New Roman" w:eastAsiaTheme="minorEastAsia" w:hAnsi="Times New Roman"/>
          <w:noProof/>
          <w:sz w:val="24"/>
          <w:szCs w:val="24"/>
          <w:lang w:eastAsia="en-GB"/>
        </w:rPr>
        <w:t xml:space="preserve"> </w:t>
      </w:r>
      <w:r w:rsidRPr="001E3C9B">
        <w:rPr>
          <w:rStyle w:val="Bodytext1"/>
          <w:rFonts w:ascii="Times New Roman" w:eastAsiaTheme="minorEastAsia" w:hAnsi="Times New Roman"/>
          <w:noProof/>
          <w:sz w:val="24"/>
          <w:szCs w:val="24"/>
          <w:lang w:eastAsia="en-GB"/>
        </w:rPr>
        <w:t xml:space="preserve">the role of the WMOs and TSOs and allowing an earlier and more effective role </w:t>
      </w:r>
      <w:r w:rsidR="004447FE" w:rsidRPr="001E3C9B">
        <w:rPr>
          <w:rStyle w:val="Bodytext1"/>
          <w:rFonts w:ascii="Times New Roman" w:eastAsiaTheme="minorEastAsia" w:hAnsi="Times New Roman"/>
          <w:noProof/>
          <w:sz w:val="24"/>
          <w:szCs w:val="24"/>
          <w:lang w:eastAsia="en-GB"/>
        </w:rPr>
        <w:t xml:space="preserve">for </w:t>
      </w:r>
      <w:r w:rsidR="00BF5DF9" w:rsidRPr="001E3C9B">
        <w:rPr>
          <w:rStyle w:val="Bodytext1"/>
          <w:rFonts w:ascii="Times New Roman" w:eastAsiaTheme="minorEastAsia" w:hAnsi="Times New Roman"/>
          <w:noProof/>
          <w:sz w:val="24"/>
          <w:szCs w:val="24"/>
          <w:lang w:val="mt-MT" w:eastAsia="en-GB"/>
        </w:rPr>
        <w:t xml:space="preserve">the </w:t>
      </w:r>
      <w:r w:rsidRPr="001E3C9B">
        <w:rPr>
          <w:rStyle w:val="Bodytext1"/>
          <w:rFonts w:ascii="Times New Roman" w:eastAsiaTheme="minorEastAsia" w:hAnsi="Times New Roman"/>
          <w:noProof/>
          <w:sz w:val="24"/>
          <w:szCs w:val="24"/>
          <w:lang w:eastAsia="en-GB"/>
        </w:rPr>
        <w:t xml:space="preserve">External Advice Committee in </w:t>
      </w:r>
      <w:r w:rsidR="004A2C34">
        <w:rPr>
          <w:rStyle w:val="Bodytext1"/>
          <w:rFonts w:ascii="Times New Roman" w:eastAsiaTheme="minorEastAsia" w:hAnsi="Times New Roman"/>
          <w:noProof/>
          <w:sz w:val="24"/>
          <w:szCs w:val="24"/>
          <w:lang w:eastAsia="en-GB"/>
        </w:rPr>
        <w:t>deciding on</w:t>
      </w:r>
      <w:r w:rsidR="004447FE" w:rsidRPr="001E3C9B">
        <w:rPr>
          <w:rStyle w:val="Bodytext1"/>
          <w:rFonts w:ascii="Times New Roman" w:eastAsiaTheme="minorEastAsia" w:hAnsi="Times New Roman"/>
          <w:noProof/>
          <w:sz w:val="24"/>
          <w:szCs w:val="24"/>
          <w:lang w:eastAsia="en-GB"/>
        </w:rPr>
        <w:t xml:space="preserve"> research</w:t>
      </w:r>
      <w:r w:rsidRPr="001E3C9B">
        <w:rPr>
          <w:rStyle w:val="Bodytext1"/>
          <w:rFonts w:ascii="Times New Roman" w:eastAsiaTheme="minorEastAsia" w:hAnsi="Times New Roman"/>
          <w:noProof/>
          <w:sz w:val="24"/>
          <w:szCs w:val="24"/>
          <w:lang w:eastAsia="en-GB"/>
        </w:rPr>
        <w:t xml:space="preserve">. Research will have to evolve to a strategic level to tackle emerging issues of common interest. The ethical foundation of the fundamental strategic choices made for </w:t>
      </w:r>
      <w:r w:rsidR="00BF5DF9" w:rsidRPr="001E3C9B">
        <w:rPr>
          <w:rStyle w:val="Bodytext1"/>
          <w:rFonts w:ascii="Times New Roman" w:eastAsiaTheme="minorEastAsia" w:hAnsi="Times New Roman"/>
          <w:noProof/>
          <w:sz w:val="24"/>
          <w:szCs w:val="24"/>
          <w:lang w:val="mt-MT" w:eastAsia="en-GB"/>
        </w:rPr>
        <w:t>radioactive</w:t>
      </w:r>
      <w:r w:rsidR="00E86DB0">
        <w:rPr>
          <w:rStyle w:val="Bodytext1"/>
          <w:rFonts w:ascii="Times New Roman" w:eastAsiaTheme="minorEastAsia" w:hAnsi="Times New Roman"/>
          <w:noProof/>
          <w:sz w:val="24"/>
          <w:szCs w:val="24"/>
          <w:lang w:val="mt-MT" w:eastAsia="en-GB"/>
        </w:rPr>
        <w:t>-</w:t>
      </w:r>
      <w:r w:rsidR="00BF5DF9" w:rsidRPr="001E3C9B">
        <w:rPr>
          <w:rStyle w:val="Bodytext1"/>
          <w:rFonts w:ascii="Times New Roman" w:eastAsiaTheme="minorEastAsia" w:hAnsi="Times New Roman"/>
          <w:noProof/>
          <w:sz w:val="24"/>
          <w:szCs w:val="24"/>
          <w:lang w:val="mt-MT" w:eastAsia="en-GB"/>
        </w:rPr>
        <w:t>waste management</w:t>
      </w:r>
      <w:r w:rsidRPr="001E3C9B">
        <w:rPr>
          <w:rStyle w:val="Bodytext1"/>
          <w:rFonts w:ascii="Times New Roman" w:eastAsiaTheme="minorEastAsia" w:hAnsi="Times New Roman"/>
          <w:noProof/>
          <w:sz w:val="24"/>
          <w:szCs w:val="24"/>
          <w:lang w:eastAsia="en-GB"/>
        </w:rPr>
        <w:t xml:space="preserve"> and disposal also deserve</w:t>
      </w:r>
      <w:r w:rsidR="004A2C34">
        <w:rPr>
          <w:rStyle w:val="Bodytext1"/>
          <w:rFonts w:ascii="Times New Roman" w:eastAsiaTheme="minorEastAsia" w:hAnsi="Times New Roman"/>
          <w:noProof/>
          <w:sz w:val="24"/>
          <w:szCs w:val="24"/>
          <w:lang w:eastAsia="en-GB"/>
        </w:rPr>
        <w:t>s</w:t>
      </w:r>
      <w:r w:rsidRPr="001E3C9B">
        <w:rPr>
          <w:rStyle w:val="Bodytext1"/>
          <w:rFonts w:ascii="Times New Roman" w:eastAsiaTheme="minorEastAsia" w:hAnsi="Times New Roman"/>
          <w:noProof/>
          <w:sz w:val="24"/>
          <w:szCs w:val="24"/>
          <w:lang w:eastAsia="en-GB"/>
        </w:rPr>
        <w:t xml:space="preserve"> more attention</w:t>
      </w:r>
      <w:r w:rsidR="005902CA" w:rsidRPr="001E3C9B">
        <w:rPr>
          <w:rStyle w:val="Bodytext1"/>
          <w:rFonts w:ascii="Times New Roman" w:eastAsiaTheme="minorEastAsia" w:hAnsi="Times New Roman"/>
          <w:noProof/>
          <w:sz w:val="24"/>
          <w:szCs w:val="24"/>
          <w:lang w:eastAsia="en-GB"/>
        </w:rPr>
        <w:t>.</w:t>
      </w:r>
    </w:p>
    <w:p w14:paraId="4CCD8B78" w14:textId="44968C78" w:rsidR="00DA5626" w:rsidRPr="001E3C9B" w:rsidRDefault="00FB7D17" w:rsidP="00F658D0">
      <w:pPr>
        <w:pStyle w:val="Bodytext10"/>
        <w:spacing w:after="160" w:line="256" w:lineRule="auto"/>
        <w:ind w:left="360"/>
        <w:jc w:val="both"/>
        <w:rPr>
          <w:rStyle w:val="Bodytext1"/>
          <w:rFonts w:ascii="Times New Roman" w:eastAsiaTheme="minorEastAsia" w:hAnsi="Times New Roman"/>
          <w:noProof/>
          <w:sz w:val="24"/>
          <w:szCs w:val="24"/>
          <w:lang w:eastAsia="en-GB"/>
        </w:rPr>
      </w:pPr>
      <w:r w:rsidRPr="001E3C9B">
        <w:rPr>
          <w:rStyle w:val="Bodytext1"/>
          <w:rFonts w:ascii="Times New Roman" w:eastAsiaTheme="minorEastAsia" w:hAnsi="Times New Roman"/>
          <w:noProof/>
          <w:sz w:val="24"/>
          <w:szCs w:val="24"/>
          <w:u w:val="single"/>
          <w:lang w:eastAsia="en-GB"/>
        </w:rPr>
        <w:t>Commission’s response</w:t>
      </w:r>
      <w:r w:rsidRPr="001E3C9B">
        <w:rPr>
          <w:rStyle w:val="Bodytext1"/>
          <w:rFonts w:ascii="Times New Roman" w:eastAsiaTheme="minorEastAsia" w:hAnsi="Times New Roman"/>
          <w:noProof/>
          <w:sz w:val="24"/>
          <w:szCs w:val="24"/>
          <w:lang w:eastAsia="en-GB"/>
        </w:rPr>
        <w:t>:</w:t>
      </w:r>
      <w:r w:rsidR="00D96E01" w:rsidRPr="001E3C9B">
        <w:rPr>
          <w:rStyle w:val="Bodytext1"/>
          <w:rFonts w:ascii="Times New Roman" w:eastAsiaTheme="minorEastAsia" w:hAnsi="Times New Roman"/>
          <w:noProof/>
          <w:sz w:val="24"/>
          <w:szCs w:val="24"/>
          <w:lang w:eastAsia="en-GB"/>
        </w:rPr>
        <w:t xml:space="preserve"> </w:t>
      </w:r>
      <w:r w:rsidR="00F80C23" w:rsidRPr="001E3C9B">
        <w:rPr>
          <w:rStyle w:val="Bodytext1"/>
          <w:rFonts w:ascii="Times New Roman" w:eastAsiaTheme="minorEastAsia" w:hAnsi="Times New Roman"/>
          <w:noProof/>
          <w:sz w:val="24"/>
          <w:szCs w:val="24"/>
          <w:lang w:eastAsia="en-GB"/>
        </w:rPr>
        <w:t xml:space="preserve">in 2024 </w:t>
      </w:r>
      <w:r w:rsidR="00B84D23" w:rsidRPr="001E3C9B">
        <w:rPr>
          <w:rStyle w:val="Bodytext1"/>
          <w:rFonts w:ascii="Times New Roman" w:eastAsiaTheme="minorEastAsia" w:hAnsi="Times New Roman"/>
          <w:noProof/>
          <w:sz w:val="24"/>
          <w:szCs w:val="24"/>
          <w:lang w:eastAsia="en-GB"/>
        </w:rPr>
        <w:t xml:space="preserve">the </w:t>
      </w:r>
      <w:r w:rsidR="008755DA" w:rsidRPr="001E3C9B">
        <w:rPr>
          <w:rStyle w:val="Bodytext1"/>
          <w:rFonts w:ascii="Times New Roman" w:eastAsiaTheme="minorEastAsia" w:hAnsi="Times New Roman"/>
          <w:noProof/>
          <w:sz w:val="24"/>
          <w:szCs w:val="24"/>
          <w:lang w:eastAsia="en-GB"/>
        </w:rPr>
        <w:t xml:space="preserve">Commission aims to launch a co-funded European </w:t>
      </w:r>
      <w:r w:rsidR="004A2C34">
        <w:rPr>
          <w:rStyle w:val="Bodytext1"/>
          <w:rFonts w:ascii="Times New Roman" w:eastAsiaTheme="minorEastAsia" w:hAnsi="Times New Roman"/>
          <w:noProof/>
          <w:sz w:val="24"/>
          <w:szCs w:val="24"/>
          <w:lang w:eastAsia="en-GB"/>
        </w:rPr>
        <w:t>p</w:t>
      </w:r>
      <w:r w:rsidR="008755DA" w:rsidRPr="001E3C9B">
        <w:rPr>
          <w:rStyle w:val="Bodytext1"/>
          <w:rFonts w:ascii="Times New Roman" w:eastAsiaTheme="minorEastAsia" w:hAnsi="Times New Roman"/>
          <w:noProof/>
          <w:sz w:val="24"/>
          <w:szCs w:val="24"/>
          <w:lang w:eastAsia="en-GB"/>
        </w:rPr>
        <w:t>artnership on radioactive</w:t>
      </w:r>
      <w:r w:rsidR="004A2C34">
        <w:rPr>
          <w:rStyle w:val="Bodytext1"/>
          <w:rFonts w:ascii="Times New Roman" w:eastAsiaTheme="minorEastAsia" w:hAnsi="Times New Roman"/>
          <w:noProof/>
          <w:sz w:val="24"/>
          <w:szCs w:val="24"/>
          <w:lang w:eastAsia="en-GB"/>
        </w:rPr>
        <w:t>-</w:t>
      </w:r>
      <w:r w:rsidR="008755DA" w:rsidRPr="001E3C9B">
        <w:rPr>
          <w:rStyle w:val="Bodytext1"/>
          <w:rFonts w:ascii="Times New Roman" w:eastAsiaTheme="minorEastAsia" w:hAnsi="Times New Roman"/>
          <w:noProof/>
          <w:sz w:val="24"/>
          <w:szCs w:val="24"/>
          <w:lang w:eastAsia="en-GB"/>
        </w:rPr>
        <w:t>waste management</w:t>
      </w:r>
      <w:r w:rsidR="00F80C23" w:rsidRPr="001E3C9B">
        <w:rPr>
          <w:rStyle w:val="Bodytext1"/>
          <w:rFonts w:ascii="Times New Roman" w:eastAsiaTheme="minorEastAsia" w:hAnsi="Times New Roman"/>
          <w:noProof/>
          <w:sz w:val="24"/>
          <w:szCs w:val="24"/>
          <w:lang w:eastAsia="en-GB"/>
        </w:rPr>
        <w:t xml:space="preserve"> (EURAD-2)</w:t>
      </w:r>
      <w:r w:rsidR="008755DA" w:rsidRPr="001E3C9B">
        <w:rPr>
          <w:rStyle w:val="Bodytext1"/>
          <w:rFonts w:ascii="Times New Roman" w:eastAsiaTheme="minorEastAsia" w:hAnsi="Times New Roman"/>
          <w:noProof/>
          <w:sz w:val="24"/>
          <w:szCs w:val="24"/>
          <w:lang w:eastAsia="en-GB"/>
        </w:rPr>
        <w:t xml:space="preserve">. The Commission </w:t>
      </w:r>
      <w:r w:rsidR="004A2C34">
        <w:rPr>
          <w:rStyle w:val="Bodytext1"/>
          <w:rFonts w:ascii="Times New Roman" w:eastAsiaTheme="minorEastAsia" w:hAnsi="Times New Roman"/>
          <w:noProof/>
          <w:sz w:val="24"/>
          <w:szCs w:val="24"/>
          <w:lang w:eastAsia="en-GB"/>
        </w:rPr>
        <w:t>has already put in place</w:t>
      </w:r>
      <w:r w:rsidR="004A2C34" w:rsidRPr="001E3C9B">
        <w:rPr>
          <w:rStyle w:val="Bodytext1"/>
          <w:rFonts w:ascii="Times New Roman" w:eastAsiaTheme="minorEastAsia" w:hAnsi="Times New Roman"/>
          <w:noProof/>
          <w:sz w:val="24"/>
          <w:szCs w:val="24"/>
          <w:lang w:eastAsia="en-GB"/>
        </w:rPr>
        <w:t xml:space="preserve"> </w:t>
      </w:r>
      <w:r w:rsidR="008755DA" w:rsidRPr="001E3C9B">
        <w:rPr>
          <w:rStyle w:val="Bodytext1"/>
          <w:rFonts w:ascii="Times New Roman" w:eastAsiaTheme="minorEastAsia" w:hAnsi="Times New Roman"/>
          <w:noProof/>
          <w:sz w:val="24"/>
          <w:szCs w:val="24"/>
          <w:lang w:eastAsia="en-GB"/>
        </w:rPr>
        <w:t>several requirements to improve the organisation of research in this field, in particular to</w:t>
      </w:r>
      <w:r w:rsidR="003376AB">
        <w:rPr>
          <w:rStyle w:val="Bodytext1"/>
          <w:rFonts w:ascii="Times New Roman" w:eastAsiaTheme="minorEastAsia" w:hAnsi="Times New Roman"/>
          <w:noProof/>
          <w:sz w:val="24"/>
          <w:szCs w:val="24"/>
          <w:lang w:eastAsia="en-GB"/>
        </w:rPr>
        <w:t>: (i)</w:t>
      </w:r>
      <w:r w:rsidR="008755DA" w:rsidRPr="001E3C9B">
        <w:rPr>
          <w:rStyle w:val="Bodytext1"/>
          <w:rFonts w:ascii="Times New Roman" w:eastAsiaTheme="minorEastAsia" w:hAnsi="Times New Roman"/>
          <w:noProof/>
          <w:sz w:val="24"/>
          <w:szCs w:val="24"/>
          <w:lang w:eastAsia="en-GB"/>
        </w:rPr>
        <w:t xml:space="preserve"> consolidate knowledge </w:t>
      </w:r>
      <w:r w:rsidR="00E567F7">
        <w:rPr>
          <w:rStyle w:val="Bodytext1"/>
          <w:rFonts w:ascii="Times New Roman" w:eastAsiaTheme="minorEastAsia" w:hAnsi="Times New Roman"/>
          <w:noProof/>
          <w:sz w:val="24"/>
          <w:szCs w:val="24"/>
          <w:lang w:eastAsia="en-GB"/>
        </w:rPr>
        <w:t xml:space="preserve">on the </w:t>
      </w:r>
      <w:r w:rsidR="008755DA" w:rsidRPr="001E3C9B">
        <w:rPr>
          <w:rStyle w:val="Bodytext1"/>
          <w:rFonts w:ascii="Times New Roman" w:eastAsiaTheme="minorEastAsia" w:hAnsi="Times New Roman"/>
          <w:noProof/>
          <w:sz w:val="24"/>
          <w:szCs w:val="24"/>
          <w:lang w:eastAsia="en-GB"/>
        </w:rPr>
        <w:t>safe start</w:t>
      </w:r>
      <w:r w:rsidR="00E567F7">
        <w:rPr>
          <w:rStyle w:val="Bodytext1"/>
          <w:rFonts w:ascii="Times New Roman" w:eastAsiaTheme="minorEastAsia" w:hAnsi="Times New Roman"/>
          <w:noProof/>
          <w:sz w:val="24"/>
          <w:szCs w:val="24"/>
          <w:lang w:eastAsia="en-GB"/>
        </w:rPr>
        <w:t>-up</w:t>
      </w:r>
      <w:r w:rsidR="008755DA" w:rsidRPr="001E3C9B">
        <w:rPr>
          <w:rStyle w:val="Bodytext1"/>
          <w:rFonts w:ascii="Times New Roman" w:eastAsiaTheme="minorEastAsia" w:hAnsi="Times New Roman"/>
          <w:noProof/>
          <w:sz w:val="24"/>
          <w:szCs w:val="24"/>
          <w:lang w:eastAsia="en-GB"/>
        </w:rPr>
        <w:t xml:space="preserve"> and operation of geological disposal facilities</w:t>
      </w:r>
      <w:r w:rsidR="003376AB">
        <w:rPr>
          <w:rStyle w:val="Bodytext1"/>
          <w:rFonts w:ascii="Times New Roman" w:eastAsiaTheme="minorEastAsia" w:hAnsi="Times New Roman"/>
          <w:noProof/>
          <w:sz w:val="24"/>
          <w:szCs w:val="24"/>
          <w:lang w:eastAsia="en-GB"/>
        </w:rPr>
        <w:t>;</w:t>
      </w:r>
      <w:r w:rsidR="008755DA" w:rsidRPr="001E3C9B">
        <w:rPr>
          <w:rStyle w:val="Bodytext1"/>
          <w:rFonts w:ascii="Times New Roman" w:eastAsiaTheme="minorEastAsia" w:hAnsi="Times New Roman"/>
          <w:noProof/>
          <w:sz w:val="24"/>
          <w:szCs w:val="24"/>
          <w:lang w:eastAsia="en-GB"/>
        </w:rPr>
        <w:t xml:space="preserve"> and </w:t>
      </w:r>
      <w:r w:rsidR="003376AB">
        <w:rPr>
          <w:rStyle w:val="Bodytext1"/>
          <w:rFonts w:ascii="Times New Roman" w:eastAsiaTheme="minorEastAsia" w:hAnsi="Times New Roman"/>
          <w:noProof/>
          <w:sz w:val="24"/>
          <w:szCs w:val="24"/>
          <w:lang w:eastAsia="en-GB"/>
        </w:rPr>
        <w:t xml:space="preserve">(ii) </w:t>
      </w:r>
      <w:r w:rsidR="008755DA" w:rsidRPr="001E3C9B">
        <w:rPr>
          <w:rStyle w:val="Bodytext1"/>
          <w:rFonts w:ascii="Times New Roman" w:eastAsiaTheme="minorEastAsia" w:hAnsi="Times New Roman"/>
          <w:noProof/>
          <w:sz w:val="24"/>
          <w:szCs w:val="24"/>
          <w:lang w:eastAsia="en-GB"/>
        </w:rPr>
        <w:t xml:space="preserve">support Member States with less advanced national programmes. EURAD-2 must also </w:t>
      </w:r>
      <w:r w:rsidR="00E567F7">
        <w:rPr>
          <w:rStyle w:val="Bodytext1"/>
          <w:rFonts w:ascii="Times New Roman" w:eastAsiaTheme="minorEastAsia" w:hAnsi="Times New Roman"/>
          <w:noProof/>
          <w:sz w:val="24"/>
          <w:szCs w:val="24"/>
          <w:lang w:eastAsia="en-GB"/>
        </w:rPr>
        <w:t>engage in</w:t>
      </w:r>
      <w:r w:rsidR="00E567F7" w:rsidRPr="001E3C9B">
        <w:rPr>
          <w:rStyle w:val="Bodytext1"/>
          <w:rFonts w:ascii="Times New Roman" w:eastAsiaTheme="minorEastAsia" w:hAnsi="Times New Roman"/>
          <w:noProof/>
          <w:sz w:val="24"/>
          <w:szCs w:val="24"/>
          <w:lang w:eastAsia="en-GB"/>
        </w:rPr>
        <w:t xml:space="preserve"> </w:t>
      </w:r>
      <w:r w:rsidR="00B84D23" w:rsidRPr="001E3C9B">
        <w:rPr>
          <w:rStyle w:val="Bodytext1"/>
          <w:rFonts w:ascii="Times New Roman" w:eastAsiaTheme="minorEastAsia" w:hAnsi="Times New Roman"/>
          <w:noProof/>
          <w:sz w:val="24"/>
          <w:szCs w:val="24"/>
          <w:lang w:eastAsia="en-GB"/>
        </w:rPr>
        <w:t>regular interactions with</w:t>
      </w:r>
      <w:r w:rsidR="008755DA" w:rsidRPr="001E3C9B">
        <w:rPr>
          <w:rStyle w:val="Bodytext1"/>
          <w:rFonts w:ascii="Times New Roman" w:eastAsiaTheme="minorEastAsia" w:hAnsi="Times New Roman"/>
          <w:noProof/>
          <w:sz w:val="24"/>
          <w:szCs w:val="24"/>
          <w:lang w:eastAsia="en-GB"/>
        </w:rPr>
        <w:t xml:space="preserve"> regulatory bodies and industrial stakeholders to make </w:t>
      </w:r>
      <w:r w:rsidR="00F80C23" w:rsidRPr="001E3C9B">
        <w:rPr>
          <w:rStyle w:val="Bodytext1"/>
          <w:rFonts w:ascii="Times New Roman" w:eastAsiaTheme="minorEastAsia" w:hAnsi="Times New Roman"/>
          <w:noProof/>
          <w:sz w:val="24"/>
          <w:szCs w:val="24"/>
          <w:lang w:eastAsia="en-GB"/>
        </w:rPr>
        <w:t xml:space="preserve">the </w:t>
      </w:r>
      <w:r w:rsidR="008755DA" w:rsidRPr="001E3C9B">
        <w:rPr>
          <w:rStyle w:val="Bodytext1"/>
          <w:rFonts w:ascii="Times New Roman" w:eastAsiaTheme="minorEastAsia" w:hAnsi="Times New Roman"/>
          <w:noProof/>
          <w:sz w:val="24"/>
          <w:szCs w:val="24"/>
          <w:lang w:eastAsia="en-GB"/>
        </w:rPr>
        <w:t xml:space="preserve">future </w:t>
      </w:r>
      <w:r w:rsidR="00E567F7">
        <w:rPr>
          <w:rStyle w:val="Bodytext1"/>
          <w:rFonts w:ascii="Times New Roman" w:eastAsiaTheme="minorEastAsia" w:hAnsi="Times New Roman"/>
          <w:noProof/>
          <w:sz w:val="24"/>
          <w:szCs w:val="24"/>
          <w:lang w:eastAsia="en-GB"/>
        </w:rPr>
        <w:t>p</w:t>
      </w:r>
      <w:r w:rsidR="008755DA" w:rsidRPr="001E3C9B">
        <w:rPr>
          <w:rStyle w:val="Bodytext1"/>
          <w:rFonts w:ascii="Times New Roman" w:eastAsiaTheme="minorEastAsia" w:hAnsi="Times New Roman"/>
          <w:noProof/>
          <w:sz w:val="24"/>
          <w:szCs w:val="24"/>
          <w:lang w:eastAsia="en-GB"/>
        </w:rPr>
        <w:t>artnership comprehensive. Additionally, EURAD-2 will need to be more inclusive and reach out to the Member States that did</w:t>
      </w:r>
      <w:r w:rsidR="004D4664">
        <w:rPr>
          <w:rStyle w:val="Bodytext1"/>
          <w:rFonts w:ascii="Times New Roman" w:eastAsiaTheme="minorEastAsia" w:hAnsi="Times New Roman"/>
          <w:noProof/>
          <w:sz w:val="24"/>
          <w:szCs w:val="24"/>
          <w:lang w:eastAsia="en-GB"/>
        </w:rPr>
        <w:t xml:space="preserve"> not</w:t>
      </w:r>
      <w:r w:rsidR="008755DA" w:rsidRPr="001E3C9B">
        <w:rPr>
          <w:rStyle w:val="Bodytext1"/>
          <w:rFonts w:ascii="Times New Roman" w:eastAsiaTheme="minorEastAsia" w:hAnsi="Times New Roman"/>
          <w:noProof/>
          <w:sz w:val="24"/>
          <w:szCs w:val="24"/>
          <w:lang w:eastAsia="en-GB"/>
        </w:rPr>
        <w:t xml:space="preserve"> participate in EURAD, as the scope of the </w:t>
      </w:r>
      <w:r w:rsidR="00E567F7">
        <w:rPr>
          <w:rStyle w:val="Bodytext1"/>
          <w:rFonts w:ascii="Times New Roman" w:eastAsiaTheme="minorEastAsia" w:hAnsi="Times New Roman"/>
          <w:noProof/>
          <w:sz w:val="24"/>
          <w:szCs w:val="24"/>
          <w:lang w:eastAsia="en-GB"/>
        </w:rPr>
        <w:t>p</w:t>
      </w:r>
      <w:r w:rsidR="008755DA" w:rsidRPr="001E3C9B">
        <w:rPr>
          <w:rStyle w:val="Bodytext1"/>
          <w:rFonts w:ascii="Times New Roman" w:eastAsiaTheme="minorEastAsia" w:hAnsi="Times New Roman"/>
          <w:noProof/>
          <w:sz w:val="24"/>
          <w:szCs w:val="24"/>
          <w:lang w:eastAsia="en-GB"/>
        </w:rPr>
        <w:t>artnership covers all Member States with radioactive</w:t>
      </w:r>
      <w:r w:rsidR="00E567F7">
        <w:rPr>
          <w:rStyle w:val="Bodytext1"/>
          <w:rFonts w:ascii="Times New Roman" w:eastAsiaTheme="minorEastAsia" w:hAnsi="Times New Roman"/>
          <w:noProof/>
          <w:sz w:val="24"/>
          <w:szCs w:val="24"/>
          <w:lang w:eastAsia="en-GB"/>
        </w:rPr>
        <w:t>-</w:t>
      </w:r>
      <w:r w:rsidR="008755DA" w:rsidRPr="001E3C9B">
        <w:rPr>
          <w:rStyle w:val="Bodytext1"/>
          <w:rFonts w:ascii="Times New Roman" w:eastAsiaTheme="minorEastAsia" w:hAnsi="Times New Roman"/>
          <w:noProof/>
          <w:sz w:val="24"/>
          <w:szCs w:val="24"/>
          <w:lang w:eastAsia="en-GB"/>
        </w:rPr>
        <w:t>waste inventories and is not limited to countries</w:t>
      </w:r>
      <w:r w:rsidR="00F80C23" w:rsidRPr="001E3C9B">
        <w:rPr>
          <w:rStyle w:val="Bodytext1"/>
          <w:rFonts w:ascii="Times New Roman" w:eastAsiaTheme="minorEastAsia" w:hAnsi="Times New Roman"/>
          <w:noProof/>
          <w:sz w:val="24"/>
          <w:szCs w:val="24"/>
          <w:lang w:eastAsia="en-GB"/>
        </w:rPr>
        <w:t xml:space="preserve"> with nuclear power</w:t>
      </w:r>
      <w:r w:rsidR="008755DA" w:rsidRPr="001E3C9B">
        <w:rPr>
          <w:rStyle w:val="Bodytext1"/>
          <w:rFonts w:ascii="Times New Roman" w:eastAsiaTheme="minorEastAsia" w:hAnsi="Times New Roman"/>
          <w:noProof/>
          <w:sz w:val="24"/>
          <w:szCs w:val="24"/>
          <w:lang w:eastAsia="en-GB"/>
        </w:rPr>
        <w:t>. The Programme’s interim evaluation will assess progress and guide future Euratom support.</w:t>
      </w:r>
    </w:p>
    <w:p w14:paraId="4F6658B6" w14:textId="77777777" w:rsidR="001E3C9B" w:rsidRDefault="001E3C9B">
      <w:pPr>
        <w:rPr>
          <w:rFonts w:ascii="Times New Roman" w:eastAsiaTheme="majorEastAsia" w:hAnsi="Times New Roman" w:cs="Times New Roman"/>
          <w:b/>
          <w:bCs/>
          <w:noProof/>
          <w:color w:val="000000" w:themeColor="text1"/>
          <w:sz w:val="28"/>
          <w:szCs w:val="28"/>
        </w:rPr>
      </w:pPr>
      <w:r>
        <w:rPr>
          <w:rFonts w:ascii="Times New Roman" w:hAnsi="Times New Roman" w:cs="Times New Roman"/>
          <w:noProof/>
          <w:color w:val="000000" w:themeColor="text1"/>
        </w:rPr>
        <w:br w:type="page"/>
      </w:r>
    </w:p>
    <w:p w14:paraId="71ED7433" w14:textId="7D8A5957" w:rsidR="00A433F8" w:rsidRDefault="001E3C9B" w:rsidP="007C4BD5">
      <w:pPr>
        <w:pStyle w:val="Heading1"/>
        <w:numPr>
          <w:ilvl w:val="0"/>
          <w:numId w:val="0"/>
        </w:numPr>
        <w:spacing w:before="0" w:after="120"/>
        <w:rPr>
          <w:rFonts w:ascii="Times New Roman" w:hAnsi="Times New Roman" w:cs="Times New Roman"/>
          <w:noProof/>
          <w:color w:val="000000" w:themeColor="text1"/>
        </w:rPr>
      </w:pPr>
      <w:r>
        <w:rPr>
          <w:rFonts w:ascii="Times New Roman" w:hAnsi="Times New Roman" w:cs="Times New Roman"/>
          <w:noProof/>
          <w:color w:val="000000" w:themeColor="text1"/>
        </w:rPr>
        <w:t xml:space="preserve">Annex 2 - </w:t>
      </w:r>
      <w:r w:rsidR="00802D92">
        <w:rPr>
          <w:rFonts w:ascii="Times New Roman" w:hAnsi="Times New Roman" w:cs="Times New Roman"/>
          <w:noProof/>
          <w:color w:val="000000" w:themeColor="text1"/>
        </w:rPr>
        <w:t xml:space="preserve">Recommendations by the Commission </w:t>
      </w:r>
      <w:r w:rsidR="00B4657A">
        <w:rPr>
          <w:rFonts w:ascii="Times New Roman" w:hAnsi="Times New Roman" w:cs="Times New Roman"/>
          <w:noProof/>
          <w:color w:val="000000" w:themeColor="text1"/>
        </w:rPr>
        <w:t>E</w:t>
      </w:r>
      <w:r w:rsidR="00802D92">
        <w:rPr>
          <w:rFonts w:ascii="Times New Roman" w:hAnsi="Times New Roman" w:cs="Times New Roman"/>
          <w:noProof/>
          <w:color w:val="000000" w:themeColor="text1"/>
        </w:rPr>
        <w:t xml:space="preserve">xpert </w:t>
      </w:r>
      <w:r w:rsidR="00B4657A">
        <w:rPr>
          <w:rFonts w:ascii="Times New Roman" w:hAnsi="Times New Roman" w:cs="Times New Roman"/>
          <w:noProof/>
          <w:color w:val="000000" w:themeColor="text1"/>
        </w:rPr>
        <w:t>G</w:t>
      </w:r>
      <w:r w:rsidR="00802D92">
        <w:rPr>
          <w:rFonts w:ascii="Times New Roman" w:hAnsi="Times New Roman" w:cs="Times New Roman"/>
          <w:noProof/>
          <w:color w:val="000000" w:themeColor="text1"/>
        </w:rPr>
        <w:t xml:space="preserve">roup </w:t>
      </w:r>
      <w:r w:rsidR="00B4657A">
        <w:rPr>
          <w:rFonts w:ascii="Times New Roman" w:hAnsi="Times New Roman" w:cs="Times New Roman"/>
          <w:noProof/>
          <w:color w:val="000000" w:themeColor="text1"/>
        </w:rPr>
        <w:t>on</w:t>
      </w:r>
      <w:r w:rsidR="00802D92">
        <w:rPr>
          <w:rFonts w:ascii="Times New Roman" w:hAnsi="Times New Roman" w:cs="Times New Roman"/>
          <w:noProof/>
          <w:color w:val="000000" w:themeColor="text1"/>
        </w:rPr>
        <w:t xml:space="preserve"> direct actions and Commission</w:t>
      </w:r>
      <w:r w:rsidR="00B4657A">
        <w:rPr>
          <w:rFonts w:ascii="Times New Roman" w:hAnsi="Times New Roman" w:cs="Times New Roman"/>
          <w:noProof/>
          <w:color w:val="000000" w:themeColor="text1"/>
        </w:rPr>
        <w:t>’s</w:t>
      </w:r>
      <w:r w:rsidR="00802D92">
        <w:rPr>
          <w:rFonts w:ascii="Times New Roman" w:hAnsi="Times New Roman" w:cs="Times New Roman"/>
          <w:noProof/>
          <w:color w:val="000000" w:themeColor="text1"/>
        </w:rPr>
        <w:t xml:space="preserve"> response</w:t>
      </w:r>
    </w:p>
    <w:p w14:paraId="1A60385F" w14:textId="5E97B195" w:rsidR="000E6804" w:rsidRPr="001E3C9B" w:rsidRDefault="000E6804" w:rsidP="000E6804">
      <w:pPr>
        <w:spacing w:after="120" w:line="264" w:lineRule="auto"/>
        <w:jc w:val="both"/>
        <w:rPr>
          <w:rFonts w:ascii="Times New Roman" w:hAnsi="Times New Roman" w:cs="Times New Roman"/>
          <w:i/>
          <w:noProof/>
          <w:color w:val="000000" w:themeColor="text1"/>
          <w:sz w:val="24"/>
          <w:szCs w:val="24"/>
        </w:rPr>
      </w:pPr>
      <w:r w:rsidRPr="001E3C9B">
        <w:rPr>
          <w:rFonts w:ascii="Times New Roman" w:hAnsi="Times New Roman" w:cs="Times New Roman"/>
          <w:b/>
          <w:noProof/>
          <w:color w:val="000000" w:themeColor="text1"/>
          <w:sz w:val="24"/>
          <w:szCs w:val="24"/>
        </w:rPr>
        <w:t>Recommendation</w:t>
      </w:r>
      <w:r w:rsidR="001B42ED" w:rsidRPr="001E3C9B">
        <w:rPr>
          <w:rFonts w:ascii="Times New Roman" w:hAnsi="Times New Roman" w:cs="Times New Roman"/>
          <w:b/>
          <w:noProof/>
          <w:color w:val="000000" w:themeColor="text1"/>
          <w:sz w:val="24"/>
          <w:szCs w:val="24"/>
        </w:rPr>
        <w:t>s</w:t>
      </w:r>
      <w:r w:rsidRPr="001E3C9B">
        <w:rPr>
          <w:rFonts w:ascii="Times New Roman" w:hAnsi="Times New Roman" w:cs="Times New Roman"/>
          <w:b/>
          <w:noProof/>
          <w:color w:val="000000" w:themeColor="text1"/>
          <w:sz w:val="24"/>
          <w:szCs w:val="24"/>
        </w:rPr>
        <w:t xml:space="preserve"> on </w:t>
      </w:r>
      <w:r w:rsidR="001B42ED" w:rsidRPr="001E3C9B">
        <w:rPr>
          <w:rFonts w:ascii="Times New Roman" w:hAnsi="Times New Roman" w:cs="Times New Roman"/>
          <w:b/>
          <w:noProof/>
          <w:color w:val="000000" w:themeColor="text1"/>
          <w:sz w:val="24"/>
          <w:szCs w:val="24"/>
        </w:rPr>
        <w:t>prioritisation of work</w:t>
      </w:r>
      <w:r w:rsidRPr="001E3C9B">
        <w:rPr>
          <w:rFonts w:ascii="Times New Roman" w:hAnsi="Times New Roman" w:cs="Times New Roman"/>
          <w:noProof/>
          <w:color w:val="000000" w:themeColor="text1"/>
          <w:sz w:val="24"/>
          <w:szCs w:val="24"/>
        </w:rPr>
        <w:t xml:space="preserve"> </w:t>
      </w:r>
    </w:p>
    <w:p w14:paraId="50050D73" w14:textId="7C8480BC" w:rsidR="00E5270C" w:rsidRPr="00B977EA" w:rsidRDefault="00E5270C" w:rsidP="00E5270C">
      <w:pPr>
        <w:pStyle w:val="ListParagraph"/>
        <w:numPr>
          <w:ilvl w:val="0"/>
          <w:numId w:val="42"/>
        </w:numPr>
        <w:spacing w:after="120" w:line="264" w:lineRule="auto"/>
        <w:rPr>
          <w:rFonts w:cs="Times New Roman"/>
          <w:noProof/>
          <w:color w:val="000000" w:themeColor="text1"/>
          <w:szCs w:val="24"/>
        </w:rPr>
      </w:pPr>
      <w:r w:rsidRPr="00202402">
        <w:rPr>
          <w:rFonts w:cs="Times New Roman"/>
          <w:noProof/>
          <w:color w:val="000000" w:themeColor="text1"/>
          <w:szCs w:val="24"/>
        </w:rPr>
        <w:t>The JRC should be involved at an early stage in priority</w:t>
      </w:r>
      <w:r w:rsidR="00463698" w:rsidRPr="00202402">
        <w:rPr>
          <w:rFonts w:cs="Times New Roman"/>
          <w:noProof/>
          <w:color w:val="000000" w:themeColor="text1"/>
          <w:szCs w:val="24"/>
        </w:rPr>
        <w:t>-</w:t>
      </w:r>
      <w:r w:rsidRPr="00202402">
        <w:rPr>
          <w:rFonts w:cs="Times New Roman"/>
          <w:noProof/>
          <w:color w:val="000000" w:themeColor="text1"/>
          <w:szCs w:val="24"/>
        </w:rPr>
        <w:t>setting among policy DGs</w:t>
      </w:r>
      <w:r w:rsidR="00347A74">
        <w:rPr>
          <w:rFonts w:cs="Times New Roman"/>
          <w:noProof/>
          <w:color w:val="000000" w:themeColor="text1"/>
          <w:szCs w:val="24"/>
        </w:rPr>
        <w:t>,</w:t>
      </w:r>
      <w:r w:rsidRPr="00202402">
        <w:rPr>
          <w:rFonts w:cs="Times New Roman"/>
          <w:noProof/>
          <w:color w:val="000000" w:themeColor="text1"/>
          <w:szCs w:val="24"/>
        </w:rPr>
        <w:t xml:space="preserve"> and </w:t>
      </w:r>
      <w:r w:rsidR="006F2F4B">
        <w:rPr>
          <w:rFonts w:cs="Times New Roman"/>
          <w:noProof/>
          <w:color w:val="000000" w:themeColor="text1"/>
          <w:szCs w:val="24"/>
        </w:rPr>
        <w:t>set up</w:t>
      </w:r>
      <w:r w:rsidR="006F2F4B" w:rsidRPr="00202402">
        <w:rPr>
          <w:rFonts w:cs="Times New Roman"/>
          <w:noProof/>
          <w:color w:val="000000" w:themeColor="text1"/>
          <w:szCs w:val="24"/>
        </w:rPr>
        <w:t xml:space="preserve"> </w:t>
      </w:r>
      <w:r w:rsidRPr="00202402">
        <w:rPr>
          <w:rFonts w:cs="Times New Roman"/>
          <w:noProof/>
          <w:color w:val="000000" w:themeColor="text1"/>
          <w:szCs w:val="24"/>
        </w:rPr>
        <w:t xml:space="preserve">a centralised process for ensuring that the work programme reflects </w:t>
      </w:r>
      <w:r w:rsidR="006F2F4B">
        <w:rPr>
          <w:rFonts w:cs="Times New Roman"/>
          <w:noProof/>
          <w:color w:val="000000" w:themeColor="text1"/>
          <w:szCs w:val="24"/>
        </w:rPr>
        <w:t xml:space="preserve">both </w:t>
      </w:r>
      <w:r w:rsidRPr="00202402">
        <w:rPr>
          <w:rFonts w:cs="Times New Roman"/>
          <w:noProof/>
          <w:color w:val="000000" w:themeColor="text1"/>
          <w:szCs w:val="24"/>
        </w:rPr>
        <w:t>these priorities and the breadth of knowledge needed to support the priorities. This process should also incentivise policy DGs and the JRC to break silos and integrate suitable workstreams.</w:t>
      </w:r>
    </w:p>
    <w:p w14:paraId="6CE1C9F8" w14:textId="1D9DC37A" w:rsidR="00E5270C" w:rsidRPr="00B977EA" w:rsidRDefault="00E5270C" w:rsidP="00E5270C">
      <w:pPr>
        <w:pStyle w:val="ListParagraph"/>
        <w:numPr>
          <w:ilvl w:val="0"/>
          <w:numId w:val="42"/>
        </w:numPr>
        <w:spacing w:after="120" w:line="264" w:lineRule="auto"/>
        <w:rPr>
          <w:rFonts w:cs="Times New Roman"/>
          <w:noProof/>
          <w:color w:val="000000" w:themeColor="text1"/>
          <w:szCs w:val="24"/>
        </w:rPr>
      </w:pPr>
      <w:r w:rsidRPr="00202402">
        <w:rPr>
          <w:rFonts w:cs="Times New Roman"/>
          <w:noProof/>
          <w:color w:val="000000" w:themeColor="text1"/>
          <w:szCs w:val="24"/>
        </w:rPr>
        <w:t xml:space="preserve">The </w:t>
      </w:r>
      <w:r w:rsidR="00937CAE">
        <w:rPr>
          <w:rFonts w:cs="Times New Roman"/>
          <w:noProof/>
          <w:color w:val="000000" w:themeColor="text1"/>
          <w:szCs w:val="24"/>
        </w:rPr>
        <w:t>p</w:t>
      </w:r>
      <w:r w:rsidRPr="00202402">
        <w:rPr>
          <w:rFonts w:cs="Times New Roman"/>
          <w:noProof/>
          <w:color w:val="000000" w:themeColor="text1"/>
          <w:szCs w:val="24"/>
        </w:rPr>
        <w:t>anel encourages the JRC to systematically develop and apply criteria in relation to its unique strengths and policy relevance for deciding whether to engage</w:t>
      </w:r>
      <w:r w:rsidR="006F2F4B">
        <w:rPr>
          <w:rFonts w:cs="Times New Roman"/>
          <w:noProof/>
          <w:color w:val="000000" w:themeColor="text1"/>
          <w:szCs w:val="24"/>
        </w:rPr>
        <w:t xml:space="preserve">/disengage </w:t>
      </w:r>
      <w:r w:rsidRPr="00202402">
        <w:rPr>
          <w:rFonts w:cs="Times New Roman"/>
          <w:noProof/>
          <w:color w:val="000000" w:themeColor="text1"/>
          <w:szCs w:val="24"/>
        </w:rPr>
        <w:t>in a particular activity.</w:t>
      </w:r>
    </w:p>
    <w:p w14:paraId="2D0E1D17" w14:textId="4860D4E5" w:rsidR="00E5270C" w:rsidRPr="00854965" w:rsidRDefault="00E5270C" w:rsidP="00E5270C">
      <w:pPr>
        <w:spacing w:after="120" w:line="264" w:lineRule="auto"/>
        <w:rPr>
          <w:rFonts w:ascii="Times New Roman" w:hAnsi="Times New Roman" w:cs="Times New Roman"/>
          <w:bCs/>
          <w:noProof/>
          <w:color w:val="000000" w:themeColor="text1"/>
          <w:sz w:val="24"/>
          <w:szCs w:val="24"/>
          <w:u w:val="single"/>
        </w:rPr>
      </w:pPr>
      <w:r w:rsidRPr="00854965">
        <w:rPr>
          <w:rFonts w:ascii="Times New Roman" w:hAnsi="Times New Roman" w:cs="Times New Roman"/>
          <w:bCs/>
          <w:noProof/>
          <w:color w:val="000000" w:themeColor="text1"/>
          <w:sz w:val="24"/>
          <w:szCs w:val="24"/>
          <w:u w:val="single"/>
        </w:rPr>
        <w:t>Commission’s response</w:t>
      </w:r>
    </w:p>
    <w:p w14:paraId="117EC7B6" w14:textId="45480994" w:rsidR="00E5270C" w:rsidRPr="001E3C9B" w:rsidRDefault="00E5270C" w:rsidP="00E5270C">
      <w:pPr>
        <w:spacing w:after="120" w:line="264" w:lineRule="auto"/>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The panel of experts highlighted that</w:t>
      </w:r>
      <w:r w:rsidR="00463698" w:rsidRPr="001E3C9B">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considering the breadth of activities covered by the JRC direct actions</w:t>
      </w:r>
      <w:r w:rsidR="00AF4C46">
        <w:rPr>
          <w:rFonts w:ascii="Times New Roman" w:hAnsi="Times New Roman" w:cs="Times New Roman"/>
          <w:noProof/>
          <w:color w:val="000000" w:themeColor="text1"/>
          <w:sz w:val="24"/>
          <w:szCs w:val="24"/>
        </w:rPr>
        <w:t>: (i)</w:t>
      </w:r>
      <w:r w:rsidRPr="001E3C9B">
        <w:rPr>
          <w:rFonts w:ascii="Times New Roman" w:hAnsi="Times New Roman" w:cs="Times New Roman"/>
          <w:noProof/>
          <w:color w:val="000000" w:themeColor="text1"/>
          <w:sz w:val="24"/>
          <w:szCs w:val="24"/>
        </w:rPr>
        <w:t xml:space="preserve"> there was some room </w:t>
      </w:r>
      <w:r w:rsidR="006F2F4B">
        <w:rPr>
          <w:rFonts w:ascii="Times New Roman" w:hAnsi="Times New Roman" w:cs="Times New Roman"/>
          <w:noProof/>
          <w:color w:val="000000" w:themeColor="text1"/>
          <w:sz w:val="24"/>
          <w:szCs w:val="24"/>
        </w:rPr>
        <w:t xml:space="preserve">for the JRC </w:t>
      </w:r>
      <w:r w:rsidRPr="001E3C9B">
        <w:rPr>
          <w:rFonts w:ascii="Times New Roman" w:hAnsi="Times New Roman" w:cs="Times New Roman"/>
          <w:noProof/>
          <w:color w:val="000000" w:themeColor="text1"/>
          <w:sz w:val="24"/>
          <w:szCs w:val="24"/>
        </w:rPr>
        <w:t>to better focus resources on activities with the highest impact</w:t>
      </w:r>
      <w:r w:rsidR="00AF4C46">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and </w:t>
      </w:r>
      <w:r w:rsidR="00AF4C46">
        <w:rPr>
          <w:rFonts w:ascii="Times New Roman" w:hAnsi="Times New Roman" w:cs="Times New Roman"/>
          <w:noProof/>
          <w:color w:val="000000" w:themeColor="text1"/>
          <w:sz w:val="24"/>
          <w:szCs w:val="24"/>
        </w:rPr>
        <w:t>(ii) there were some areas in which</w:t>
      </w:r>
      <w:r w:rsidRPr="001E3C9B">
        <w:rPr>
          <w:rFonts w:ascii="Times New Roman" w:hAnsi="Times New Roman" w:cs="Times New Roman"/>
          <w:noProof/>
          <w:color w:val="000000" w:themeColor="text1"/>
          <w:sz w:val="24"/>
          <w:szCs w:val="24"/>
        </w:rPr>
        <w:t xml:space="preserve"> the JRC is uniquely positioned to provide </w:t>
      </w:r>
      <w:r w:rsidR="00AF4C46">
        <w:rPr>
          <w:rFonts w:ascii="Times New Roman" w:hAnsi="Times New Roman" w:cs="Times New Roman"/>
          <w:noProof/>
          <w:color w:val="000000" w:themeColor="text1"/>
          <w:sz w:val="24"/>
          <w:szCs w:val="24"/>
        </w:rPr>
        <w:t xml:space="preserve">the </w:t>
      </w:r>
      <w:r w:rsidRPr="001E3C9B">
        <w:rPr>
          <w:rFonts w:ascii="Times New Roman" w:hAnsi="Times New Roman" w:cs="Times New Roman"/>
          <w:noProof/>
          <w:color w:val="000000" w:themeColor="text1"/>
          <w:sz w:val="24"/>
          <w:szCs w:val="24"/>
        </w:rPr>
        <w:t>necessary scientific evidence. The JRC</w:t>
      </w:r>
      <w:r w:rsidR="00463698" w:rsidRPr="001E3C9B">
        <w:rPr>
          <w:rFonts w:ascii="Times New Roman" w:hAnsi="Times New Roman" w:cs="Times New Roman"/>
          <w:noProof/>
          <w:color w:val="000000" w:themeColor="text1"/>
          <w:sz w:val="24"/>
          <w:szCs w:val="24"/>
        </w:rPr>
        <w:t>’s</w:t>
      </w:r>
      <w:r w:rsidRPr="001E3C9B">
        <w:rPr>
          <w:rFonts w:ascii="Times New Roman" w:hAnsi="Times New Roman" w:cs="Times New Roman"/>
          <w:noProof/>
          <w:color w:val="000000" w:themeColor="text1"/>
          <w:sz w:val="24"/>
          <w:szCs w:val="24"/>
        </w:rPr>
        <w:t xml:space="preserve"> new nuclear strategy comprises a whole set of actions aimed at prioritising its work and clearly set</w:t>
      </w:r>
      <w:r w:rsidR="00500A75">
        <w:rPr>
          <w:rFonts w:ascii="Times New Roman" w:hAnsi="Times New Roman" w:cs="Times New Roman"/>
          <w:noProof/>
          <w:color w:val="000000" w:themeColor="text1"/>
          <w:sz w:val="24"/>
          <w:szCs w:val="24"/>
        </w:rPr>
        <w:t>ting</w:t>
      </w:r>
      <w:r w:rsidRPr="001E3C9B">
        <w:rPr>
          <w:rFonts w:ascii="Times New Roman" w:hAnsi="Times New Roman" w:cs="Times New Roman"/>
          <w:noProof/>
          <w:color w:val="000000" w:themeColor="text1"/>
          <w:sz w:val="24"/>
          <w:szCs w:val="24"/>
        </w:rPr>
        <w:t xml:space="preserve"> priorities for current and prospective activities.  </w:t>
      </w:r>
    </w:p>
    <w:p w14:paraId="47C0481D" w14:textId="1239252F" w:rsidR="00E5270C" w:rsidRPr="001E3C9B" w:rsidRDefault="00500A75" w:rsidP="00E5270C">
      <w:pPr>
        <w:spacing w:after="120" w:line="264"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panel pointed out a</w:t>
      </w:r>
      <w:r w:rsidR="00AF4C46">
        <w:rPr>
          <w:rFonts w:ascii="Times New Roman" w:hAnsi="Times New Roman" w:cs="Times New Roman"/>
          <w:noProof/>
          <w:color w:val="000000" w:themeColor="text1"/>
          <w:sz w:val="24"/>
          <w:szCs w:val="24"/>
        </w:rPr>
        <w:t xml:space="preserve"> </w:t>
      </w:r>
      <w:r w:rsidR="00E5270C" w:rsidRPr="001E3C9B">
        <w:rPr>
          <w:rFonts w:ascii="Times New Roman" w:hAnsi="Times New Roman" w:cs="Times New Roman"/>
          <w:noProof/>
          <w:color w:val="000000" w:themeColor="text1"/>
          <w:sz w:val="24"/>
          <w:szCs w:val="24"/>
        </w:rPr>
        <w:t>certain lack of integration of the various activities carried out in the JRC</w:t>
      </w:r>
      <w:r w:rsidR="00463698" w:rsidRPr="001E3C9B">
        <w:rPr>
          <w:rFonts w:ascii="Times New Roman" w:hAnsi="Times New Roman" w:cs="Times New Roman"/>
          <w:noProof/>
          <w:color w:val="000000" w:themeColor="text1"/>
          <w:sz w:val="24"/>
          <w:szCs w:val="24"/>
        </w:rPr>
        <w:t>,</w:t>
      </w:r>
      <w:r w:rsidR="00E5270C" w:rsidRPr="001E3C9B">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 xml:space="preserve">saying that this </w:t>
      </w:r>
      <w:r w:rsidR="00E5270C" w:rsidRPr="001E3C9B">
        <w:rPr>
          <w:rFonts w:ascii="Times New Roman" w:hAnsi="Times New Roman" w:cs="Times New Roman"/>
          <w:noProof/>
          <w:color w:val="000000" w:themeColor="text1"/>
          <w:sz w:val="24"/>
          <w:szCs w:val="24"/>
        </w:rPr>
        <w:t xml:space="preserve">sometimes </w:t>
      </w:r>
      <w:r>
        <w:rPr>
          <w:rFonts w:ascii="Times New Roman" w:hAnsi="Times New Roman" w:cs="Times New Roman"/>
          <w:noProof/>
          <w:color w:val="000000" w:themeColor="text1"/>
          <w:sz w:val="24"/>
          <w:szCs w:val="24"/>
        </w:rPr>
        <w:t xml:space="preserve">led </w:t>
      </w:r>
      <w:r w:rsidR="00E5270C" w:rsidRPr="001E3C9B">
        <w:rPr>
          <w:rFonts w:ascii="Times New Roman" w:hAnsi="Times New Roman" w:cs="Times New Roman"/>
          <w:noProof/>
          <w:color w:val="000000" w:themeColor="text1"/>
          <w:sz w:val="24"/>
          <w:szCs w:val="24"/>
        </w:rPr>
        <w:t>to a fragmented approach. In order to counter this trend, the JRC has reorganis</w:t>
      </w:r>
      <w:r>
        <w:rPr>
          <w:rFonts w:ascii="Times New Roman" w:hAnsi="Times New Roman" w:cs="Times New Roman"/>
          <w:noProof/>
          <w:color w:val="000000" w:themeColor="text1"/>
          <w:sz w:val="24"/>
          <w:szCs w:val="24"/>
        </w:rPr>
        <w:t>ed</w:t>
      </w:r>
      <w:r w:rsidR="00E5270C" w:rsidRPr="001E3C9B">
        <w:rPr>
          <w:rFonts w:ascii="Times New Roman" w:hAnsi="Times New Roman" w:cs="Times New Roman"/>
          <w:noProof/>
          <w:color w:val="000000" w:themeColor="text1"/>
          <w:sz w:val="24"/>
          <w:szCs w:val="24"/>
        </w:rPr>
        <w:t xml:space="preserve"> its work programme </w:t>
      </w:r>
      <w:r>
        <w:rPr>
          <w:rFonts w:ascii="Times New Roman" w:hAnsi="Times New Roman" w:cs="Times New Roman"/>
          <w:noProof/>
          <w:color w:val="000000" w:themeColor="text1"/>
          <w:sz w:val="24"/>
          <w:szCs w:val="24"/>
        </w:rPr>
        <w:t xml:space="preserve">by </w:t>
      </w:r>
      <w:r w:rsidR="00E5270C" w:rsidRPr="001E3C9B">
        <w:rPr>
          <w:rFonts w:ascii="Times New Roman" w:hAnsi="Times New Roman" w:cs="Times New Roman"/>
          <w:noProof/>
          <w:color w:val="000000" w:themeColor="text1"/>
          <w:sz w:val="24"/>
          <w:szCs w:val="24"/>
        </w:rPr>
        <w:t>introducing portfolios</w:t>
      </w:r>
      <w:r>
        <w:rPr>
          <w:rFonts w:ascii="Times New Roman" w:hAnsi="Times New Roman" w:cs="Times New Roman"/>
          <w:noProof/>
          <w:color w:val="000000" w:themeColor="text1"/>
          <w:sz w:val="24"/>
          <w:szCs w:val="24"/>
        </w:rPr>
        <w:t>. These portfolios</w:t>
      </w:r>
      <w:r w:rsidR="00E5270C" w:rsidRPr="001E3C9B">
        <w:rPr>
          <w:rFonts w:ascii="Times New Roman" w:hAnsi="Times New Roman" w:cs="Times New Roman"/>
          <w:noProof/>
          <w:color w:val="000000" w:themeColor="text1"/>
          <w:sz w:val="24"/>
          <w:szCs w:val="24"/>
        </w:rPr>
        <w:t xml:space="preserve"> aim to provide an integrated view and </w:t>
      </w:r>
      <w:r>
        <w:rPr>
          <w:rFonts w:ascii="Times New Roman" w:hAnsi="Times New Roman" w:cs="Times New Roman"/>
          <w:noProof/>
          <w:color w:val="000000" w:themeColor="text1"/>
          <w:sz w:val="24"/>
          <w:szCs w:val="24"/>
        </w:rPr>
        <w:t xml:space="preserve">better </w:t>
      </w:r>
      <w:r w:rsidR="00E5270C" w:rsidRPr="001E3C9B">
        <w:rPr>
          <w:rFonts w:ascii="Times New Roman" w:hAnsi="Times New Roman" w:cs="Times New Roman"/>
          <w:noProof/>
          <w:color w:val="000000" w:themeColor="text1"/>
          <w:sz w:val="24"/>
          <w:szCs w:val="24"/>
        </w:rPr>
        <w:t xml:space="preserve">coordination of the relevant activities under clearly defined priorities. </w:t>
      </w:r>
    </w:p>
    <w:p w14:paraId="369B66D0" w14:textId="66C0B7E8" w:rsidR="00E5270C" w:rsidRPr="001E3C9B" w:rsidRDefault="00E5270C" w:rsidP="00E5270C">
      <w:pPr>
        <w:spacing w:after="120" w:line="264" w:lineRule="auto"/>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 xml:space="preserve">The anticipation of research and policy needs from other DGs in the European Commission is ensured </w:t>
      </w:r>
      <w:r w:rsidR="009D18D0" w:rsidRPr="001E3C9B">
        <w:rPr>
          <w:rFonts w:ascii="Times New Roman" w:hAnsi="Times New Roman" w:cs="Times New Roman"/>
          <w:noProof/>
          <w:color w:val="000000" w:themeColor="text1"/>
          <w:sz w:val="24"/>
          <w:szCs w:val="24"/>
        </w:rPr>
        <w:t>through planned cluster meetings</w:t>
      </w:r>
      <w:r w:rsidR="00F666CE">
        <w:rPr>
          <w:rFonts w:ascii="Times New Roman" w:hAnsi="Times New Roman" w:cs="Times New Roman"/>
          <w:noProof/>
          <w:color w:val="000000" w:themeColor="text1"/>
          <w:sz w:val="24"/>
          <w:szCs w:val="24"/>
        </w:rPr>
        <w:t xml:space="preserve"> with several DGs</w:t>
      </w:r>
      <w:r w:rsidR="00463698" w:rsidRPr="001E3C9B">
        <w:rPr>
          <w:rFonts w:ascii="Times New Roman" w:hAnsi="Times New Roman" w:cs="Times New Roman"/>
          <w:noProof/>
          <w:color w:val="000000" w:themeColor="text1"/>
          <w:sz w:val="24"/>
          <w:szCs w:val="24"/>
        </w:rPr>
        <w:t xml:space="preserve"> in order to </w:t>
      </w:r>
      <w:r w:rsidR="00500A75">
        <w:rPr>
          <w:rFonts w:ascii="Times New Roman" w:hAnsi="Times New Roman" w:cs="Times New Roman"/>
          <w:noProof/>
          <w:color w:val="000000" w:themeColor="text1"/>
          <w:sz w:val="24"/>
          <w:szCs w:val="24"/>
        </w:rPr>
        <w:t>set</w:t>
      </w:r>
      <w:r w:rsidR="00500A75" w:rsidRPr="001E3C9B">
        <w:rPr>
          <w:rFonts w:ascii="Times New Roman" w:hAnsi="Times New Roman" w:cs="Times New Roman"/>
          <w:noProof/>
          <w:color w:val="000000" w:themeColor="text1"/>
          <w:sz w:val="24"/>
          <w:szCs w:val="24"/>
        </w:rPr>
        <w:t xml:space="preserve"> </w:t>
      </w:r>
      <w:r w:rsidR="00463698" w:rsidRPr="001E3C9B">
        <w:rPr>
          <w:rFonts w:ascii="Times New Roman" w:hAnsi="Times New Roman" w:cs="Times New Roman"/>
          <w:noProof/>
          <w:color w:val="000000" w:themeColor="text1"/>
          <w:sz w:val="24"/>
          <w:szCs w:val="24"/>
        </w:rPr>
        <w:t>priorities based on a coordinated assessment. In these meetings</w:t>
      </w:r>
      <w:r w:rsidR="00B102F3">
        <w:rPr>
          <w:rFonts w:ascii="Times New Roman" w:hAnsi="Times New Roman" w:cs="Times New Roman"/>
          <w:noProof/>
          <w:color w:val="000000" w:themeColor="text1"/>
          <w:sz w:val="24"/>
          <w:szCs w:val="24"/>
        </w:rPr>
        <w:t>,</w:t>
      </w:r>
      <w:r w:rsidR="009D18D0" w:rsidRPr="001E3C9B">
        <w:rPr>
          <w:rFonts w:ascii="Times New Roman" w:hAnsi="Times New Roman" w:cs="Times New Roman"/>
          <w:noProof/>
          <w:color w:val="000000" w:themeColor="text1"/>
          <w:sz w:val="24"/>
          <w:szCs w:val="24"/>
        </w:rPr>
        <w:t xml:space="preserve"> several DGs of the European Commission are invited to express and discuss their priorities with the JRC. Within the nuclear area, the JRC holds additional </w:t>
      </w:r>
      <w:r w:rsidRPr="001E3C9B">
        <w:rPr>
          <w:rFonts w:ascii="Times New Roman" w:hAnsi="Times New Roman" w:cs="Times New Roman"/>
          <w:noProof/>
          <w:color w:val="000000" w:themeColor="text1"/>
          <w:sz w:val="24"/>
          <w:szCs w:val="24"/>
        </w:rPr>
        <w:t>coordination meetings with partner</w:t>
      </w:r>
      <w:r w:rsidR="009D18D0"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DG</w:t>
      </w:r>
      <w:r w:rsidR="00463698" w:rsidRPr="001E3C9B">
        <w:rPr>
          <w:rFonts w:ascii="Times New Roman" w:hAnsi="Times New Roman" w:cs="Times New Roman"/>
          <w:noProof/>
          <w:color w:val="000000" w:themeColor="text1"/>
          <w:sz w:val="24"/>
          <w:szCs w:val="24"/>
        </w:rPr>
        <w:t>s</w:t>
      </w:r>
      <w:r w:rsidR="009D18D0" w:rsidRPr="001E3C9B">
        <w:rPr>
          <w:rFonts w:ascii="Times New Roman" w:hAnsi="Times New Roman" w:cs="Times New Roman"/>
          <w:noProof/>
          <w:color w:val="000000" w:themeColor="text1"/>
          <w:sz w:val="24"/>
          <w:szCs w:val="24"/>
        </w:rPr>
        <w:t xml:space="preserve"> in charge of research </w:t>
      </w:r>
      <w:r w:rsidR="00463698" w:rsidRPr="001E3C9B">
        <w:rPr>
          <w:rFonts w:ascii="Times New Roman" w:hAnsi="Times New Roman" w:cs="Times New Roman"/>
          <w:noProof/>
          <w:color w:val="000000" w:themeColor="text1"/>
          <w:sz w:val="24"/>
          <w:szCs w:val="24"/>
        </w:rPr>
        <w:t>and</w:t>
      </w:r>
      <w:r w:rsidR="009D18D0" w:rsidRPr="001E3C9B">
        <w:rPr>
          <w:rFonts w:ascii="Times New Roman" w:hAnsi="Times New Roman" w:cs="Times New Roman"/>
          <w:noProof/>
          <w:color w:val="000000" w:themeColor="text1"/>
          <w:sz w:val="24"/>
          <w:szCs w:val="24"/>
        </w:rPr>
        <w:t xml:space="preserve"> innovation, energy, international partnerships, internal affairs, etc.</w:t>
      </w:r>
      <w:r w:rsidRPr="001E3C9B">
        <w:rPr>
          <w:rFonts w:ascii="Times New Roman" w:hAnsi="Times New Roman" w:cs="Times New Roman"/>
          <w:noProof/>
          <w:color w:val="000000" w:themeColor="text1"/>
          <w:sz w:val="24"/>
          <w:szCs w:val="24"/>
        </w:rPr>
        <w:t xml:space="preserve"> </w:t>
      </w:r>
      <w:r w:rsidR="00463698" w:rsidRPr="001E3C9B">
        <w:rPr>
          <w:rFonts w:ascii="Times New Roman" w:hAnsi="Times New Roman" w:cs="Times New Roman"/>
          <w:noProof/>
          <w:color w:val="000000" w:themeColor="text1"/>
          <w:sz w:val="24"/>
          <w:szCs w:val="24"/>
        </w:rPr>
        <w:t>for</w:t>
      </w:r>
      <w:r w:rsidRPr="001E3C9B">
        <w:rPr>
          <w:rFonts w:ascii="Times New Roman" w:hAnsi="Times New Roman" w:cs="Times New Roman"/>
          <w:noProof/>
          <w:color w:val="000000" w:themeColor="text1"/>
          <w:sz w:val="24"/>
          <w:szCs w:val="24"/>
        </w:rPr>
        <w:t xml:space="preserve"> exchange</w:t>
      </w:r>
      <w:r w:rsidR="00463698" w:rsidRPr="001E3C9B">
        <w:rPr>
          <w:rFonts w:ascii="Times New Roman" w:hAnsi="Times New Roman" w:cs="Times New Roman"/>
          <w:noProof/>
          <w:color w:val="000000" w:themeColor="text1"/>
          <w:sz w:val="24"/>
          <w:szCs w:val="24"/>
        </w:rPr>
        <w:t>s</w:t>
      </w:r>
      <w:r w:rsidRPr="001E3C9B">
        <w:rPr>
          <w:rFonts w:ascii="Times New Roman" w:hAnsi="Times New Roman" w:cs="Times New Roman"/>
          <w:noProof/>
          <w:color w:val="000000" w:themeColor="text1"/>
          <w:sz w:val="24"/>
          <w:szCs w:val="24"/>
        </w:rPr>
        <w:t xml:space="preserve"> on future needs. </w:t>
      </w:r>
    </w:p>
    <w:p w14:paraId="02C41115" w14:textId="621952B1" w:rsidR="00E5270C" w:rsidRPr="001E3C9B" w:rsidRDefault="00E5270C" w:rsidP="00E5270C">
      <w:pPr>
        <w:spacing w:after="120" w:line="264" w:lineRule="auto"/>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 xml:space="preserve">Overall, the experts found a good awareness within the </w:t>
      </w:r>
      <w:r w:rsidR="009D18D0" w:rsidRPr="001E3C9B">
        <w:rPr>
          <w:rFonts w:ascii="Times New Roman" w:hAnsi="Times New Roman" w:cs="Times New Roman"/>
          <w:noProof/>
          <w:color w:val="000000" w:themeColor="text1"/>
          <w:sz w:val="24"/>
          <w:szCs w:val="24"/>
        </w:rPr>
        <w:t xml:space="preserve">JRC </w:t>
      </w:r>
      <w:r w:rsidRPr="001E3C9B">
        <w:rPr>
          <w:rFonts w:ascii="Times New Roman" w:hAnsi="Times New Roman" w:cs="Times New Roman"/>
          <w:noProof/>
          <w:color w:val="000000" w:themeColor="text1"/>
          <w:sz w:val="24"/>
          <w:szCs w:val="24"/>
        </w:rPr>
        <w:t>of its unique strength</w:t>
      </w:r>
      <w:r w:rsidR="006C389C">
        <w:rPr>
          <w:rFonts w:ascii="Times New Roman" w:hAnsi="Times New Roman" w:cs="Times New Roman"/>
          <w:noProof/>
          <w:color w:val="000000" w:themeColor="text1"/>
          <w:sz w:val="24"/>
          <w:szCs w:val="24"/>
        </w:rPr>
        <w:t>s</w:t>
      </w:r>
      <w:r w:rsidRPr="001E3C9B">
        <w:rPr>
          <w:rFonts w:ascii="Times New Roman" w:hAnsi="Times New Roman" w:cs="Times New Roman"/>
          <w:noProof/>
          <w:color w:val="000000" w:themeColor="text1"/>
          <w:sz w:val="24"/>
          <w:szCs w:val="24"/>
        </w:rPr>
        <w:t xml:space="preserve">, </w:t>
      </w:r>
      <w:r w:rsidR="006C389C">
        <w:rPr>
          <w:rFonts w:ascii="Times New Roman" w:hAnsi="Times New Roman" w:cs="Times New Roman"/>
          <w:noProof/>
          <w:color w:val="000000" w:themeColor="text1"/>
          <w:sz w:val="24"/>
          <w:szCs w:val="24"/>
        </w:rPr>
        <w:t>incl</w:t>
      </w:r>
      <w:r w:rsidR="003A22BA">
        <w:rPr>
          <w:rFonts w:ascii="Times New Roman" w:hAnsi="Times New Roman" w:cs="Times New Roman"/>
          <w:noProof/>
          <w:color w:val="000000" w:themeColor="text1"/>
          <w:sz w:val="24"/>
          <w:szCs w:val="24"/>
        </w:rPr>
        <w:t>u</w:t>
      </w:r>
      <w:r w:rsidR="006C389C">
        <w:rPr>
          <w:rFonts w:ascii="Times New Roman" w:hAnsi="Times New Roman" w:cs="Times New Roman"/>
          <w:noProof/>
          <w:color w:val="000000" w:themeColor="text1"/>
          <w:sz w:val="24"/>
          <w:szCs w:val="24"/>
        </w:rPr>
        <w:t>ding</w:t>
      </w:r>
      <w:r w:rsidR="006C389C"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its independence, solid scientific foundation</w:t>
      </w:r>
      <w:r w:rsidR="006C389C">
        <w:rPr>
          <w:rFonts w:ascii="Times New Roman" w:hAnsi="Times New Roman" w:cs="Times New Roman"/>
          <w:noProof/>
          <w:color w:val="000000" w:themeColor="text1"/>
          <w:sz w:val="24"/>
          <w:szCs w:val="24"/>
        </w:rPr>
        <w:t>,</w:t>
      </w:r>
      <w:r w:rsidR="003A22BA">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long</w:t>
      </w:r>
      <w:r w:rsidR="00463698" w:rsidRPr="001E3C9B">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standing expertise</w:t>
      </w:r>
      <w:r w:rsidR="006C389C">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w:t>
      </w:r>
      <w:r w:rsidR="006C389C">
        <w:rPr>
          <w:rFonts w:ascii="Times New Roman" w:hAnsi="Times New Roman" w:cs="Times New Roman"/>
          <w:noProof/>
          <w:color w:val="000000" w:themeColor="text1"/>
          <w:sz w:val="24"/>
          <w:szCs w:val="24"/>
        </w:rPr>
        <w:t>sharing</w:t>
      </w:r>
      <w:r w:rsidR="006C389C"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of research facilities</w:t>
      </w:r>
      <w:r w:rsidR="006C389C">
        <w:rPr>
          <w:rFonts w:ascii="Times New Roman" w:hAnsi="Times New Roman" w:cs="Times New Roman"/>
          <w:noProof/>
          <w:color w:val="000000" w:themeColor="text1"/>
          <w:sz w:val="24"/>
          <w:szCs w:val="24"/>
        </w:rPr>
        <w:t xml:space="preserve"> with other researchers,</w:t>
      </w:r>
      <w:r w:rsidRPr="001E3C9B">
        <w:rPr>
          <w:rFonts w:ascii="Times New Roman" w:hAnsi="Times New Roman" w:cs="Times New Roman"/>
          <w:noProof/>
          <w:color w:val="000000" w:themeColor="text1"/>
          <w:sz w:val="24"/>
          <w:szCs w:val="24"/>
        </w:rPr>
        <w:t xml:space="preserve"> and ability to provide continuity of research where other actors are tied by different imperatives. Th</w:t>
      </w:r>
      <w:r w:rsidR="00FE063B">
        <w:rPr>
          <w:rFonts w:ascii="Times New Roman" w:hAnsi="Times New Roman" w:cs="Times New Roman"/>
          <w:noProof/>
          <w:color w:val="000000" w:themeColor="text1"/>
          <w:sz w:val="24"/>
          <w:szCs w:val="24"/>
        </w:rPr>
        <w:t>ese JRC strengths complement</w:t>
      </w:r>
      <w:r w:rsidR="003A22BA">
        <w:rPr>
          <w:rFonts w:ascii="Times New Roman" w:hAnsi="Times New Roman" w:cs="Times New Roman"/>
          <w:noProof/>
          <w:color w:val="000000" w:themeColor="text1"/>
          <w:sz w:val="24"/>
          <w:szCs w:val="24"/>
        </w:rPr>
        <w:t xml:space="preserve"> </w:t>
      </w:r>
      <w:r w:rsidR="004E5AB1">
        <w:rPr>
          <w:rFonts w:ascii="Times New Roman" w:hAnsi="Times New Roman" w:cs="Times New Roman"/>
          <w:noProof/>
          <w:color w:val="000000" w:themeColor="text1"/>
          <w:sz w:val="24"/>
          <w:szCs w:val="24"/>
        </w:rPr>
        <w:t>its</w:t>
      </w:r>
      <w:r w:rsidR="00CE01C6">
        <w:rPr>
          <w:rFonts w:ascii="Times New Roman" w:hAnsi="Times New Roman" w:cs="Times New Roman"/>
          <w:noProof/>
          <w:color w:val="000000" w:themeColor="text1"/>
          <w:sz w:val="24"/>
          <w:szCs w:val="24"/>
        </w:rPr>
        <w:t xml:space="preserve">its </w:t>
      </w:r>
      <w:r w:rsidRPr="001E3C9B">
        <w:rPr>
          <w:rFonts w:ascii="Times New Roman" w:hAnsi="Times New Roman" w:cs="Times New Roman"/>
          <w:noProof/>
          <w:color w:val="000000" w:themeColor="text1"/>
          <w:sz w:val="24"/>
          <w:szCs w:val="24"/>
        </w:rPr>
        <w:t>new nuclear strategy</w:t>
      </w:r>
      <w:r w:rsidR="003A22BA">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and reinforcing these identified strength</w:t>
      </w:r>
      <w:r w:rsidR="00463698" w:rsidRPr="001E3C9B">
        <w:rPr>
          <w:rFonts w:ascii="Times New Roman" w:hAnsi="Times New Roman" w:cs="Times New Roman"/>
          <w:noProof/>
          <w:color w:val="000000" w:themeColor="text1"/>
          <w:sz w:val="24"/>
          <w:szCs w:val="24"/>
        </w:rPr>
        <w:t>s</w:t>
      </w:r>
      <w:r w:rsidRPr="001E3C9B">
        <w:rPr>
          <w:rFonts w:ascii="Times New Roman" w:hAnsi="Times New Roman" w:cs="Times New Roman"/>
          <w:noProof/>
          <w:color w:val="000000" w:themeColor="text1"/>
          <w:sz w:val="24"/>
          <w:szCs w:val="24"/>
        </w:rPr>
        <w:t xml:space="preserve"> is largely compatible with the implementation of the </w:t>
      </w:r>
      <w:r w:rsidR="00FE063B">
        <w:rPr>
          <w:rFonts w:ascii="Times New Roman" w:hAnsi="Times New Roman" w:cs="Times New Roman"/>
          <w:noProof/>
          <w:color w:val="000000" w:themeColor="text1"/>
          <w:sz w:val="24"/>
          <w:szCs w:val="24"/>
        </w:rPr>
        <w:t xml:space="preserve">JRC’s </w:t>
      </w:r>
      <w:r w:rsidRPr="001E3C9B">
        <w:rPr>
          <w:rFonts w:ascii="Times New Roman" w:hAnsi="Times New Roman" w:cs="Times New Roman"/>
          <w:noProof/>
          <w:color w:val="000000" w:themeColor="text1"/>
          <w:sz w:val="24"/>
          <w:szCs w:val="24"/>
        </w:rPr>
        <w:t>strategy plan, including prioritis</w:t>
      </w:r>
      <w:r w:rsidR="00FE063B">
        <w:rPr>
          <w:rFonts w:ascii="Times New Roman" w:hAnsi="Times New Roman" w:cs="Times New Roman"/>
          <w:noProof/>
          <w:color w:val="000000" w:themeColor="text1"/>
          <w:sz w:val="24"/>
          <w:szCs w:val="24"/>
        </w:rPr>
        <w:t>ing</w:t>
      </w:r>
      <w:r w:rsidRPr="001E3C9B">
        <w:rPr>
          <w:rFonts w:ascii="Times New Roman" w:hAnsi="Times New Roman" w:cs="Times New Roman"/>
          <w:noProof/>
          <w:color w:val="000000" w:themeColor="text1"/>
          <w:sz w:val="24"/>
          <w:szCs w:val="24"/>
        </w:rPr>
        <w:t xml:space="preserve"> and optimi</w:t>
      </w:r>
      <w:r w:rsidR="00463698" w:rsidRPr="001E3C9B">
        <w:rPr>
          <w:rFonts w:ascii="Times New Roman" w:hAnsi="Times New Roman" w:cs="Times New Roman"/>
          <w:noProof/>
          <w:color w:val="000000" w:themeColor="text1"/>
          <w:sz w:val="24"/>
          <w:szCs w:val="24"/>
        </w:rPr>
        <w:t>s</w:t>
      </w:r>
      <w:r w:rsidR="00FE063B">
        <w:rPr>
          <w:rFonts w:ascii="Times New Roman" w:hAnsi="Times New Roman" w:cs="Times New Roman"/>
          <w:noProof/>
          <w:color w:val="000000" w:themeColor="text1"/>
          <w:sz w:val="24"/>
          <w:szCs w:val="24"/>
        </w:rPr>
        <w:t>ing</w:t>
      </w:r>
      <w:r w:rsidRPr="001E3C9B">
        <w:rPr>
          <w:rFonts w:ascii="Times New Roman" w:hAnsi="Times New Roman" w:cs="Times New Roman"/>
          <w:noProof/>
          <w:color w:val="000000" w:themeColor="text1"/>
          <w:sz w:val="24"/>
          <w:szCs w:val="24"/>
        </w:rPr>
        <w:t xml:space="preserve"> research infrastructures and the open</w:t>
      </w:r>
      <w:r w:rsidR="00E86DB0">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access programmes. </w:t>
      </w:r>
    </w:p>
    <w:p w14:paraId="36D00C1A" w14:textId="00862845" w:rsidR="00E5270C" w:rsidRPr="001E3C9B" w:rsidRDefault="00E5270C" w:rsidP="00E5270C">
      <w:pPr>
        <w:spacing w:after="120" w:line="264" w:lineRule="auto"/>
        <w:rPr>
          <w:rFonts w:ascii="Times New Roman" w:hAnsi="Times New Roman" w:cs="Times New Roman"/>
          <w:b/>
          <w:noProof/>
          <w:color w:val="000000" w:themeColor="text1"/>
          <w:sz w:val="24"/>
          <w:szCs w:val="24"/>
        </w:rPr>
      </w:pPr>
      <w:r w:rsidRPr="001E3C9B">
        <w:rPr>
          <w:rFonts w:ascii="Times New Roman" w:hAnsi="Times New Roman" w:cs="Times New Roman"/>
          <w:b/>
          <w:noProof/>
          <w:color w:val="000000" w:themeColor="text1"/>
          <w:sz w:val="24"/>
          <w:szCs w:val="24"/>
        </w:rPr>
        <w:t>Recommendations on</w:t>
      </w:r>
      <w:r w:rsidR="00FE063B">
        <w:rPr>
          <w:rFonts w:ascii="Times New Roman" w:hAnsi="Times New Roman" w:cs="Times New Roman"/>
          <w:b/>
          <w:noProof/>
          <w:color w:val="000000" w:themeColor="text1"/>
          <w:sz w:val="24"/>
          <w:szCs w:val="24"/>
        </w:rPr>
        <w:t xml:space="preserve"> a</w:t>
      </w:r>
      <w:r w:rsidRPr="001E3C9B">
        <w:rPr>
          <w:rFonts w:ascii="Times New Roman" w:hAnsi="Times New Roman" w:cs="Times New Roman"/>
          <w:b/>
          <w:noProof/>
          <w:color w:val="000000" w:themeColor="text1"/>
          <w:sz w:val="24"/>
          <w:szCs w:val="24"/>
        </w:rPr>
        <w:t xml:space="preserve"> holistic approach to nuclear and non-nuclear activities</w:t>
      </w:r>
    </w:p>
    <w:p w14:paraId="666D0122" w14:textId="35C39BFC" w:rsidR="00E5270C" w:rsidRPr="00B977EA" w:rsidRDefault="00E5270C" w:rsidP="00E5270C">
      <w:pPr>
        <w:pStyle w:val="ListParagraph"/>
        <w:numPr>
          <w:ilvl w:val="0"/>
          <w:numId w:val="43"/>
        </w:numPr>
        <w:spacing w:after="120" w:line="264" w:lineRule="auto"/>
        <w:rPr>
          <w:rFonts w:cs="Times New Roman"/>
          <w:noProof/>
          <w:color w:val="000000" w:themeColor="text1"/>
          <w:szCs w:val="24"/>
        </w:rPr>
      </w:pPr>
      <w:r w:rsidRPr="00202402">
        <w:rPr>
          <w:rFonts w:cs="Times New Roman"/>
          <w:noProof/>
          <w:color w:val="000000" w:themeColor="text1"/>
          <w:szCs w:val="24"/>
        </w:rPr>
        <w:t xml:space="preserve">The JRC should use more holistic approaches in designing </w:t>
      </w:r>
      <w:r w:rsidR="005F6C27">
        <w:rPr>
          <w:rFonts w:cs="Times New Roman"/>
          <w:noProof/>
          <w:color w:val="000000" w:themeColor="text1"/>
          <w:szCs w:val="24"/>
        </w:rPr>
        <w:t xml:space="preserve">both </w:t>
      </w:r>
      <w:r w:rsidRPr="00202402">
        <w:rPr>
          <w:rFonts w:cs="Times New Roman"/>
          <w:noProof/>
          <w:color w:val="000000" w:themeColor="text1"/>
          <w:szCs w:val="24"/>
        </w:rPr>
        <w:t xml:space="preserve">its work programme and </w:t>
      </w:r>
      <w:r w:rsidR="005F6C27">
        <w:rPr>
          <w:rFonts w:cs="Times New Roman"/>
          <w:noProof/>
          <w:color w:val="000000" w:themeColor="text1"/>
          <w:szCs w:val="24"/>
        </w:rPr>
        <w:t xml:space="preserve">its </w:t>
      </w:r>
      <w:r w:rsidRPr="00202402">
        <w:rPr>
          <w:rFonts w:cs="Times New Roman"/>
          <w:noProof/>
          <w:color w:val="000000" w:themeColor="text1"/>
          <w:szCs w:val="24"/>
        </w:rPr>
        <w:t>response to policy needs</w:t>
      </w:r>
      <w:r w:rsidR="005F6C27">
        <w:rPr>
          <w:rFonts w:cs="Times New Roman"/>
          <w:noProof/>
          <w:color w:val="000000" w:themeColor="text1"/>
          <w:szCs w:val="24"/>
        </w:rPr>
        <w:t>. It should</w:t>
      </w:r>
      <w:r w:rsidRPr="00202402">
        <w:rPr>
          <w:rFonts w:cs="Times New Roman"/>
          <w:noProof/>
          <w:color w:val="000000" w:themeColor="text1"/>
          <w:szCs w:val="24"/>
        </w:rPr>
        <w:t xml:space="preserve"> develop, as part of its business model, a strategic plan for integrating social sciences</w:t>
      </w:r>
      <w:r w:rsidR="005F6C27">
        <w:rPr>
          <w:rFonts w:cs="Times New Roman"/>
          <w:noProof/>
          <w:color w:val="000000" w:themeColor="text1"/>
          <w:szCs w:val="24"/>
        </w:rPr>
        <w:t xml:space="preserve"> into its research</w:t>
      </w:r>
      <w:r w:rsidRPr="00202402">
        <w:rPr>
          <w:rFonts w:cs="Times New Roman"/>
          <w:noProof/>
          <w:color w:val="000000" w:themeColor="text1"/>
          <w:szCs w:val="24"/>
        </w:rPr>
        <w:t>.</w:t>
      </w:r>
    </w:p>
    <w:p w14:paraId="7ED17553" w14:textId="7F1428F1" w:rsidR="00E5270C" w:rsidRPr="00B977EA" w:rsidRDefault="00E5270C" w:rsidP="00E5270C">
      <w:pPr>
        <w:pStyle w:val="ListParagraph"/>
        <w:numPr>
          <w:ilvl w:val="0"/>
          <w:numId w:val="43"/>
        </w:numPr>
        <w:spacing w:after="120" w:line="264" w:lineRule="auto"/>
        <w:rPr>
          <w:rFonts w:cs="Times New Roman"/>
          <w:noProof/>
          <w:color w:val="000000" w:themeColor="text1"/>
          <w:szCs w:val="24"/>
        </w:rPr>
      </w:pPr>
      <w:r w:rsidRPr="00202402">
        <w:rPr>
          <w:rFonts w:cs="Times New Roman"/>
          <w:noProof/>
          <w:color w:val="000000" w:themeColor="text1"/>
          <w:szCs w:val="24"/>
        </w:rPr>
        <w:t>The JRC should integrate social</w:t>
      </w:r>
      <w:r w:rsidR="00E86DB0">
        <w:rPr>
          <w:rFonts w:cs="Times New Roman"/>
          <w:noProof/>
          <w:color w:val="000000" w:themeColor="text1"/>
          <w:szCs w:val="24"/>
        </w:rPr>
        <w:t>-</w:t>
      </w:r>
      <w:r w:rsidRPr="00202402">
        <w:rPr>
          <w:rFonts w:cs="Times New Roman"/>
          <w:noProof/>
          <w:color w:val="000000" w:themeColor="text1"/>
          <w:szCs w:val="24"/>
        </w:rPr>
        <w:t>science research in</w:t>
      </w:r>
      <w:r w:rsidR="003A22BA">
        <w:rPr>
          <w:rFonts w:cs="Times New Roman"/>
          <w:noProof/>
          <w:color w:val="000000" w:themeColor="text1"/>
          <w:szCs w:val="24"/>
        </w:rPr>
        <w:t>to</w:t>
      </w:r>
      <w:r w:rsidRPr="00202402">
        <w:rPr>
          <w:rFonts w:cs="Times New Roman"/>
          <w:noProof/>
          <w:color w:val="000000" w:themeColor="text1"/>
          <w:szCs w:val="24"/>
        </w:rPr>
        <w:t xml:space="preserve"> Euratom activities, in particular </w:t>
      </w:r>
      <w:r w:rsidR="005F6C27">
        <w:rPr>
          <w:rFonts w:cs="Times New Roman"/>
          <w:noProof/>
          <w:color w:val="000000" w:themeColor="text1"/>
          <w:szCs w:val="24"/>
        </w:rPr>
        <w:t>in the area of</w:t>
      </w:r>
      <w:r w:rsidRPr="00202402">
        <w:rPr>
          <w:rFonts w:cs="Times New Roman"/>
          <w:noProof/>
          <w:color w:val="000000" w:themeColor="text1"/>
          <w:szCs w:val="24"/>
        </w:rPr>
        <w:t xml:space="preserve"> risk assessment, crisis preparedness</w:t>
      </w:r>
      <w:r w:rsidR="003A22BA">
        <w:rPr>
          <w:rFonts w:cs="Times New Roman"/>
          <w:noProof/>
          <w:color w:val="000000" w:themeColor="text1"/>
          <w:szCs w:val="24"/>
        </w:rPr>
        <w:t>,</w:t>
      </w:r>
      <w:r w:rsidRPr="00202402">
        <w:rPr>
          <w:rFonts w:cs="Times New Roman"/>
          <w:noProof/>
          <w:color w:val="000000" w:themeColor="text1"/>
          <w:szCs w:val="24"/>
        </w:rPr>
        <w:t xml:space="preserve"> and response, </w:t>
      </w:r>
      <w:r w:rsidR="003A22BA">
        <w:rPr>
          <w:rFonts w:cs="Times New Roman"/>
          <w:noProof/>
          <w:color w:val="000000" w:themeColor="text1"/>
          <w:szCs w:val="24"/>
        </w:rPr>
        <w:t xml:space="preserve">and </w:t>
      </w:r>
      <w:r w:rsidRPr="00202402">
        <w:rPr>
          <w:rFonts w:cs="Times New Roman"/>
          <w:noProof/>
          <w:color w:val="000000" w:themeColor="text1"/>
          <w:szCs w:val="24"/>
        </w:rPr>
        <w:t>mak</w:t>
      </w:r>
      <w:r w:rsidR="003A22BA">
        <w:rPr>
          <w:rFonts w:cs="Times New Roman"/>
          <w:noProof/>
          <w:color w:val="000000" w:themeColor="text1"/>
          <w:szCs w:val="24"/>
        </w:rPr>
        <w:t>e</w:t>
      </w:r>
      <w:r w:rsidRPr="00202402">
        <w:rPr>
          <w:rFonts w:cs="Times New Roman"/>
          <w:noProof/>
          <w:color w:val="000000" w:themeColor="text1"/>
          <w:szCs w:val="24"/>
        </w:rPr>
        <w:t xml:space="preserve"> use of the approaches </w:t>
      </w:r>
      <w:r w:rsidR="003A22BA">
        <w:rPr>
          <w:rFonts w:cs="Times New Roman"/>
          <w:noProof/>
          <w:color w:val="000000" w:themeColor="text1"/>
          <w:szCs w:val="24"/>
        </w:rPr>
        <w:t>that are</w:t>
      </w:r>
      <w:r w:rsidRPr="00202402">
        <w:rPr>
          <w:rFonts w:cs="Times New Roman"/>
          <w:noProof/>
          <w:color w:val="000000" w:themeColor="text1"/>
          <w:szCs w:val="24"/>
        </w:rPr>
        <w:t xml:space="preserve"> developed for the JRC as a whole.</w:t>
      </w:r>
    </w:p>
    <w:p w14:paraId="448EFAA5" w14:textId="1A9C8480" w:rsidR="00E5270C" w:rsidRPr="00B977EA" w:rsidRDefault="00E5270C" w:rsidP="00E5270C">
      <w:pPr>
        <w:pStyle w:val="ListParagraph"/>
        <w:numPr>
          <w:ilvl w:val="0"/>
          <w:numId w:val="43"/>
        </w:numPr>
        <w:spacing w:after="120" w:line="264" w:lineRule="auto"/>
        <w:rPr>
          <w:rFonts w:cs="Times New Roman"/>
          <w:noProof/>
          <w:color w:val="000000" w:themeColor="text1"/>
          <w:szCs w:val="24"/>
        </w:rPr>
      </w:pPr>
      <w:r w:rsidRPr="00202402">
        <w:rPr>
          <w:rFonts w:cs="Times New Roman"/>
          <w:noProof/>
          <w:color w:val="000000" w:themeColor="text1"/>
          <w:szCs w:val="24"/>
        </w:rPr>
        <w:t>The JRC should further embed the concept of resilience and the green and digital transition in the Euratom part of its work programme.</w:t>
      </w:r>
    </w:p>
    <w:p w14:paraId="3C3271C5" w14:textId="437390EC" w:rsidR="00E5270C" w:rsidRPr="00854965" w:rsidRDefault="00E5270C" w:rsidP="00E5270C">
      <w:pPr>
        <w:spacing w:after="120" w:line="264" w:lineRule="auto"/>
        <w:rPr>
          <w:rFonts w:ascii="Times New Roman" w:hAnsi="Times New Roman" w:cs="Times New Roman"/>
          <w:bCs/>
          <w:noProof/>
          <w:color w:val="000000" w:themeColor="text1"/>
          <w:sz w:val="24"/>
          <w:szCs w:val="24"/>
          <w:u w:val="single"/>
        </w:rPr>
      </w:pPr>
      <w:r w:rsidRPr="00854965">
        <w:rPr>
          <w:rFonts w:ascii="Times New Roman" w:hAnsi="Times New Roman" w:cs="Times New Roman"/>
          <w:bCs/>
          <w:noProof/>
          <w:color w:val="000000" w:themeColor="text1"/>
          <w:sz w:val="24"/>
          <w:szCs w:val="24"/>
          <w:u w:val="single"/>
        </w:rPr>
        <w:t>Commission’s response</w:t>
      </w:r>
    </w:p>
    <w:p w14:paraId="764366A2" w14:textId="5D54D2DE" w:rsidR="00E5270C" w:rsidRPr="001E3C9B" w:rsidRDefault="00962BE3" w:rsidP="00E5270C">
      <w:pPr>
        <w:spacing w:after="120" w:line="264" w:lineRule="auto"/>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The</w:t>
      </w:r>
      <w:r w:rsidR="00E5270C" w:rsidRPr="001E3C9B">
        <w:rPr>
          <w:rFonts w:ascii="Times New Roman" w:hAnsi="Times New Roman" w:cs="Times New Roman"/>
          <w:noProof/>
          <w:color w:val="000000" w:themeColor="text1"/>
          <w:sz w:val="24"/>
          <w:szCs w:val="24"/>
        </w:rPr>
        <w:t xml:space="preserve"> need for a more holistic, multi</w:t>
      </w:r>
      <w:r w:rsidR="00E86DB0">
        <w:rPr>
          <w:rFonts w:ascii="Times New Roman" w:hAnsi="Times New Roman" w:cs="Times New Roman"/>
          <w:noProof/>
          <w:color w:val="000000" w:themeColor="text1"/>
          <w:sz w:val="24"/>
          <w:szCs w:val="24"/>
        </w:rPr>
        <w:t>disciplinary</w:t>
      </w:r>
      <w:r w:rsidR="00E5270C" w:rsidRPr="001E3C9B">
        <w:rPr>
          <w:rFonts w:ascii="Times New Roman" w:hAnsi="Times New Roman" w:cs="Times New Roman"/>
          <w:noProof/>
          <w:color w:val="000000" w:themeColor="text1"/>
          <w:sz w:val="24"/>
          <w:szCs w:val="24"/>
        </w:rPr>
        <w:t xml:space="preserve"> integration of policy priorities was underlined by </w:t>
      </w:r>
      <w:r w:rsidRPr="001E3C9B">
        <w:rPr>
          <w:rFonts w:ascii="Times New Roman" w:hAnsi="Times New Roman" w:cs="Times New Roman"/>
          <w:noProof/>
          <w:color w:val="000000" w:themeColor="text1"/>
          <w:sz w:val="24"/>
          <w:szCs w:val="24"/>
        </w:rPr>
        <w:t xml:space="preserve">the </w:t>
      </w:r>
      <w:r w:rsidR="00E5270C" w:rsidRPr="001E3C9B">
        <w:rPr>
          <w:rFonts w:ascii="Times New Roman" w:hAnsi="Times New Roman" w:cs="Times New Roman"/>
          <w:noProof/>
          <w:color w:val="000000" w:themeColor="text1"/>
          <w:sz w:val="24"/>
          <w:szCs w:val="24"/>
        </w:rPr>
        <w:t>experts</w:t>
      </w:r>
      <w:r w:rsidR="004D46AB">
        <w:rPr>
          <w:rFonts w:ascii="Times New Roman" w:hAnsi="Times New Roman" w:cs="Times New Roman"/>
          <w:noProof/>
          <w:color w:val="000000" w:themeColor="text1"/>
          <w:sz w:val="24"/>
          <w:szCs w:val="24"/>
        </w:rPr>
        <w:t>,</w:t>
      </w:r>
      <w:r w:rsidR="00E5270C" w:rsidRPr="001E3C9B">
        <w:rPr>
          <w:rFonts w:ascii="Times New Roman" w:hAnsi="Times New Roman" w:cs="Times New Roman"/>
          <w:noProof/>
          <w:color w:val="000000" w:themeColor="text1"/>
          <w:sz w:val="24"/>
          <w:szCs w:val="24"/>
        </w:rPr>
        <w:t xml:space="preserve"> who pointed out the added value of addressing social</w:t>
      </w:r>
      <w:r w:rsidR="005F6C27">
        <w:rPr>
          <w:rFonts w:ascii="Times New Roman" w:hAnsi="Times New Roman" w:cs="Times New Roman"/>
          <w:noProof/>
          <w:color w:val="000000" w:themeColor="text1"/>
          <w:sz w:val="24"/>
          <w:szCs w:val="24"/>
        </w:rPr>
        <w:t>-</w:t>
      </w:r>
      <w:r w:rsidR="00E5270C" w:rsidRPr="001E3C9B">
        <w:rPr>
          <w:rFonts w:ascii="Times New Roman" w:hAnsi="Times New Roman" w:cs="Times New Roman"/>
          <w:noProof/>
          <w:color w:val="000000" w:themeColor="text1"/>
          <w:sz w:val="24"/>
          <w:szCs w:val="24"/>
        </w:rPr>
        <w:t xml:space="preserve">science aspects in nuclear research. Under the reorganisation of the work programme, the portfolios </w:t>
      </w:r>
      <w:r w:rsidRPr="001E3C9B">
        <w:rPr>
          <w:rFonts w:ascii="Times New Roman" w:hAnsi="Times New Roman" w:cs="Times New Roman"/>
          <w:noProof/>
          <w:color w:val="000000" w:themeColor="text1"/>
          <w:sz w:val="24"/>
          <w:szCs w:val="24"/>
        </w:rPr>
        <w:t>were</w:t>
      </w:r>
      <w:r w:rsidR="00E5270C" w:rsidRPr="001E3C9B">
        <w:rPr>
          <w:rFonts w:ascii="Times New Roman" w:hAnsi="Times New Roman" w:cs="Times New Roman"/>
          <w:noProof/>
          <w:color w:val="000000" w:themeColor="text1"/>
          <w:sz w:val="24"/>
          <w:szCs w:val="24"/>
        </w:rPr>
        <w:t xml:space="preserve"> set up with the idea </w:t>
      </w:r>
      <w:r w:rsidR="005F6C27">
        <w:rPr>
          <w:rFonts w:ascii="Times New Roman" w:hAnsi="Times New Roman" w:cs="Times New Roman"/>
          <w:noProof/>
          <w:color w:val="000000" w:themeColor="text1"/>
          <w:sz w:val="24"/>
          <w:szCs w:val="24"/>
        </w:rPr>
        <w:t>of</w:t>
      </w:r>
      <w:r w:rsidR="005F6C27" w:rsidRPr="001E3C9B">
        <w:rPr>
          <w:rFonts w:ascii="Times New Roman" w:hAnsi="Times New Roman" w:cs="Times New Roman"/>
          <w:noProof/>
          <w:color w:val="000000" w:themeColor="text1"/>
          <w:sz w:val="24"/>
          <w:szCs w:val="24"/>
        </w:rPr>
        <w:t xml:space="preserve"> </w:t>
      </w:r>
      <w:r w:rsidR="005F6C27">
        <w:rPr>
          <w:rFonts w:ascii="Times New Roman" w:hAnsi="Times New Roman" w:cs="Times New Roman"/>
          <w:noProof/>
          <w:color w:val="000000" w:themeColor="text1"/>
          <w:sz w:val="24"/>
          <w:szCs w:val="24"/>
        </w:rPr>
        <w:t>improving</w:t>
      </w:r>
      <w:r w:rsidR="005F6C27" w:rsidRPr="001E3C9B">
        <w:rPr>
          <w:rFonts w:ascii="Times New Roman" w:hAnsi="Times New Roman" w:cs="Times New Roman"/>
          <w:noProof/>
          <w:color w:val="000000" w:themeColor="text1"/>
          <w:sz w:val="24"/>
          <w:szCs w:val="24"/>
        </w:rPr>
        <w:t xml:space="preserve"> </w:t>
      </w:r>
      <w:r w:rsidR="00E5270C" w:rsidRPr="001E3C9B">
        <w:rPr>
          <w:rFonts w:ascii="Times New Roman" w:hAnsi="Times New Roman" w:cs="Times New Roman"/>
          <w:noProof/>
          <w:color w:val="000000" w:themeColor="text1"/>
          <w:sz w:val="24"/>
          <w:szCs w:val="24"/>
        </w:rPr>
        <w:t>collaboration and interaction between</w:t>
      </w:r>
      <w:r w:rsidR="005F6C27">
        <w:rPr>
          <w:rFonts w:ascii="Times New Roman" w:hAnsi="Times New Roman" w:cs="Times New Roman"/>
          <w:noProof/>
          <w:color w:val="000000" w:themeColor="text1"/>
          <w:sz w:val="24"/>
          <w:szCs w:val="24"/>
        </w:rPr>
        <w:t xml:space="preserve"> the</w:t>
      </w:r>
      <w:r w:rsidR="00E5270C" w:rsidRPr="001E3C9B">
        <w:rPr>
          <w:rFonts w:ascii="Times New Roman" w:hAnsi="Times New Roman" w:cs="Times New Roman"/>
          <w:noProof/>
          <w:color w:val="000000" w:themeColor="text1"/>
          <w:sz w:val="24"/>
          <w:szCs w:val="24"/>
        </w:rPr>
        <w:t xml:space="preserve"> nuclear and non-nuclear domains. </w:t>
      </w:r>
      <w:r w:rsidR="00BB5497">
        <w:rPr>
          <w:rFonts w:ascii="Times New Roman" w:hAnsi="Times New Roman" w:cs="Times New Roman"/>
          <w:noProof/>
          <w:color w:val="000000" w:themeColor="text1"/>
          <w:sz w:val="24"/>
          <w:szCs w:val="24"/>
        </w:rPr>
        <w:t>I</w:t>
      </w:r>
      <w:r w:rsidR="00E5270C" w:rsidRPr="001E3C9B">
        <w:rPr>
          <w:rFonts w:ascii="Times New Roman" w:hAnsi="Times New Roman" w:cs="Times New Roman"/>
          <w:noProof/>
          <w:color w:val="000000" w:themeColor="text1"/>
          <w:sz w:val="24"/>
          <w:szCs w:val="24"/>
        </w:rPr>
        <w:t xml:space="preserve">ntegration across disciplines </w:t>
      </w:r>
      <w:r w:rsidR="00BB5497">
        <w:rPr>
          <w:rFonts w:ascii="Times New Roman" w:hAnsi="Times New Roman" w:cs="Times New Roman"/>
          <w:noProof/>
          <w:color w:val="000000" w:themeColor="text1"/>
          <w:sz w:val="24"/>
          <w:szCs w:val="24"/>
        </w:rPr>
        <w:t>will therefore</w:t>
      </w:r>
      <w:r w:rsidR="00BB5497" w:rsidRPr="001E3C9B">
        <w:rPr>
          <w:rFonts w:ascii="Times New Roman" w:hAnsi="Times New Roman" w:cs="Times New Roman"/>
          <w:noProof/>
          <w:color w:val="000000" w:themeColor="text1"/>
          <w:sz w:val="24"/>
          <w:szCs w:val="24"/>
        </w:rPr>
        <w:t xml:space="preserve"> </w:t>
      </w:r>
      <w:r w:rsidR="00E5270C" w:rsidRPr="001E3C9B">
        <w:rPr>
          <w:rFonts w:ascii="Times New Roman" w:hAnsi="Times New Roman" w:cs="Times New Roman"/>
          <w:noProof/>
          <w:color w:val="000000" w:themeColor="text1"/>
          <w:sz w:val="24"/>
          <w:szCs w:val="24"/>
        </w:rPr>
        <w:t xml:space="preserve">unfold by design over time. For instance, efforts </w:t>
      </w:r>
      <w:r w:rsidR="00BB5497">
        <w:rPr>
          <w:rFonts w:ascii="Times New Roman" w:hAnsi="Times New Roman" w:cs="Times New Roman"/>
          <w:noProof/>
          <w:color w:val="000000" w:themeColor="text1"/>
          <w:sz w:val="24"/>
          <w:szCs w:val="24"/>
        </w:rPr>
        <w:t xml:space="preserve">to integrate social-science research </w:t>
      </w:r>
      <w:r w:rsidR="00E5270C" w:rsidRPr="001E3C9B">
        <w:rPr>
          <w:rFonts w:ascii="Times New Roman" w:hAnsi="Times New Roman" w:cs="Times New Roman"/>
          <w:noProof/>
          <w:color w:val="000000" w:themeColor="text1"/>
          <w:sz w:val="24"/>
          <w:szCs w:val="24"/>
        </w:rPr>
        <w:t>have been made within the portfolio on risk and crisis management</w:t>
      </w:r>
      <w:r w:rsidR="00BB5497">
        <w:rPr>
          <w:rFonts w:ascii="Times New Roman" w:hAnsi="Times New Roman" w:cs="Times New Roman"/>
          <w:noProof/>
          <w:color w:val="000000" w:themeColor="text1"/>
          <w:sz w:val="24"/>
          <w:szCs w:val="24"/>
        </w:rPr>
        <w:t>,</w:t>
      </w:r>
      <w:r w:rsidR="00E5270C" w:rsidRPr="001E3C9B">
        <w:rPr>
          <w:rFonts w:ascii="Times New Roman" w:hAnsi="Times New Roman" w:cs="Times New Roman"/>
          <w:noProof/>
          <w:color w:val="000000" w:themeColor="text1"/>
          <w:sz w:val="24"/>
          <w:szCs w:val="24"/>
        </w:rPr>
        <w:t xml:space="preserve"> where nuclear risk is </w:t>
      </w:r>
      <w:r w:rsidR="00BB5497">
        <w:rPr>
          <w:rFonts w:ascii="Times New Roman" w:hAnsi="Times New Roman" w:cs="Times New Roman"/>
          <w:noProof/>
          <w:color w:val="000000" w:themeColor="text1"/>
          <w:sz w:val="24"/>
          <w:szCs w:val="24"/>
        </w:rPr>
        <w:t xml:space="preserve">now being </w:t>
      </w:r>
      <w:r w:rsidR="00E5270C" w:rsidRPr="001E3C9B">
        <w:rPr>
          <w:rFonts w:ascii="Times New Roman" w:hAnsi="Times New Roman" w:cs="Times New Roman"/>
          <w:noProof/>
          <w:color w:val="000000" w:themeColor="text1"/>
          <w:sz w:val="24"/>
          <w:szCs w:val="24"/>
        </w:rPr>
        <w:t xml:space="preserve">assessed </w:t>
      </w:r>
      <w:r w:rsidR="004D46AB">
        <w:rPr>
          <w:rFonts w:ascii="Times New Roman" w:hAnsi="Times New Roman" w:cs="Times New Roman"/>
          <w:noProof/>
          <w:color w:val="000000" w:themeColor="text1"/>
          <w:sz w:val="24"/>
          <w:szCs w:val="24"/>
        </w:rPr>
        <w:t>using</w:t>
      </w:r>
      <w:r w:rsidR="00BB5497" w:rsidRPr="001E3C9B">
        <w:rPr>
          <w:rFonts w:ascii="Times New Roman" w:hAnsi="Times New Roman" w:cs="Times New Roman"/>
          <w:noProof/>
          <w:color w:val="000000" w:themeColor="text1"/>
          <w:sz w:val="24"/>
          <w:szCs w:val="24"/>
        </w:rPr>
        <w:t xml:space="preserve"> </w:t>
      </w:r>
      <w:r w:rsidR="00E5270C" w:rsidRPr="001E3C9B">
        <w:rPr>
          <w:rFonts w:ascii="Times New Roman" w:hAnsi="Times New Roman" w:cs="Times New Roman"/>
          <w:noProof/>
          <w:color w:val="000000" w:themeColor="text1"/>
          <w:sz w:val="24"/>
          <w:szCs w:val="24"/>
        </w:rPr>
        <w:t xml:space="preserve">a holistic approach alongside other CBRN risks developed by another non-nuclear </w:t>
      </w:r>
      <w:r w:rsidR="00BB5497">
        <w:rPr>
          <w:rFonts w:ascii="Times New Roman" w:hAnsi="Times New Roman" w:cs="Times New Roman"/>
          <w:noProof/>
          <w:color w:val="000000" w:themeColor="text1"/>
          <w:sz w:val="24"/>
          <w:szCs w:val="24"/>
        </w:rPr>
        <w:t>d</w:t>
      </w:r>
      <w:r w:rsidR="00E5270C" w:rsidRPr="001E3C9B">
        <w:rPr>
          <w:rFonts w:ascii="Times New Roman" w:hAnsi="Times New Roman" w:cs="Times New Roman"/>
          <w:noProof/>
          <w:color w:val="000000" w:themeColor="text1"/>
          <w:sz w:val="24"/>
          <w:szCs w:val="24"/>
        </w:rPr>
        <w:t xml:space="preserve">irectorate of the JRC. Similar cooperation </w:t>
      </w:r>
      <w:r w:rsidR="00BB5497">
        <w:rPr>
          <w:rFonts w:ascii="Times New Roman" w:hAnsi="Times New Roman" w:cs="Times New Roman"/>
          <w:noProof/>
          <w:color w:val="000000" w:themeColor="text1"/>
          <w:sz w:val="24"/>
          <w:szCs w:val="24"/>
        </w:rPr>
        <w:t xml:space="preserve">with social scientists </w:t>
      </w:r>
      <w:r w:rsidR="00E5270C" w:rsidRPr="001E3C9B">
        <w:rPr>
          <w:rFonts w:ascii="Times New Roman" w:hAnsi="Times New Roman" w:cs="Times New Roman"/>
          <w:noProof/>
          <w:color w:val="000000" w:themeColor="text1"/>
          <w:sz w:val="24"/>
          <w:szCs w:val="24"/>
        </w:rPr>
        <w:t xml:space="preserve">also takes place on the topic of SMRs </w:t>
      </w:r>
      <w:r w:rsidR="00BB5497">
        <w:rPr>
          <w:rFonts w:ascii="Times New Roman" w:hAnsi="Times New Roman" w:cs="Times New Roman"/>
          <w:noProof/>
          <w:color w:val="000000" w:themeColor="text1"/>
          <w:sz w:val="24"/>
          <w:szCs w:val="24"/>
        </w:rPr>
        <w:t>as part</w:t>
      </w:r>
      <w:r w:rsidR="00E5270C" w:rsidRPr="001E3C9B">
        <w:rPr>
          <w:rFonts w:ascii="Times New Roman" w:hAnsi="Times New Roman" w:cs="Times New Roman"/>
          <w:noProof/>
          <w:color w:val="000000" w:themeColor="text1"/>
          <w:sz w:val="24"/>
          <w:szCs w:val="24"/>
        </w:rPr>
        <w:t xml:space="preserve"> of research </w:t>
      </w:r>
      <w:r w:rsidR="004D46AB">
        <w:rPr>
          <w:rFonts w:ascii="Times New Roman" w:hAnsi="Times New Roman" w:cs="Times New Roman"/>
          <w:noProof/>
          <w:color w:val="000000" w:themeColor="text1"/>
          <w:sz w:val="24"/>
          <w:szCs w:val="24"/>
        </w:rPr>
        <w:t>into</w:t>
      </w:r>
      <w:r w:rsidR="004D46AB" w:rsidRPr="001E3C9B">
        <w:rPr>
          <w:rFonts w:ascii="Times New Roman" w:hAnsi="Times New Roman" w:cs="Times New Roman"/>
          <w:noProof/>
          <w:color w:val="000000" w:themeColor="text1"/>
          <w:sz w:val="24"/>
          <w:szCs w:val="24"/>
        </w:rPr>
        <w:t xml:space="preserve"> </w:t>
      </w:r>
      <w:r w:rsidR="00BB5497">
        <w:rPr>
          <w:rFonts w:ascii="Times New Roman" w:hAnsi="Times New Roman" w:cs="Times New Roman"/>
          <w:noProof/>
          <w:color w:val="000000" w:themeColor="text1"/>
          <w:sz w:val="24"/>
          <w:szCs w:val="24"/>
        </w:rPr>
        <w:t xml:space="preserve">the non-electricity applications of </w:t>
      </w:r>
      <w:r w:rsidR="00E5270C" w:rsidRPr="001E3C9B">
        <w:rPr>
          <w:rFonts w:ascii="Times New Roman" w:hAnsi="Times New Roman" w:cs="Times New Roman"/>
          <w:noProof/>
          <w:color w:val="000000" w:themeColor="text1"/>
          <w:sz w:val="24"/>
          <w:szCs w:val="24"/>
        </w:rPr>
        <w:t xml:space="preserve">nuclear </w:t>
      </w:r>
      <w:r w:rsidR="00BB5497">
        <w:rPr>
          <w:rFonts w:ascii="Times New Roman" w:hAnsi="Times New Roman" w:cs="Times New Roman"/>
          <w:noProof/>
          <w:color w:val="000000" w:themeColor="text1"/>
          <w:sz w:val="24"/>
          <w:szCs w:val="24"/>
        </w:rPr>
        <w:t>technology such as</w:t>
      </w:r>
      <w:r w:rsidR="00E5270C" w:rsidRPr="001E3C9B">
        <w:rPr>
          <w:rFonts w:ascii="Times New Roman" w:hAnsi="Times New Roman" w:cs="Times New Roman"/>
          <w:noProof/>
          <w:color w:val="000000" w:themeColor="text1"/>
          <w:sz w:val="24"/>
          <w:szCs w:val="24"/>
        </w:rPr>
        <w:t xml:space="preserve"> hydrogen production</w:t>
      </w:r>
      <w:r w:rsidR="00BB5497">
        <w:rPr>
          <w:rFonts w:ascii="Times New Roman" w:hAnsi="Times New Roman" w:cs="Times New Roman"/>
          <w:noProof/>
          <w:color w:val="000000" w:themeColor="text1"/>
          <w:sz w:val="24"/>
          <w:szCs w:val="24"/>
        </w:rPr>
        <w:t>,</w:t>
      </w:r>
      <w:r w:rsidR="00E5270C" w:rsidRPr="001E3C9B">
        <w:rPr>
          <w:rFonts w:ascii="Times New Roman" w:hAnsi="Times New Roman" w:cs="Times New Roman"/>
          <w:noProof/>
          <w:color w:val="000000" w:themeColor="text1"/>
          <w:sz w:val="24"/>
          <w:szCs w:val="24"/>
        </w:rPr>
        <w:t xml:space="preserve"> district heating, </w:t>
      </w:r>
      <w:r w:rsidR="00BB5497">
        <w:rPr>
          <w:rFonts w:ascii="Times New Roman" w:hAnsi="Times New Roman" w:cs="Times New Roman"/>
          <w:noProof/>
          <w:color w:val="000000" w:themeColor="text1"/>
          <w:sz w:val="24"/>
          <w:szCs w:val="24"/>
        </w:rPr>
        <w:t>and</w:t>
      </w:r>
      <w:r w:rsidR="00E5270C" w:rsidRPr="001E3C9B">
        <w:rPr>
          <w:rFonts w:ascii="Times New Roman" w:hAnsi="Times New Roman" w:cs="Times New Roman"/>
          <w:noProof/>
          <w:color w:val="000000" w:themeColor="text1"/>
          <w:sz w:val="24"/>
          <w:szCs w:val="24"/>
        </w:rPr>
        <w:t xml:space="preserve"> medical applications of nuclear science. This </w:t>
      </w:r>
      <w:r w:rsidR="00BB5497">
        <w:rPr>
          <w:rFonts w:ascii="Times New Roman" w:hAnsi="Times New Roman" w:cs="Times New Roman"/>
          <w:noProof/>
          <w:color w:val="000000" w:themeColor="text1"/>
          <w:sz w:val="24"/>
          <w:szCs w:val="24"/>
        </w:rPr>
        <w:t xml:space="preserve">approach </w:t>
      </w:r>
      <w:r w:rsidR="00E5270C" w:rsidRPr="001E3C9B">
        <w:rPr>
          <w:rFonts w:ascii="Times New Roman" w:hAnsi="Times New Roman" w:cs="Times New Roman"/>
          <w:noProof/>
          <w:color w:val="000000" w:themeColor="text1"/>
          <w:sz w:val="24"/>
          <w:szCs w:val="24"/>
        </w:rPr>
        <w:t xml:space="preserve">aims to increase </w:t>
      </w:r>
      <w:r w:rsidR="00BB5497">
        <w:rPr>
          <w:rFonts w:ascii="Times New Roman" w:hAnsi="Times New Roman" w:cs="Times New Roman"/>
          <w:noProof/>
          <w:color w:val="000000" w:themeColor="text1"/>
          <w:sz w:val="24"/>
          <w:szCs w:val="24"/>
        </w:rPr>
        <w:t xml:space="preserve">the JRC’s </w:t>
      </w:r>
      <w:r w:rsidR="00E5270C" w:rsidRPr="001E3C9B">
        <w:rPr>
          <w:rFonts w:ascii="Times New Roman" w:hAnsi="Times New Roman" w:cs="Times New Roman"/>
          <w:noProof/>
          <w:color w:val="000000" w:themeColor="text1"/>
          <w:sz w:val="24"/>
          <w:szCs w:val="24"/>
        </w:rPr>
        <w:t xml:space="preserve">impact on policy </w:t>
      </w:r>
      <w:r w:rsidR="00BB5497">
        <w:rPr>
          <w:rFonts w:ascii="Times New Roman" w:hAnsi="Times New Roman" w:cs="Times New Roman"/>
          <w:noProof/>
          <w:color w:val="000000" w:themeColor="text1"/>
          <w:sz w:val="24"/>
          <w:szCs w:val="24"/>
        </w:rPr>
        <w:t xml:space="preserve">and </w:t>
      </w:r>
      <w:r w:rsidR="00E5270C" w:rsidRPr="001E3C9B">
        <w:rPr>
          <w:rFonts w:ascii="Times New Roman" w:hAnsi="Times New Roman" w:cs="Times New Roman"/>
          <w:noProof/>
          <w:color w:val="000000" w:themeColor="text1"/>
          <w:sz w:val="24"/>
          <w:szCs w:val="24"/>
        </w:rPr>
        <w:t>share expertise</w:t>
      </w:r>
      <w:r w:rsidR="00BB5497">
        <w:rPr>
          <w:rFonts w:ascii="Times New Roman" w:hAnsi="Times New Roman" w:cs="Times New Roman"/>
          <w:noProof/>
          <w:color w:val="000000" w:themeColor="text1"/>
          <w:sz w:val="24"/>
          <w:szCs w:val="24"/>
        </w:rPr>
        <w:t>/</w:t>
      </w:r>
      <w:r w:rsidR="00E5270C" w:rsidRPr="001E3C9B">
        <w:rPr>
          <w:rFonts w:ascii="Times New Roman" w:hAnsi="Times New Roman" w:cs="Times New Roman"/>
          <w:noProof/>
          <w:color w:val="000000" w:themeColor="text1"/>
          <w:sz w:val="24"/>
          <w:szCs w:val="24"/>
        </w:rPr>
        <w:t>resources</w:t>
      </w:r>
      <w:r w:rsidR="00BB5497">
        <w:rPr>
          <w:rFonts w:ascii="Times New Roman" w:hAnsi="Times New Roman" w:cs="Times New Roman"/>
          <w:noProof/>
          <w:color w:val="000000" w:themeColor="text1"/>
          <w:sz w:val="24"/>
          <w:szCs w:val="24"/>
        </w:rPr>
        <w:t>,</w:t>
      </w:r>
      <w:r w:rsidR="00E5270C" w:rsidRPr="001E3C9B">
        <w:rPr>
          <w:rFonts w:ascii="Times New Roman" w:hAnsi="Times New Roman" w:cs="Times New Roman"/>
          <w:noProof/>
          <w:color w:val="000000" w:themeColor="text1"/>
          <w:sz w:val="24"/>
          <w:szCs w:val="24"/>
        </w:rPr>
        <w:t xml:space="preserve"> </w:t>
      </w:r>
      <w:r w:rsidR="00BB5497">
        <w:rPr>
          <w:rFonts w:ascii="Times New Roman" w:hAnsi="Times New Roman" w:cs="Times New Roman"/>
          <w:noProof/>
          <w:color w:val="000000" w:themeColor="text1"/>
          <w:sz w:val="24"/>
          <w:szCs w:val="24"/>
        </w:rPr>
        <w:t xml:space="preserve">all </w:t>
      </w:r>
      <w:r w:rsidR="00E5270C" w:rsidRPr="001E3C9B">
        <w:rPr>
          <w:rFonts w:ascii="Times New Roman" w:hAnsi="Times New Roman" w:cs="Times New Roman"/>
          <w:noProof/>
          <w:color w:val="000000" w:themeColor="text1"/>
          <w:sz w:val="24"/>
          <w:szCs w:val="24"/>
        </w:rPr>
        <w:t>while cover</w:t>
      </w:r>
      <w:r w:rsidR="004D46AB">
        <w:rPr>
          <w:rFonts w:ascii="Times New Roman" w:hAnsi="Times New Roman" w:cs="Times New Roman"/>
          <w:noProof/>
          <w:color w:val="000000" w:themeColor="text1"/>
          <w:sz w:val="24"/>
          <w:szCs w:val="24"/>
        </w:rPr>
        <w:t>ing</w:t>
      </w:r>
      <w:r w:rsidR="00E5270C" w:rsidRPr="001E3C9B">
        <w:rPr>
          <w:rFonts w:ascii="Times New Roman" w:hAnsi="Times New Roman" w:cs="Times New Roman"/>
          <w:noProof/>
          <w:color w:val="000000" w:themeColor="text1"/>
          <w:sz w:val="24"/>
          <w:szCs w:val="24"/>
        </w:rPr>
        <w:t xml:space="preserve"> different </w:t>
      </w:r>
      <w:r w:rsidR="00BB5497">
        <w:rPr>
          <w:rFonts w:ascii="Times New Roman" w:hAnsi="Times New Roman" w:cs="Times New Roman"/>
          <w:noProof/>
          <w:color w:val="000000" w:themeColor="text1"/>
          <w:sz w:val="24"/>
          <w:szCs w:val="24"/>
        </w:rPr>
        <w:t>aspects</w:t>
      </w:r>
      <w:r w:rsidR="00BB5497" w:rsidRPr="001E3C9B">
        <w:rPr>
          <w:rFonts w:ascii="Times New Roman" w:hAnsi="Times New Roman" w:cs="Times New Roman"/>
          <w:noProof/>
          <w:color w:val="000000" w:themeColor="text1"/>
          <w:sz w:val="24"/>
          <w:szCs w:val="24"/>
        </w:rPr>
        <w:t xml:space="preserve"> </w:t>
      </w:r>
      <w:r w:rsidR="00E5270C" w:rsidRPr="001E3C9B">
        <w:rPr>
          <w:rFonts w:ascii="Times New Roman" w:hAnsi="Times New Roman" w:cs="Times New Roman"/>
          <w:noProof/>
          <w:color w:val="000000" w:themeColor="text1"/>
          <w:sz w:val="24"/>
          <w:szCs w:val="24"/>
        </w:rPr>
        <w:t xml:space="preserve">of the same challenge. </w:t>
      </w:r>
    </w:p>
    <w:p w14:paraId="12C54D6A" w14:textId="0E6F1F98" w:rsidR="00E5270C" w:rsidRPr="001E3C9B" w:rsidRDefault="00E5270C" w:rsidP="00E5270C">
      <w:pPr>
        <w:spacing w:after="120" w:line="264" w:lineRule="auto"/>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This integrated approach between nuclear and non-nuclear activities is also targeted in the implementation of the JRC</w:t>
      </w:r>
      <w:r w:rsidR="00962BE3" w:rsidRPr="001E3C9B">
        <w:rPr>
          <w:rFonts w:ascii="Times New Roman" w:hAnsi="Times New Roman" w:cs="Times New Roman"/>
          <w:noProof/>
          <w:color w:val="000000" w:themeColor="text1"/>
          <w:sz w:val="24"/>
          <w:szCs w:val="24"/>
        </w:rPr>
        <w:t>’s</w:t>
      </w:r>
      <w:r w:rsidRPr="001E3C9B">
        <w:rPr>
          <w:rFonts w:ascii="Times New Roman" w:hAnsi="Times New Roman" w:cs="Times New Roman"/>
          <w:noProof/>
          <w:color w:val="000000" w:themeColor="text1"/>
          <w:sz w:val="24"/>
          <w:szCs w:val="24"/>
        </w:rPr>
        <w:t xml:space="preserve"> nuclear strategy. The experts also noted that opportunities for integrating cross</w:t>
      </w:r>
      <w:r w:rsidR="00962BE3" w:rsidRPr="001E3C9B">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cutting issues such as digitalisation, artificial intelligence or machine learning should be assessed</w:t>
      </w:r>
      <w:r w:rsidR="00BB5497">
        <w:rPr>
          <w:rFonts w:ascii="Times New Roman" w:hAnsi="Times New Roman" w:cs="Times New Roman"/>
          <w:noProof/>
          <w:color w:val="000000" w:themeColor="text1"/>
          <w:sz w:val="24"/>
          <w:szCs w:val="24"/>
        </w:rPr>
        <w:t xml:space="preserve"> in the areas of</w:t>
      </w:r>
      <w:r w:rsidRPr="001E3C9B">
        <w:rPr>
          <w:rFonts w:ascii="Times New Roman" w:hAnsi="Times New Roman" w:cs="Times New Roman"/>
          <w:noProof/>
          <w:color w:val="000000" w:themeColor="text1"/>
          <w:sz w:val="24"/>
          <w:szCs w:val="24"/>
        </w:rPr>
        <w:t xml:space="preserve"> nuclear security, safeguards and </w:t>
      </w:r>
      <w:r w:rsidR="004E5AB1">
        <w:rPr>
          <w:rFonts w:ascii="Times New Roman" w:hAnsi="Times New Roman" w:cs="Times New Roman"/>
          <w:noProof/>
          <w:color w:val="000000" w:themeColor="text1"/>
          <w:sz w:val="24"/>
          <w:szCs w:val="24"/>
        </w:rPr>
        <w:t xml:space="preserve">radioactive </w:t>
      </w:r>
      <w:r w:rsidRPr="001E3C9B">
        <w:rPr>
          <w:rFonts w:ascii="Times New Roman" w:hAnsi="Times New Roman" w:cs="Times New Roman"/>
          <w:noProof/>
          <w:color w:val="000000" w:themeColor="text1"/>
          <w:sz w:val="24"/>
          <w:szCs w:val="24"/>
        </w:rPr>
        <w:t xml:space="preserve">waste management. </w:t>
      </w:r>
      <w:r w:rsidR="00BB5497">
        <w:rPr>
          <w:rFonts w:ascii="Times New Roman" w:hAnsi="Times New Roman" w:cs="Times New Roman"/>
          <w:noProof/>
          <w:color w:val="000000" w:themeColor="text1"/>
          <w:sz w:val="24"/>
          <w:szCs w:val="24"/>
        </w:rPr>
        <w:t>E</w:t>
      </w:r>
      <w:r w:rsidRPr="001E3C9B">
        <w:rPr>
          <w:rFonts w:ascii="Times New Roman" w:hAnsi="Times New Roman" w:cs="Times New Roman"/>
          <w:noProof/>
          <w:color w:val="000000" w:themeColor="text1"/>
          <w:sz w:val="24"/>
          <w:szCs w:val="24"/>
        </w:rPr>
        <w:t xml:space="preserve">fforts </w:t>
      </w:r>
      <w:r w:rsidR="00BB5497">
        <w:rPr>
          <w:rFonts w:ascii="Times New Roman" w:hAnsi="Times New Roman" w:cs="Times New Roman"/>
          <w:noProof/>
          <w:color w:val="000000" w:themeColor="text1"/>
          <w:sz w:val="24"/>
          <w:szCs w:val="24"/>
        </w:rPr>
        <w:t xml:space="preserve">to integrate these cross-cutting issues in the JRC’s work </w:t>
      </w:r>
      <w:r w:rsidRPr="001E3C9B">
        <w:rPr>
          <w:rFonts w:ascii="Times New Roman" w:hAnsi="Times New Roman" w:cs="Times New Roman"/>
          <w:noProof/>
          <w:color w:val="000000" w:themeColor="text1"/>
          <w:sz w:val="24"/>
          <w:szCs w:val="24"/>
        </w:rPr>
        <w:t xml:space="preserve">have been reflected in </w:t>
      </w:r>
      <w:r w:rsidR="00962BE3" w:rsidRPr="001E3C9B">
        <w:rPr>
          <w:rFonts w:ascii="Times New Roman" w:hAnsi="Times New Roman" w:cs="Times New Roman"/>
          <w:noProof/>
          <w:color w:val="000000" w:themeColor="text1"/>
          <w:sz w:val="24"/>
          <w:szCs w:val="24"/>
        </w:rPr>
        <w:t>reshap</w:t>
      </w:r>
      <w:r w:rsidR="00D03D9A">
        <w:rPr>
          <w:rFonts w:ascii="Times New Roman" w:hAnsi="Times New Roman" w:cs="Times New Roman"/>
          <w:noProof/>
          <w:color w:val="000000" w:themeColor="text1"/>
          <w:sz w:val="24"/>
          <w:szCs w:val="24"/>
        </w:rPr>
        <w:t>ed</w:t>
      </w:r>
      <w:r w:rsidR="00962BE3"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 xml:space="preserve">governance and the new portfolio-based structure. </w:t>
      </w:r>
      <w:r w:rsidR="00BB5497">
        <w:rPr>
          <w:rFonts w:ascii="Times New Roman" w:hAnsi="Times New Roman" w:cs="Times New Roman"/>
          <w:noProof/>
          <w:color w:val="000000" w:themeColor="text1"/>
          <w:sz w:val="24"/>
          <w:szCs w:val="24"/>
        </w:rPr>
        <w:t>The a</w:t>
      </w:r>
      <w:r w:rsidRPr="001E3C9B">
        <w:rPr>
          <w:rFonts w:ascii="Times New Roman" w:hAnsi="Times New Roman" w:cs="Times New Roman"/>
          <w:noProof/>
          <w:color w:val="000000" w:themeColor="text1"/>
          <w:sz w:val="24"/>
          <w:szCs w:val="24"/>
        </w:rPr>
        <w:t xml:space="preserve">dvanced use of digital technologies </w:t>
      </w:r>
      <w:r w:rsidR="00873A05">
        <w:rPr>
          <w:rFonts w:ascii="Times New Roman" w:hAnsi="Times New Roman" w:cs="Times New Roman"/>
          <w:noProof/>
          <w:color w:val="000000" w:themeColor="text1"/>
          <w:sz w:val="24"/>
          <w:szCs w:val="24"/>
        </w:rPr>
        <w:t xml:space="preserve">is </w:t>
      </w:r>
      <w:r w:rsidRPr="001E3C9B">
        <w:rPr>
          <w:rFonts w:ascii="Times New Roman" w:hAnsi="Times New Roman" w:cs="Times New Roman"/>
          <w:noProof/>
          <w:color w:val="000000" w:themeColor="text1"/>
          <w:sz w:val="24"/>
          <w:szCs w:val="24"/>
        </w:rPr>
        <w:t xml:space="preserve">now the specific focus of </w:t>
      </w:r>
      <w:r w:rsidR="009D18D0" w:rsidRPr="001E3C9B">
        <w:rPr>
          <w:rFonts w:ascii="Times New Roman" w:hAnsi="Times New Roman" w:cs="Times New Roman"/>
          <w:noProof/>
          <w:color w:val="000000" w:themeColor="text1"/>
          <w:sz w:val="24"/>
          <w:szCs w:val="24"/>
        </w:rPr>
        <w:t xml:space="preserve">a new </w:t>
      </w:r>
      <w:r w:rsidR="00873A05">
        <w:rPr>
          <w:rFonts w:ascii="Times New Roman" w:hAnsi="Times New Roman" w:cs="Times New Roman"/>
          <w:noProof/>
          <w:color w:val="000000" w:themeColor="text1"/>
          <w:sz w:val="24"/>
          <w:szCs w:val="24"/>
        </w:rPr>
        <w:t>d</w:t>
      </w:r>
      <w:r w:rsidR="009D18D0" w:rsidRPr="001E3C9B">
        <w:rPr>
          <w:rFonts w:ascii="Times New Roman" w:hAnsi="Times New Roman" w:cs="Times New Roman"/>
          <w:noProof/>
          <w:color w:val="000000" w:themeColor="text1"/>
          <w:sz w:val="24"/>
          <w:szCs w:val="24"/>
        </w:rPr>
        <w:t>irectorate in the JRC and</w:t>
      </w:r>
      <w:r w:rsidR="00962BE3" w:rsidRPr="001E3C9B">
        <w:rPr>
          <w:rFonts w:ascii="Times New Roman" w:hAnsi="Times New Roman" w:cs="Times New Roman"/>
          <w:noProof/>
          <w:color w:val="000000" w:themeColor="text1"/>
          <w:sz w:val="24"/>
          <w:szCs w:val="24"/>
        </w:rPr>
        <w:t>,</w:t>
      </w:r>
      <w:r w:rsidR="009D18D0" w:rsidRPr="001E3C9B">
        <w:rPr>
          <w:rFonts w:ascii="Times New Roman" w:hAnsi="Times New Roman" w:cs="Times New Roman"/>
          <w:noProof/>
          <w:color w:val="000000" w:themeColor="text1"/>
          <w:sz w:val="24"/>
          <w:szCs w:val="24"/>
        </w:rPr>
        <w:t xml:space="preserve"> more specifically</w:t>
      </w:r>
      <w:r w:rsidR="00962BE3" w:rsidRPr="001E3C9B">
        <w:rPr>
          <w:rFonts w:ascii="Times New Roman" w:hAnsi="Times New Roman" w:cs="Times New Roman"/>
          <w:noProof/>
          <w:color w:val="000000" w:themeColor="text1"/>
          <w:sz w:val="24"/>
          <w:szCs w:val="24"/>
        </w:rPr>
        <w:t>,</w:t>
      </w:r>
      <w:r w:rsidR="009D18D0" w:rsidRPr="001E3C9B">
        <w:rPr>
          <w:rFonts w:ascii="Times New Roman" w:hAnsi="Times New Roman" w:cs="Times New Roman"/>
          <w:noProof/>
          <w:color w:val="000000" w:themeColor="text1"/>
          <w:sz w:val="24"/>
          <w:szCs w:val="24"/>
        </w:rPr>
        <w:t xml:space="preserve"> of </w:t>
      </w:r>
      <w:r w:rsidRPr="001E3C9B">
        <w:rPr>
          <w:rFonts w:ascii="Times New Roman" w:hAnsi="Times New Roman" w:cs="Times New Roman"/>
          <w:noProof/>
          <w:color w:val="000000" w:themeColor="text1"/>
          <w:sz w:val="24"/>
          <w:szCs w:val="24"/>
        </w:rPr>
        <w:t xml:space="preserve">a unit in the nuclear </w:t>
      </w:r>
      <w:r w:rsidR="00873A05">
        <w:rPr>
          <w:rFonts w:ascii="Times New Roman" w:hAnsi="Times New Roman" w:cs="Times New Roman"/>
          <w:noProof/>
          <w:color w:val="000000" w:themeColor="text1"/>
          <w:sz w:val="24"/>
          <w:szCs w:val="24"/>
        </w:rPr>
        <w:t>d</w:t>
      </w:r>
      <w:r w:rsidRPr="001E3C9B">
        <w:rPr>
          <w:rFonts w:ascii="Times New Roman" w:hAnsi="Times New Roman" w:cs="Times New Roman"/>
          <w:noProof/>
          <w:color w:val="000000" w:themeColor="text1"/>
          <w:sz w:val="24"/>
          <w:szCs w:val="24"/>
        </w:rPr>
        <w:t>irectorate, targeting nuclear safeguards and non-proliferation research</w:t>
      </w:r>
      <w:r w:rsidR="00873A05">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but with the potential to be expanded further to other areas.</w:t>
      </w:r>
    </w:p>
    <w:p w14:paraId="36379906" w14:textId="6AD1A675" w:rsidR="00E5270C" w:rsidRPr="001E3C9B" w:rsidRDefault="00E5270C" w:rsidP="00E5270C">
      <w:pPr>
        <w:spacing w:after="120" w:line="264" w:lineRule="auto"/>
        <w:rPr>
          <w:rFonts w:ascii="Times New Roman" w:hAnsi="Times New Roman" w:cs="Times New Roman"/>
          <w:b/>
          <w:noProof/>
          <w:color w:val="000000" w:themeColor="text1"/>
          <w:sz w:val="24"/>
          <w:szCs w:val="24"/>
        </w:rPr>
      </w:pPr>
      <w:r w:rsidRPr="001E3C9B">
        <w:rPr>
          <w:rFonts w:ascii="Times New Roman" w:hAnsi="Times New Roman" w:cs="Times New Roman"/>
          <w:b/>
          <w:noProof/>
          <w:color w:val="000000" w:themeColor="text1"/>
          <w:sz w:val="24"/>
          <w:szCs w:val="24"/>
        </w:rPr>
        <w:t>Recommendation on communication</w:t>
      </w:r>
    </w:p>
    <w:p w14:paraId="0DF659E4" w14:textId="68B477F7" w:rsidR="00E5270C" w:rsidRPr="00B977EA" w:rsidRDefault="00E5270C" w:rsidP="00E5270C">
      <w:pPr>
        <w:pStyle w:val="ListParagraph"/>
        <w:numPr>
          <w:ilvl w:val="0"/>
          <w:numId w:val="44"/>
        </w:numPr>
        <w:spacing w:after="120" w:line="264" w:lineRule="auto"/>
        <w:rPr>
          <w:rFonts w:cs="Times New Roman"/>
          <w:noProof/>
          <w:color w:val="000000" w:themeColor="text1"/>
          <w:szCs w:val="24"/>
        </w:rPr>
      </w:pPr>
      <w:r w:rsidRPr="00202402">
        <w:rPr>
          <w:rFonts w:cs="Times New Roman"/>
          <w:noProof/>
          <w:color w:val="000000" w:themeColor="text1"/>
          <w:szCs w:val="24"/>
        </w:rPr>
        <w:t xml:space="preserve">The JRC should develop a communication strategy to </w:t>
      </w:r>
      <w:r w:rsidR="00873A05">
        <w:rPr>
          <w:rFonts w:cs="Times New Roman"/>
          <w:noProof/>
          <w:color w:val="000000" w:themeColor="text1"/>
          <w:szCs w:val="24"/>
        </w:rPr>
        <w:t>improve</w:t>
      </w:r>
      <w:r w:rsidR="00873A05" w:rsidRPr="00202402">
        <w:rPr>
          <w:rFonts w:cs="Times New Roman"/>
          <w:noProof/>
          <w:color w:val="000000" w:themeColor="text1"/>
          <w:szCs w:val="24"/>
        </w:rPr>
        <w:t xml:space="preserve"> </w:t>
      </w:r>
      <w:r w:rsidRPr="00202402">
        <w:rPr>
          <w:rFonts w:cs="Times New Roman"/>
          <w:noProof/>
          <w:color w:val="000000" w:themeColor="text1"/>
          <w:szCs w:val="24"/>
        </w:rPr>
        <w:t xml:space="preserve">its communication at different levels, customising </w:t>
      </w:r>
      <w:r w:rsidR="00873A05">
        <w:rPr>
          <w:rFonts w:cs="Times New Roman"/>
          <w:noProof/>
          <w:color w:val="000000" w:themeColor="text1"/>
          <w:szCs w:val="24"/>
        </w:rPr>
        <w:t>this communication</w:t>
      </w:r>
      <w:r w:rsidR="00873A05" w:rsidRPr="00202402">
        <w:rPr>
          <w:rFonts w:cs="Times New Roman"/>
          <w:noProof/>
          <w:color w:val="000000" w:themeColor="text1"/>
          <w:szCs w:val="24"/>
        </w:rPr>
        <w:t xml:space="preserve"> </w:t>
      </w:r>
      <w:r w:rsidRPr="00202402">
        <w:rPr>
          <w:rFonts w:cs="Times New Roman"/>
          <w:noProof/>
          <w:color w:val="000000" w:themeColor="text1"/>
          <w:szCs w:val="24"/>
        </w:rPr>
        <w:t xml:space="preserve">to different target groups and using the most suitable channels (digital or traditional) to reach </w:t>
      </w:r>
      <w:r w:rsidR="00873A05">
        <w:rPr>
          <w:rFonts w:cs="Times New Roman"/>
          <w:noProof/>
          <w:color w:val="000000" w:themeColor="text1"/>
          <w:szCs w:val="24"/>
        </w:rPr>
        <w:t>these</w:t>
      </w:r>
      <w:r w:rsidR="00873A05" w:rsidRPr="00202402">
        <w:rPr>
          <w:rFonts w:cs="Times New Roman"/>
          <w:noProof/>
          <w:color w:val="000000" w:themeColor="text1"/>
          <w:szCs w:val="24"/>
        </w:rPr>
        <w:t xml:space="preserve"> </w:t>
      </w:r>
      <w:r w:rsidRPr="00202402">
        <w:rPr>
          <w:rFonts w:cs="Times New Roman"/>
          <w:noProof/>
          <w:color w:val="000000" w:themeColor="text1"/>
          <w:szCs w:val="24"/>
        </w:rPr>
        <w:t>groups.</w:t>
      </w:r>
    </w:p>
    <w:p w14:paraId="3EE34A15" w14:textId="6E6B2441" w:rsidR="00E5270C" w:rsidRPr="00854965" w:rsidRDefault="00E5270C" w:rsidP="00E5270C">
      <w:pPr>
        <w:spacing w:after="120" w:line="264" w:lineRule="auto"/>
        <w:rPr>
          <w:rFonts w:ascii="Times New Roman" w:hAnsi="Times New Roman" w:cs="Times New Roman"/>
          <w:bCs/>
          <w:noProof/>
          <w:color w:val="000000" w:themeColor="text1"/>
          <w:sz w:val="24"/>
          <w:szCs w:val="24"/>
          <w:u w:val="single"/>
        </w:rPr>
      </w:pPr>
      <w:r w:rsidRPr="00854965">
        <w:rPr>
          <w:rFonts w:ascii="Times New Roman" w:hAnsi="Times New Roman" w:cs="Times New Roman"/>
          <w:bCs/>
          <w:noProof/>
          <w:color w:val="000000" w:themeColor="text1"/>
          <w:sz w:val="24"/>
          <w:szCs w:val="24"/>
          <w:u w:val="single"/>
        </w:rPr>
        <w:t>Commission’s response</w:t>
      </w:r>
    </w:p>
    <w:p w14:paraId="309DE1B2" w14:textId="4DC35D74" w:rsidR="00E5270C" w:rsidRPr="001E3C9B" w:rsidRDefault="00873A05" w:rsidP="00E5270C">
      <w:pPr>
        <w:spacing w:after="120" w:line="264"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experts highlighted a</w:t>
      </w:r>
      <w:r w:rsidR="00E5270C" w:rsidRPr="001E3C9B">
        <w:rPr>
          <w:rFonts w:ascii="Times New Roman" w:hAnsi="Times New Roman" w:cs="Times New Roman"/>
          <w:noProof/>
          <w:color w:val="000000" w:themeColor="text1"/>
          <w:sz w:val="24"/>
          <w:szCs w:val="24"/>
        </w:rPr>
        <w:t xml:space="preserve">n opportunity </w:t>
      </w:r>
      <w:r w:rsidR="008D7072">
        <w:rPr>
          <w:rFonts w:ascii="Times New Roman" w:hAnsi="Times New Roman" w:cs="Times New Roman"/>
          <w:noProof/>
          <w:color w:val="000000" w:themeColor="text1"/>
          <w:sz w:val="24"/>
          <w:szCs w:val="24"/>
        </w:rPr>
        <w:t>to</w:t>
      </w:r>
      <w:r w:rsidR="008D7072" w:rsidRPr="001E3C9B">
        <w:rPr>
          <w:rFonts w:ascii="Times New Roman" w:hAnsi="Times New Roman" w:cs="Times New Roman"/>
          <w:noProof/>
          <w:color w:val="000000" w:themeColor="text1"/>
          <w:sz w:val="24"/>
          <w:szCs w:val="24"/>
        </w:rPr>
        <w:t xml:space="preserve"> </w:t>
      </w:r>
      <w:r w:rsidR="00E5270C" w:rsidRPr="001E3C9B">
        <w:rPr>
          <w:rFonts w:ascii="Times New Roman" w:hAnsi="Times New Roman" w:cs="Times New Roman"/>
          <w:noProof/>
          <w:color w:val="000000" w:themeColor="text1"/>
          <w:sz w:val="24"/>
          <w:szCs w:val="24"/>
        </w:rPr>
        <w:t>improv</w:t>
      </w:r>
      <w:r w:rsidR="008D7072">
        <w:rPr>
          <w:rFonts w:ascii="Times New Roman" w:hAnsi="Times New Roman" w:cs="Times New Roman"/>
          <w:noProof/>
          <w:color w:val="000000" w:themeColor="text1"/>
          <w:sz w:val="24"/>
          <w:szCs w:val="24"/>
        </w:rPr>
        <w:t>e</w:t>
      </w:r>
      <w:r w:rsidR="00E5270C" w:rsidRPr="001E3C9B">
        <w:rPr>
          <w:rFonts w:ascii="Times New Roman" w:hAnsi="Times New Roman" w:cs="Times New Roman"/>
          <w:noProof/>
          <w:color w:val="000000" w:themeColor="text1"/>
          <w:sz w:val="24"/>
          <w:szCs w:val="24"/>
        </w:rPr>
        <w:t xml:space="preserve"> communication at different levels</w:t>
      </w:r>
      <w:r w:rsidR="008D7072">
        <w:rPr>
          <w:rFonts w:ascii="Times New Roman" w:hAnsi="Times New Roman" w:cs="Times New Roman"/>
          <w:noProof/>
          <w:color w:val="000000" w:themeColor="text1"/>
          <w:sz w:val="24"/>
          <w:szCs w:val="24"/>
        </w:rPr>
        <w:t>: (i)</w:t>
      </w:r>
      <w:r w:rsidR="00E5270C" w:rsidRPr="001E3C9B">
        <w:rPr>
          <w:rFonts w:ascii="Times New Roman" w:hAnsi="Times New Roman" w:cs="Times New Roman"/>
          <w:noProof/>
          <w:color w:val="000000" w:themeColor="text1"/>
          <w:sz w:val="24"/>
          <w:szCs w:val="24"/>
        </w:rPr>
        <w:t xml:space="preserve"> within the JRC</w:t>
      </w:r>
      <w:r w:rsidR="008D7072">
        <w:rPr>
          <w:rFonts w:ascii="Times New Roman" w:hAnsi="Times New Roman" w:cs="Times New Roman"/>
          <w:noProof/>
          <w:color w:val="000000" w:themeColor="text1"/>
          <w:sz w:val="24"/>
          <w:szCs w:val="24"/>
        </w:rPr>
        <w:t>; (ii)</w:t>
      </w:r>
      <w:r w:rsidR="00E5270C" w:rsidRPr="001E3C9B">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 xml:space="preserve">between the JRC and </w:t>
      </w:r>
      <w:r w:rsidR="00E5270C" w:rsidRPr="001E3C9B">
        <w:rPr>
          <w:rFonts w:ascii="Times New Roman" w:hAnsi="Times New Roman" w:cs="Times New Roman"/>
          <w:noProof/>
          <w:color w:val="000000" w:themeColor="text1"/>
          <w:sz w:val="24"/>
          <w:szCs w:val="24"/>
        </w:rPr>
        <w:t>the European Commission</w:t>
      </w:r>
      <w:r w:rsidR="008D7072">
        <w:rPr>
          <w:rFonts w:ascii="Times New Roman" w:hAnsi="Times New Roman" w:cs="Times New Roman"/>
          <w:noProof/>
          <w:color w:val="000000" w:themeColor="text1"/>
          <w:sz w:val="24"/>
          <w:szCs w:val="24"/>
        </w:rPr>
        <w:t>;</w:t>
      </w:r>
      <w:r w:rsidR="00E5270C" w:rsidRPr="001E3C9B">
        <w:rPr>
          <w:rFonts w:ascii="Times New Roman" w:hAnsi="Times New Roman" w:cs="Times New Roman"/>
          <w:noProof/>
          <w:color w:val="000000" w:themeColor="text1"/>
          <w:sz w:val="24"/>
          <w:szCs w:val="24"/>
        </w:rPr>
        <w:t xml:space="preserve"> </w:t>
      </w:r>
      <w:r w:rsidR="00962BE3" w:rsidRPr="001E3C9B">
        <w:rPr>
          <w:rFonts w:ascii="Times New Roman" w:hAnsi="Times New Roman" w:cs="Times New Roman"/>
          <w:noProof/>
          <w:color w:val="000000" w:themeColor="text1"/>
          <w:sz w:val="24"/>
          <w:szCs w:val="24"/>
        </w:rPr>
        <w:t>and</w:t>
      </w:r>
      <w:r w:rsidR="008D7072">
        <w:rPr>
          <w:rFonts w:ascii="Times New Roman" w:hAnsi="Times New Roman" w:cs="Times New Roman"/>
          <w:noProof/>
          <w:color w:val="000000" w:themeColor="text1"/>
          <w:sz w:val="24"/>
          <w:szCs w:val="24"/>
        </w:rPr>
        <w:t xml:space="preserve"> (iii)</w:t>
      </w:r>
      <w:r w:rsidR="00E5270C" w:rsidRPr="001E3C9B">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between the JRC and its</w:t>
      </w:r>
      <w:r w:rsidR="00E5270C" w:rsidRPr="001E3C9B">
        <w:rPr>
          <w:rFonts w:ascii="Times New Roman" w:hAnsi="Times New Roman" w:cs="Times New Roman"/>
          <w:noProof/>
          <w:color w:val="000000" w:themeColor="text1"/>
          <w:sz w:val="24"/>
          <w:szCs w:val="24"/>
        </w:rPr>
        <w:t xml:space="preserve"> external stakeholders</w:t>
      </w:r>
      <w:r>
        <w:rPr>
          <w:rFonts w:ascii="Times New Roman" w:hAnsi="Times New Roman" w:cs="Times New Roman"/>
          <w:noProof/>
          <w:color w:val="000000" w:themeColor="text1"/>
          <w:sz w:val="24"/>
          <w:szCs w:val="24"/>
        </w:rPr>
        <w:t>. This would</w:t>
      </w:r>
      <w:r w:rsidR="00E5270C" w:rsidRPr="001E3C9B">
        <w:rPr>
          <w:rFonts w:ascii="Times New Roman" w:hAnsi="Times New Roman" w:cs="Times New Roman"/>
          <w:noProof/>
          <w:color w:val="000000" w:themeColor="text1"/>
          <w:sz w:val="24"/>
          <w:szCs w:val="24"/>
        </w:rPr>
        <w:t xml:space="preserve"> provide more clarity on the research conducted by the JRC and the tangible impacts </w:t>
      </w:r>
      <w:r>
        <w:rPr>
          <w:rFonts w:ascii="Times New Roman" w:hAnsi="Times New Roman" w:cs="Times New Roman"/>
          <w:noProof/>
          <w:color w:val="000000" w:themeColor="text1"/>
          <w:sz w:val="24"/>
          <w:szCs w:val="24"/>
        </w:rPr>
        <w:t xml:space="preserve">it </w:t>
      </w:r>
      <w:r w:rsidR="00E5270C" w:rsidRPr="001E3C9B">
        <w:rPr>
          <w:rFonts w:ascii="Times New Roman" w:hAnsi="Times New Roman" w:cs="Times New Roman"/>
          <w:noProof/>
          <w:color w:val="000000" w:themeColor="text1"/>
          <w:sz w:val="24"/>
          <w:szCs w:val="24"/>
        </w:rPr>
        <w:t>achieved. A strand of actions within the JRC</w:t>
      </w:r>
      <w:r w:rsidR="00962BE3" w:rsidRPr="001E3C9B">
        <w:rPr>
          <w:rFonts w:ascii="Times New Roman" w:hAnsi="Times New Roman" w:cs="Times New Roman"/>
          <w:noProof/>
          <w:color w:val="000000" w:themeColor="text1"/>
          <w:sz w:val="24"/>
          <w:szCs w:val="24"/>
        </w:rPr>
        <w:t>’s</w:t>
      </w:r>
      <w:r w:rsidR="00E5270C" w:rsidRPr="001E3C9B">
        <w:rPr>
          <w:rFonts w:ascii="Times New Roman" w:hAnsi="Times New Roman" w:cs="Times New Roman"/>
          <w:noProof/>
          <w:color w:val="000000" w:themeColor="text1"/>
          <w:sz w:val="24"/>
          <w:szCs w:val="24"/>
        </w:rPr>
        <w:t xml:space="preserve"> nuclear strategy aims to address this issue by emphasising more strategic communication and the </w:t>
      </w:r>
      <w:r w:rsidR="0024237B">
        <w:rPr>
          <w:rFonts w:ascii="Times New Roman" w:hAnsi="Times New Roman" w:cs="Times New Roman"/>
          <w:noProof/>
          <w:color w:val="000000" w:themeColor="text1"/>
          <w:sz w:val="24"/>
          <w:szCs w:val="24"/>
        </w:rPr>
        <w:t>identification</w:t>
      </w:r>
      <w:r w:rsidR="0024237B" w:rsidRPr="001E3C9B">
        <w:rPr>
          <w:rFonts w:ascii="Times New Roman" w:hAnsi="Times New Roman" w:cs="Times New Roman"/>
          <w:noProof/>
          <w:color w:val="000000" w:themeColor="text1"/>
          <w:sz w:val="24"/>
          <w:szCs w:val="24"/>
        </w:rPr>
        <w:t xml:space="preserve"> </w:t>
      </w:r>
      <w:r w:rsidR="00E5270C" w:rsidRPr="001E3C9B">
        <w:rPr>
          <w:rFonts w:ascii="Times New Roman" w:hAnsi="Times New Roman" w:cs="Times New Roman"/>
          <w:noProof/>
          <w:color w:val="000000" w:themeColor="text1"/>
          <w:sz w:val="24"/>
          <w:szCs w:val="24"/>
        </w:rPr>
        <w:t xml:space="preserve">of target audiences, as well as </w:t>
      </w:r>
      <w:r w:rsidR="0024237B">
        <w:rPr>
          <w:rFonts w:ascii="Times New Roman" w:hAnsi="Times New Roman" w:cs="Times New Roman"/>
          <w:noProof/>
          <w:color w:val="000000" w:themeColor="text1"/>
          <w:sz w:val="24"/>
          <w:szCs w:val="24"/>
        </w:rPr>
        <w:t>better</w:t>
      </w:r>
      <w:r w:rsidR="0024237B" w:rsidRPr="001E3C9B">
        <w:rPr>
          <w:rFonts w:ascii="Times New Roman" w:hAnsi="Times New Roman" w:cs="Times New Roman"/>
          <w:noProof/>
          <w:color w:val="000000" w:themeColor="text1"/>
          <w:sz w:val="24"/>
          <w:szCs w:val="24"/>
        </w:rPr>
        <w:t xml:space="preserve"> </w:t>
      </w:r>
      <w:r w:rsidR="00E5270C" w:rsidRPr="001E3C9B">
        <w:rPr>
          <w:rFonts w:ascii="Times New Roman" w:hAnsi="Times New Roman" w:cs="Times New Roman"/>
          <w:noProof/>
          <w:color w:val="000000" w:themeColor="text1"/>
          <w:sz w:val="24"/>
          <w:szCs w:val="24"/>
        </w:rPr>
        <w:t xml:space="preserve">cooperation with relevant stakeholders. </w:t>
      </w:r>
    </w:p>
    <w:p w14:paraId="33E829E1" w14:textId="5AE500A2" w:rsidR="00E5270C" w:rsidRPr="001E3C9B" w:rsidRDefault="00E5270C" w:rsidP="00E5270C">
      <w:pPr>
        <w:spacing w:after="120" w:line="264" w:lineRule="auto"/>
        <w:rPr>
          <w:rFonts w:ascii="Times New Roman" w:hAnsi="Times New Roman" w:cs="Times New Roman"/>
          <w:b/>
          <w:noProof/>
          <w:color w:val="000000" w:themeColor="text1"/>
          <w:sz w:val="24"/>
          <w:szCs w:val="24"/>
        </w:rPr>
      </w:pPr>
      <w:r w:rsidRPr="001E3C9B">
        <w:rPr>
          <w:rFonts w:ascii="Times New Roman" w:hAnsi="Times New Roman" w:cs="Times New Roman"/>
          <w:b/>
          <w:noProof/>
          <w:color w:val="000000" w:themeColor="text1"/>
          <w:sz w:val="24"/>
          <w:szCs w:val="24"/>
        </w:rPr>
        <w:t>Recommendation on resources</w:t>
      </w:r>
    </w:p>
    <w:p w14:paraId="6C9B69C3" w14:textId="6A9FE190" w:rsidR="00E5270C" w:rsidRPr="00B977EA" w:rsidRDefault="00E5270C" w:rsidP="00E5270C">
      <w:pPr>
        <w:pStyle w:val="ListParagraph"/>
        <w:numPr>
          <w:ilvl w:val="0"/>
          <w:numId w:val="45"/>
        </w:numPr>
        <w:spacing w:after="120" w:line="264" w:lineRule="auto"/>
        <w:rPr>
          <w:rFonts w:cs="Times New Roman"/>
          <w:noProof/>
          <w:color w:val="000000" w:themeColor="text1"/>
          <w:szCs w:val="24"/>
        </w:rPr>
      </w:pPr>
      <w:r w:rsidRPr="00202402">
        <w:rPr>
          <w:rFonts w:cs="Times New Roman"/>
          <w:noProof/>
          <w:color w:val="000000" w:themeColor="text1"/>
          <w:szCs w:val="24"/>
        </w:rPr>
        <w:t>The JRC should implement a proactive talent</w:t>
      </w:r>
      <w:r w:rsidR="0024237B">
        <w:rPr>
          <w:rFonts w:cs="Times New Roman"/>
          <w:noProof/>
          <w:color w:val="000000" w:themeColor="text1"/>
          <w:szCs w:val="24"/>
        </w:rPr>
        <w:t>-</w:t>
      </w:r>
      <w:r w:rsidRPr="00202402">
        <w:rPr>
          <w:rFonts w:cs="Times New Roman"/>
          <w:noProof/>
          <w:color w:val="000000" w:themeColor="text1"/>
          <w:szCs w:val="24"/>
        </w:rPr>
        <w:t xml:space="preserve">acquisition approach at all levels of seniority, with the aim of </w:t>
      </w:r>
      <w:r w:rsidR="00E86DB0">
        <w:rPr>
          <w:rFonts w:cs="Times New Roman"/>
          <w:noProof/>
          <w:color w:val="000000" w:themeColor="text1"/>
          <w:szCs w:val="24"/>
        </w:rPr>
        <w:t>putting in place</w:t>
      </w:r>
      <w:r w:rsidR="00E86DB0" w:rsidRPr="00202402">
        <w:rPr>
          <w:rFonts w:cs="Times New Roman"/>
          <w:noProof/>
          <w:color w:val="000000" w:themeColor="text1"/>
          <w:szCs w:val="24"/>
        </w:rPr>
        <w:t xml:space="preserve"> </w:t>
      </w:r>
      <w:r w:rsidRPr="00202402">
        <w:rPr>
          <w:rFonts w:cs="Times New Roman"/>
          <w:noProof/>
          <w:color w:val="000000" w:themeColor="text1"/>
          <w:szCs w:val="24"/>
        </w:rPr>
        <w:t>a more diverse workforce, in particular with regard to gender balance. This applies to external recruitment but also to suitable internal development programmes to incentivise and motivate potential candidates.</w:t>
      </w:r>
    </w:p>
    <w:p w14:paraId="2135538E" w14:textId="282140BE" w:rsidR="00E5270C" w:rsidRPr="00854965" w:rsidRDefault="00E5270C" w:rsidP="00E5270C">
      <w:pPr>
        <w:spacing w:after="120" w:line="264" w:lineRule="auto"/>
        <w:rPr>
          <w:rFonts w:ascii="Times New Roman" w:hAnsi="Times New Roman" w:cs="Times New Roman"/>
          <w:bCs/>
          <w:noProof/>
          <w:color w:val="000000" w:themeColor="text1"/>
          <w:sz w:val="24"/>
          <w:szCs w:val="24"/>
          <w:u w:val="single"/>
        </w:rPr>
      </w:pPr>
      <w:r w:rsidRPr="00854965">
        <w:rPr>
          <w:rFonts w:ascii="Times New Roman" w:hAnsi="Times New Roman" w:cs="Times New Roman"/>
          <w:bCs/>
          <w:noProof/>
          <w:color w:val="000000" w:themeColor="text1"/>
          <w:sz w:val="24"/>
          <w:szCs w:val="24"/>
          <w:u w:val="single"/>
        </w:rPr>
        <w:t>Commission’s response</w:t>
      </w:r>
    </w:p>
    <w:p w14:paraId="15D32FDA" w14:textId="1BC2E687" w:rsidR="00E5270C" w:rsidRPr="001E3C9B" w:rsidRDefault="0024237B" w:rsidP="00E5270C">
      <w:pPr>
        <w:spacing w:after="120" w:line="264"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Due</w:t>
      </w:r>
      <w:r w:rsidR="00E5270C" w:rsidRPr="001E3C9B">
        <w:rPr>
          <w:rFonts w:ascii="Times New Roman" w:hAnsi="Times New Roman" w:cs="Times New Roman"/>
          <w:noProof/>
          <w:color w:val="000000" w:themeColor="text1"/>
          <w:sz w:val="24"/>
          <w:szCs w:val="24"/>
        </w:rPr>
        <w:t xml:space="preserve"> to the reduction of the Euratom budget under the 2021-2027 </w:t>
      </w:r>
      <w:r w:rsidR="00A5166E">
        <w:rPr>
          <w:rFonts w:ascii="Times New Roman" w:hAnsi="Times New Roman" w:cs="Times New Roman"/>
          <w:noProof/>
          <w:color w:val="000000" w:themeColor="text1"/>
          <w:sz w:val="24"/>
          <w:szCs w:val="24"/>
        </w:rPr>
        <w:t>m</w:t>
      </w:r>
      <w:r w:rsidR="00937CAE">
        <w:rPr>
          <w:rFonts w:ascii="Times New Roman" w:hAnsi="Times New Roman" w:cs="Times New Roman"/>
          <w:noProof/>
          <w:color w:val="000000" w:themeColor="text1"/>
          <w:sz w:val="24"/>
          <w:szCs w:val="24"/>
        </w:rPr>
        <w:t xml:space="preserve">ultiannual </w:t>
      </w:r>
      <w:r w:rsidR="00A5166E">
        <w:rPr>
          <w:rFonts w:ascii="Times New Roman" w:hAnsi="Times New Roman" w:cs="Times New Roman"/>
          <w:noProof/>
          <w:color w:val="000000" w:themeColor="text1"/>
          <w:sz w:val="24"/>
          <w:szCs w:val="24"/>
        </w:rPr>
        <w:t>f</w:t>
      </w:r>
      <w:r w:rsidR="00937CAE">
        <w:rPr>
          <w:rFonts w:ascii="Times New Roman" w:hAnsi="Times New Roman" w:cs="Times New Roman"/>
          <w:noProof/>
          <w:color w:val="000000" w:themeColor="text1"/>
          <w:sz w:val="24"/>
          <w:szCs w:val="24"/>
        </w:rPr>
        <w:t xml:space="preserve">inancial </w:t>
      </w:r>
      <w:r w:rsidR="00A5166E">
        <w:rPr>
          <w:rFonts w:ascii="Times New Roman" w:hAnsi="Times New Roman" w:cs="Times New Roman"/>
          <w:noProof/>
          <w:color w:val="000000" w:themeColor="text1"/>
          <w:sz w:val="24"/>
          <w:szCs w:val="24"/>
        </w:rPr>
        <w:t>f</w:t>
      </w:r>
      <w:r w:rsidR="00937CAE">
        <w:rPr>
          <w:rFonts w:ascii="Times New Roman" w:hAnsi="Times New Roman" w:cs="Times New Roman"/>
          <w:noProof/>
          <w:color w:val="000000" w:themeColor="text1"/>
          <w:sz w:val="24"/>
          <w:szCs w:val="24"/>
        </w:rPr>
        <w:t>ramework</w:t>
      </w:r>
      <w:r w:rsidR="00E5270C" w:rsidRPr="001E3C9B">
        <w:rPr>
          <w:rFonts w:ascii="Times New Roman" w:hAnsi="Times New Roman" w:cs="Times New Roman"/>
          <w:noProof/>
          <w:color w:val="000000" w:themeColor="text1"/>
          <w:sz w:val="24"/>
          <w:szCs w:val="24"/>
        </w:rPr>
        <w:t xml:space="preserve">, the JRC </w:t>
      </w:r>
      <w:r w:rsidR="009D18D0" w:rsidRPr="001E3C9B">
        <w:rPr>
          <w:rFonts w:ascii="Times New Roman" w:hAnsi="Times New Roman" w:cs="Times New Roman"/>
          <w:noProof/>
          <w:color w:val="000000" w:themeColor="text1"/>
          <w:sz w:val="24"/>
          <w:szCs w:val="24"/>
        </w:rPr>
        <w:t xml:space="preserve">is facing a challenging situation </w:t>
      </w:r>
      <w:r>
        <w:rPr>
          <w:rFonts w:ascii="Times New Roman" w:hAnsi="Times New Roman" w:cs="Times New Roman"/>
          <w:noProof/>
          <w:color w:val="000000" w:themeColor="text1"/>
          <w:sz w:val="24"/>
          <w:szCs w:val="24"/>
        </w:rPr>
        <w:t>in</w:t>
      </w:r>
      <w:r w:rsidR="004A6415" w:rsidRPr="001E3C9B">
        <w:rPr>
          <w:rFonts w:ascii="Times New Roman" w:hAnsi="Times New Roman" w:cs="Times New Roman"/>
          <w:noProof/>
          <w:color w:val="000000" w:themeColor="text1"/>
          <w:sz w:val="24"/>
          <w:szCs w:val="24"/>
        </w:rPr>
        <w:t xml:space="preserve"> </w:t>
      </w:r>
      <w:r w:rsidR="009D18D0" w:rsidRPr="001E3C9B">
        <w:rPr>
          <w:rFonts w:ascii="Times New Roman" w:hAnsi="Times New Roman" w:cs="Times New Roman"/>
          <w:noProof/>
          <w:color w:val="000000" w:themeColor="text1"/>
          <w:sz w:val="24"/>
          <w:szCs w:val="24"/>
        </w:rPr>
        <w:t xml:space="preserve">developing and maintaining the </w:t>
      </w:r>
      <w:r>
        <w:rPr>
          <w:rFonts w:ascii="Times New Roman" w:hAnsi="Times New Roman" w:cs="Times New Roman"/>
          <w:noProof/>
          <w:color w:val="000000" w:themeColor="text1"/>
          <w:sz w:val="24"/>
          <w:szCs w:val="24"/>
        </w:rPr>
        <w:t>skilled workforce it</w:t>
      </w:r>
      <w:r w:rsidR="004A6415" w:rsidRPr="001E3C9B">
        <w:rPr>
          <w:rFonts w:ascii="Times New Roman" w:hAnsi="Times New Roman" w:cs="Times New Roman"/>
          <w:noProof/>
          <w:color w:val="000000" w:themeColor="text1"/>
          <w:sz w:val="24"/>
          <w:szCs w:val="24"/>
        </w:rPr>
        <w:t xml:space="preserve"> need</w:t>
      </w:r>
      <w:r>
        <w:rPr>
          <w:rFonts w:ascii="Times New Roman" w:hAnsi="Times New Roman" w:cs="Times New Roman"/>
          <w:noProof/>
          <w:color w:val="000000" w:themeColor="text1"/>
          <w:sz w:val="24"/>
          <w:szCs w:val="24"/>
        </w:rPr>
        <w:t>s</w:t>
      </w:r>
      <w:r w:rsidR="009D18D0" w:rsidRPr="001E3C9B">
        <w:rPr>
          <w:rFonts w:ascii="Times New Roman" w:hAnsi="Times New Roman" w:cs="Times New Roman"/>
          <w:noProof/>
          <w:color w:val="000000" w:themeColor="text1"/>
          <w:sz w:val="24"/>
          <w:szCs w:val="24"/>
        </w:rPr>
        <w:t>. Notwithstanding</w:t>
      </w:r>
      <w:r>
        <w:rPr>
          <w:rFonts w:ascii="Times New Roman" w:hAnsi="Times New Roman" w:cs="Times New Roman"/>
          <w:noProof/>
          <w:color w:val="000000" w:themeColor="text1"/>
          <w:sz w:val="24"/>
          <w:szCs w:val="24"/>
        </w:rPr>
        <w:t xml:space="preserve"> this issue</w:t>
      </w:r>
      <w:r w:rsidR="009D18D0" w:rsidRPr="001E3C9B">
        <w:rPr>
          <w:rFonts w:ascii="Times New Roman" w:hAnsi="Times New Roman" w:cs="Times New Roman"/>
          <w:noProof/>
          <w:color w:val="000000" w:themeColor="text1"/>
          <w:sz w:val="24"/>
          <w:szCs w:val="24"/>
        </w:rPr>
        <w:t xml:space="preserve">, the JRC </w:t>
      </w:r>
      <w:r w:rsidR="00E5270C" w:rsidRPr="001E3C9B">
        <w:rPr>
          <w:rFonts w:ascii="Times New Roman" w:hAnsi="Times New Roman" w:cs="Times New Roman"/>
          <w:noProof/>
          <w:color w:val="000000" w:themeColor="text1"/>
          <w:sz w:val="24"/>
          <w:szCs w:val="24"/>
        </w:rPr>
        <w:t xml:space="preserve">has included a strand of actions in its nuclear strategy targeting </w:t>
      </w:r>
      <w:r>
        <w:rPr>
          <w:rFonts w:ascii="Times New Roman" w:hAnsi="Times New Roman" w:cs="Times New Roman"/>
          <w:noProof/>
          <w:color w:val="000000" w:themeColor="text1"/>
          <w:sz w:val="24"/>
          <w:szCs w:val="24"/>
        </w:rPr>
        <w:t>skills</w:t>
      </w:r>
      <w:r w:rsidRPr="001E3C9B">
        <w:rPr>
          <w:rFonts w:ascii="Times New Roman" w:hAnsi="Times New Roman" w:cs="Times New Roman"/>
          <w:noProof/>
          <w:color w:val="000000" w:themeColor="text1"/>
          <w:sz w:val="24"/>
          <w:szCs w:val="24"/>
        </w:rPr>
        <w:t xml:space="preserve"> </w:t>
      </w:r>
      <w:r w:rsidR="00E5270C" w:rsidRPr="001E3C9B">
        <w:rPr>
          <w:rFonts w:ascii="Times New Roman" w:hAnsi="Times New Roman" w:cs="Times New Roman"/>
          <w:noProof/>
          <w:color w:val="000000" w:themeColor="text1"/>
          <w:sz w:val="24"/>
          <w:szCs w:val="24"/>
        </w:rPr>
        <w:t>and staff</w:t>
      </w:r>
      <w:r>
        <w:rPr>
          <w:rFonts w:ascii="Times New Roman" w:hAnsi="Times New Roman" w:cs="Times New Roman"/>
          <w:noProof/>
          <w:color w:val="000000" w:themeColor="text1"/>
          <w:sz w:val="24"/>
          <w:szCs w:val="24"/>
        </w:rPr>
        <w:t xml:space="preserve"> </w:t>
      </w:r>
      <w:r w:rsidR="004E5AB1">
        <w:rPr>
          <w:rFonts w:ascii="Times New Roman" w:hAnsi="Times New Roman" w:cs="Times New Roman"/>
          <w:noProof/>
          <w:color w:val="000000" w:themeColor="text1"/>
          <w:sz w:val="24"/>
          <w:szCs w:val="24"/>
        </w:rPr>
        <w:t>aspects</w:t>
      </w:r>
      <w:r w:rsidR="00E5270C" w:rsidRPr="001E3C9B">
        <w:rPr>
          <w:rFonts w:ascii="Times New Roman" w:hAnsi="Times New Roman" w:cs="Times New Roman"/>
          <w:noProof/>
          <w:color w:val="000000" w:themeColor="text1"/>
          <w:sz w:val="24"/>
          <w:szCs w:val="24"/>
        </w:rPr>
        <w:t xml:space="preserve"> to</w:t>
      </w:r>
      <w:r w:rsidR="009D18D0" w:rsidRPr="001E3C9B">
        <w:rPr>
          <w:rFonts w:ascii="Times New Roman" w:hAnsi="Times New Roman" w:cs="Times New Roman"/>
          <w:noProof/>
          <w:color w:val="000000" w:themeColor="text1"/>
          <w:sz w:val="24"/>
          <w:szCs w:val="24"/>
        </w:rPr>
        <w:t xml:space="preserve"> try to</w:t>
      </w:r>
      <w:r w:rsidR="00E5270C" w:rsidRPr="001E3C9B">
        <w:rPr>
          <w:rFonts w:ascii="Times New Roman" w:hAnsi="Times New Roman" w:cs="Times New Roman"/>
          <w:noProof/>
          <w:color w:val="000000" w:themeColor="text1"/>
          <w:sz w:val="24"/>
          <w:szCs w:val="24"/>
        </w:rPr>
        <w:t xml:space="preserve"> mitigate the impact of this redu</w:t>
      </w:r>
      <w:r>
        <w:rPr>
          <w:rFonts w:ascii="Times New Roman" w:hAnsi="Times New Roman" w:cs="Times New Roman"/>
          <w:noProof/>
          <w:color w:val="000000" w:themeColor="text1"/>
          <w:sz w:val="24"/>
          <w:szCs w:val="24"/>
        </w:rPr>
        <w:t>c</w:t>
      </w:r>
      <w:r w:rsidR="00E5270C" w:rsidRPr="001E3C9B">
        <w:rPr>
          <w:rFonts w:ascii="Times New Roman" w:hAnsi="Times New Roman" w:cs="Times New Roman"/>
          <w:noProof/>
          <w:color w:val="000000" w:themeColor="text1"/>
          <w:sz w:val="24"/>
          <w:szCs w:val="24"/>
        </w:rPr>
        <w:t xml:space="preserve">tion over time. This exercise </w:t>
      </w:r>
      <w:r w:rsidR="009D18D0" w:rsidRPr="001E3C9B">
        <w:rPr>
          <w:rFonts w:ascii="Times New Roman" w:hAnsi="Times New Roman" w:cs="Times New Roman"/>
          <w:noProof/>
          <w:color w:val="000000" w:themeColor="text1"/>
          <w:sz w:val="24"/>
          <w:szCs w:val="24"/>
        </w:rPr>
        <w:t xml:space="preserve">aims </w:t>
      </w:r>
      <w:r>
        <w:rPr>
          <w:rFonts w:ascii="Times New Roman" w:hAnsi="Times New Roman" w:cs="Times New Roman"/>
          <w:noProof/>
          <w:color w:val="000000" w:themeColor="text1"/>
          <w:sz w:val="24"/>
          <w:szCs w:val="24"/>
        </w:rPr>
        <w:t>to</w:t>
      </w:r>
      <w:r w:rsidR="009D18D0" w:rsidRPr="001E3C9B">
        <w:rPr>
          <w:rFonts w:ascii="Times New Roman" w:hAnsi="Times New Roman" w:cs="Times New Roman"/>
          <w:noProof/>
          <w:color w:val="000000" w:themeColor="text1"/>
          <w:sz w:val="24"/>
          <w:szCs w:val="24"/>
        </w:rPr>
        <w:t xml:space="preserve"> ensur</w:t>
      </w:r>
      <w:r>
        <w:rPr>
          <w:rFonts w:ascii="Times New Roman" w:hAnsi="Times New Roman" w:cs="Times New Roman"/>
          <w:noProof/>
          <w:color w:val="000000" w:themeColor="text1"/>
          <w:sz w:val="24"/>
          <w:szCs w:val="24"/>
        </w:rPr>
        <w:t>e</w:t>
      </w:r>
      <w:r w:rsidR="00E5270C" w:rsidRPr="001E3C9B">
        <w:rPr>
          <w:rFonts w:ascii="Times New Roman" w:hAnsi="Times New Roman" w:cs="Times New Roman"/>
          <w:noProof/>
          <w:color w:val="000000" w:themeColor="text1"/>
          <w:sz w:val="24"/>
          <w:szCs w:val="24"/>
        </w:rPr>
        <w:t xml:space="preserve"> </w:t>
      </w:r>
      <w:r w:rsidR="00F00EB2">
        <w:rPr>
          <w:rFonts w:ascii="Times New Roman" w:hAnsi="Times New Roman" w:cs="Times New Roman"/>
          <w:noProof/>
          <w:color w:val="000000" w:themeColor="text1"/>
          <w:sz w:val="24"/>
          <w:szCs w:val="24"/>
        </w:rPr>
        <w:t xml:space="preserve">that knowledge is </w:t>
      </w:r>
      <w:r w:rsidR="00E5270C" w:rsidRPr="001E3C9B">
        <w:rPr>
          <w:rFonts w:ascii="Times New Roman" w:hAnsi="Times New Roman" w:cs="Times New Roman"/>
          <w:noProof/>
          <w:color w:val="000000" w:themeColor="text1"/>
          <w:sz w:val="24"/>
          <w:szCs w:val="24"/>
        </w:rPr>
        <w:t>efficient</w:t>
      </w:r>
      <w:r w:rsidR="00F00EB2">
        <w:rPr>
          <w:rFonts w:ascii="Times New Roman" w:hAnsi="Times New Roman" w:cs="Times New Roman"/>
          <w:noProof/>
          <w:color w:val="000000" w:themeColor="text1"/>
          <w:sz w:val="24"/>
          <w:szCs w:val="24"/>
        </w:rPr>
        <w:t>ly</w:t>
      </w:r>
      <w:r w:rsidR="00E5270C" w:rsidRPr="001E3C9B">
        <w:rPr>
          <w:rFonts w:ascii="Times New Roman" w:hAnsi="Times New Roman" w:cs="Times New Roman"/>
          <w:noProof/>
          <w:color w:val="000000" w:themeColor="text1"/>
          <w:sz w:val="24"/>
          <w:szCs w:val="24"/>
        </w:rPr>
        <w:t xml:space="preserve"> manage</w:t>
      </w:r>
      <w:r w:rsidR="00F00EB2">
        <w:rPr>
          <w:rFonts w:ascii="Times New Roman" w:hAnsi="Times New Roman" w:cs="Times New Roman"/>
          <w:noProof/>
          <w:color w:val="000000" w:themeColor="text1"/>
          <w:sz w:val="24"/>
          <w:szCs w:val="24"/>
        </w:rPr>
        <w:t>d</w:t>
      </w:r>
      <w:r w:rsidR="00E5270C" w:rsidRPr="001E3C9B">
        <w:rPr>
          <w:rFonts w:ascii="Times New Roman" w:hAnsi="Times New Roman" w:cs="Times New Roman"/>
          <w:noProof/>
          <w:color w:val="000000" w:themeColor="text1"/>
          <w:sz w:val="24"/>
          <w:szCs w:val="24"/>
        </w:rPr>
        <w:t xml:space="preserve"> keeping in mind the necessary critical </w:t>
      </w:r>
      <w:r w:rsidR="00F00EB2">
        <w:rPr>
          <w:rFonts w:ascii="Times New Roman" w:hAnsi="Times New Roman" w:cs="Times New Roman"/>
          <w:noProof/>
          <w:color w:val="000000" w:themeColor="text1"/>
          <w:sz w:val="24"/>
          <w:szCs w:val="24"/>
        </w:rPr>
        <w:t>skills</w:t>
      </w:r>
      <w:r w:rsidR="00F00EB2" w:rsidRPr="001E3C9B">
        <w:rPr>
          <w:rFonts w:ascii="Times New Roman" w:hAnsi="Times New Roman" w:cs="Times New Roman"/>
          <w:noProof/>
          <w:color w:val="000000" w:themeColor="text1"/>
          <w:sz w:val="24"/>
          <w:szCs w:val="24"/>
        </w:rPr>
        <w:t xml:space="preserve"> </w:t>
      </w:r>
      <w:r w:rsidR="00E5270C" w:rsidRPr="001E3C9B">
        <w:rPr>
          <w:rFonts w:ascii="Times New Roman" w:hAnsi="Times New Roman" w:cs="Times New Roman"/>
          <w:noProof/>
          <w:color w:val="000000" w:themeColor="text1"/>
          <w:sz w:val="24"/>
          <w:szCs w:val="24"/>
        </w:rPr>
        <w:t>t</w:t>
      </w:r>
      <w:r w:rsidR="00F00EB2">
        <w:rPr>
          <w:rFonts w:ascii="Times New Roman" w:hAnsi="Times New Roman" w:cs="Times New Roman"/>
          <w:noProof/>
          <w:color w:val="000000" w:themeColor="text1"/>
          <w:sz w:val="24"/>
          <w:szCs w:val="24"/>
        </w:rPr>
        <w:t xml:space="preserve">hat must be retained or </w:t>
      </w:r>
      <w:r w:rsidR="00E5270C" w:rsidRPr="001E3C9B">
        <w:rPr>
          <w:rFonts w:ascii="Times New Roman" w:hAnsi="Times New Roman" w:cs="Times New Roman"/>
          <w:noProof/>
          <w:color w:val="000000" w:themeColor="text1"/>
          <w:sz w:val="24"/>
          <w:szCs w:val="24"/>
        </w:rPr>
        <w:t>replaced</w:t>
      </w:r>
      <w:r w:rsidR="00047F97">
        <w:rPr>
          <w:rFonts w:ascii="Times New Roman" w:hAnsi="Times New Roman" w:cs="Times New Roman"/>
          <w:noProof/>
          <w:color w:val="000000" w:themeColor="text1"/>
          <w:sz w:val="24"/>
          <w:szCs w:val="24"/>
        </w:rPr>
        <w:t>. It</w:t>
      </w:r>
      <w:r w:rsidR="00E5270C" w:rsidRPr="001E3C9B">
        <w:rPr>
          <w:rFonts w:ascii="Times New Roman" w:hAnsi="Times New Roman" w:cs="Times New Roman"/>
          <w:noProof/>
          <w:color w:val="000000" w:themeColor="text1"/>
          <w:sz w:val="24"/>
          <w:szCs w:val="24"/>
        </w:rPr>
        <w:t xml:space="preserve"> also aim</w:t>
      </w:r>
      <w:r w:rsidR="00047F97">
        <w:rPr>
          <w:rFonts w:ascii="Times New Roman" w:hAnsi="Times New Roman" w:cs="Times New Roman"/>
          <w:noProof/>
          <w:color w:val="000000" w:themeColor="text1"/>
          <w:sz w:val="24"/>
          <w:szCs w:val="24"/>
        </w:rPr>
        <w:t>s</w:t>
      </w:r>
      <w:r w:rsidR="00E5270C" w:rsidRPr="001E3C9B">
        <w:rPr>
          <w:rFonts w:ascii="Times New Roman" w:hAnsi="Times New Roman" w:cs="Times New Roman"/>
          <w:noProof/>
          <w:color w:val="000000" w:themeColor="text1"/>
          <w:sz w:val="24"/>
          <w:szCs w:val="24"/>
        </w:rPr>
        <w:t xml:space="preserve"> </w:t>
      </w:r>
      <w:r w:rsidR="00F00EB2">
        <w:rPr>
          <w:rFonts w:ascii="Times New Roman" w:hAnsi="Times New Roman" w:cs="Times New Roman"/>
          <w:noProof/>
          <w:color w:val="000000" w:themeColor="text1"/>
          <w:sz w:val="24"/>
          <w:szCs w:val="24"/>
        </w:rPr>
        <w:t>to</w:t>
      </w:r>
      <w:r w:rsidR="00E5270C" w:rsidRPr="001E3C9B">
        <w:rPr>
          <w:rFonts w:ascii="Times New Roman" w:hAnsi="Times New Roman" w:cs="Times New Roman"/>
          <w:noProof/>
          <w:color w:val="000000" w:themeColor="text1"/>
          <w:sz w:val="24"/>
          <w:szCs w:val="24"/>
        </w:rPr>
        <w:t xml:space="preserve"> recuit </w:t>
      </w:r>
      <w:r w:rsidR="009D18D0" w:rsidRPr="001E3C9B">
        <w:rPr>
          <w:rFonts w:ascii="Times New Roman" w:hAnsi="Times New Roman" w:cs="Times New Roman"/>
          <w:noProof/>
          <w:color w:val="000000" w:themeColor="text1"/>
          <w:sz w:val="24"/>
          <w:szCs w:val="24"/>
        </w:rPr>
        <w:t xml:space="preserve">diverse </w:t>
      </w:r>
      <w:r w:rsidR="00E5270C" w:rsidRPr="001E3C9B">
        <w:rPr>
          <w:rFonts w:ascii="Times New Roman" w:hAnsi="Times New Roman" w:cs="Times New Roman"/>
          <w:noProof/>
          <w:color w:val="000000" w:themeColor="text1"/>
          <w:sz w:val="24"/>
          <w:szCs w:val="24"/>
        </w:rPr>
        <w:t>new talent</w:t>
      </w:r>
      <w:r w:rsidR="009D18D0" w:rsidRPr="001E3C9B">
        <w:rPr>
          <w:rFonts w:ascii="Times New Roman" w:hAnsi="Times New Roman" w:cs="Times New Roman"/>
          <w:noProof/>
          <w:color w:val="000000" w:themeColor="text1"/>
          <w:sz w:val="24"/>
          <w:szCs w:val="24"/>
        </w:rPr>
        <w:t xml:space="preserve"> (within the current stringent constraints)</w:t>
      </w:r>
      <w:r w:rsidR="00E5270C" w:rsidRPr="001E3C9B">
        <w:rPr>
          <w:rFonts w:ascii="Times New Roman" w:hAnsi="Times New Roman" w:cs="Times New Roman"/>
          <w:noProof/>
          <w:color w:val="000000" w:themeColor="text1"/>
          <w:sz w:val="24"/>
          <w:szCs w:val="24"/>
        </w:rPr>
        <w:t xml:space="preserve"> to integrate high</w:t>
      </w:r>
      <w:r w:rsidR="00047F97">
        <w:rPr>
          <w:rFonts w:ascii="Times New Roman" w:hAnsi="Times New Roman" w:cs="Times New Roman"/>
          <w:noProof/>
          <w:color w:val="000000" w:themeColor="text1"/>
          <w:sz w:val="24"/>
          <w:szCs w:val="24"/>
        </w:rPr>
        <w:t xml:space="preserve">ly skilled </w:t>
      </w:r>
      <w:r w:rsidR="004E5AB1">
        <w:rPr>
          <w:rFonts w:ascii="Times New Roman" w:hAnsi="Times New Roman" w:cs="Times New Roman"/>
          <w:noProof/>
          <w:color w:val="000000" w:themeColor="text1"/>
          <w:sz w:val="24"/>
          <w:szCs w:val="24"/>
        </w:rPr>
        <w:t>future staff</w:t>
      </w:r>
      <w:r w:rsidR="00E5270C" w:rsidRPr="001E3C9B">
        <w:rPr>
          <w:rFonts w:ascii="Times New Roman" w:hAnsi="Times New Roman" w:cs="Times New Roman"/>
          <w:noProof/>
          <w:color w:val="000000" w:themeColor="text1"/>
          <w:sz w:val="24"/>
          <w:szCs w:val="24"/>
        </w:rPr>
        <w:t xml:space="preserve"> likely to trigger innovation in line with the evolving priorities of the JRC. </w:t>
      </w:r>
    </w:p>
    <w:p w14:paraId="61DF79B0" w14:textId="31D3A8E9" w:rsidR="00E5270C" w:rsidRPr="001E3C9B" w:rsidRDefault="00047F97" w:rsidP="00E5270C">
      <w:pPr>
        <w:spacing w:after="120" w:line="264"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w:t>
      </w:r>
      <w:r w:rsidR="00E5270C" w:rsidRPr="001E3C9B">
        <w:rPr>
          <w:rFonts w:ascii="Times New Roman" w:hAnsi="Times New Roman" w:cs="Times New Roman"/>
          <w:noProof/>
          <w:color w:val="000000" w:themeColor="text1"/>
          <w:sz w:val="24"/>
          <w:szCs w:val="24"/>
        </w:rPr>
        <w:t xml:space="preserve">o more effectively pool nuclear expertise and knowledge inside and outside of the JRC, the strategy intends to optimise the management of </w:t>
      </w:r>
      <w:r>
        <w:rPr>
          <w:rFonts w:ascii="Times New Roman" w:hAnsi="Times New Roman" w:cs="Times New Roman"/>
          <w:noProof/>
          <w:color w:val="000000" w:themeColor="text1"/>
          <w:sz w:val="24"/>
          <w:szCs w:val="24"/>
        </w:rPr>
        <w:t>staff</w:t>
      </w:r>
      <w:r w:rsidR="00E5270C" w:rsidRPr="001E3C9B">
        <w:rPr>
          <w:rFonts w:ascii="Times New Roman" w:hAnsi="Times New Roman" w:cs="Times New Roman"/>
          <w:noProof/>
          <w:color w:val="000000" w:themeColor="text1"/>
          <w:sz w:val="24"/>
          <w:szCs w:val="24"/>
        </w:rPr>
        <w:t xml:space="preserve"> and </w:t>
      </w:r>
      <w:r w:rsidR="009D18D0" w:rsidRPr="001E3C9B">
        <w:rPr>
          <w:rFonts w:ascii="Times New Roman" w:hAnsi="Times New Roman" w:cs="Times New Roman"/>
          <w:noProof/>
          <w:color w:val="000000" w:themeColor="text1"/>
          <w:sz w:val="24"/>
          <w:szCs w:val="24"/>
        </w:rPr>
        <w:t>reduce fragmentation by integrating</w:t>
      </w:r>
      <w:r w:rsidR="00E5270C" w:rsidRPr="001E3C9B">
        <w:rPr>
          <w:rFonts w:ascii="Times New Roman" w:hAnsi="Times New Roman" w:cs="Times New Roman"/>
          <w:noProof/>
          <w:color w:val="000000" w:themeColor="text1"/>
          <w:sz w:val="24"/>
          <w:szCs w:val="24"/>
        </w:rPr>
        <w:t xml:space="preserve"> similar research activities in single locations in the JRC sites. </w:t>
      </w:r>
      <w:r w:rsidR="009D18D0" w:rsidRPr="001E3C9B">
        <w:rPr>
          <w:rFonts w:ascii="Times New Roman" w:hAnsi="Times New Roman" w:cs="Times New Roman"/>
          <w:noProof/>
          <w:color w:val="000000" w:themeColor="text1"/>
          <w:sz w:val="24"/>
          <w:szCs w:val="24"/>
        </w:rPr>
        <w:t>Experimental activities involving the use of nuclear and radioactive materials will be integrated in only two JRC sites: Geel, in Belgium, and Karlsruhe, in Germany.</w:t>
      </w:r>
    </w:p>
    <w:p w14:paraId="554C3751" w14:textId="2003B39C" w:rsidR="00E5270C" w:rsidRPr="001E3C9B" w:rsidRDefault="00E5270C" w:rsidP="00E5270C">
      <w:pPr>
        <w:spacing w:after="120" w:line="264" w:lineRule="auto"/>
        <w:rPr>
          <w:rFonts w:ascii="Times New Roman" w:hAnsi="Times New Roman" w:cs="Times New Roman"/>
          <w:b/>
          <w:noProof/>
          <w:color w:val="000000" w:themeColor="text1"/>
          <w:sz w:val="24"/>
          <w:szCs w:val="24"/>
        </w:rPr>
      </w:pPr>
      <w:r w:rsidRPr="001E3C9B">
        <w:rPr>
          <w:rFonts w:ascii="Times New Roman" w:hAnsi="Times New Roman" w:cs="Times New Roman"/>
          <w:b/>
          <w:noProof/>
          <w:color w:val="000000" w:themeColor="text1"/>
          <w:sz w:val="24"/>
          <w:szCs w:val="24"/>
        </w:rPr>
        <w:t>Recommendations on monitoring impact and efficiency</w:t>
      </w:r>
    </w:p>
    <w:p w14:paraId="67F30B38" w14:textId="490E2DA8" w:rsidR="00E5270C" w:rsidRPr="00B977EA" w:rsidRDefault="00E5270C" w:rsidP="00E5270C">
      <w:pPr>
        <w:pStyle w:val="ListParagraph"/>
        <w:numPr>
          <w:ilvl w:val="0"/>
          <w:numId w:val="46"/>
        </w:numPr>
        <w:spacing w:after="120" w:line="264" w:lineRule="auto"/>
        <w:rPr>
          <w:rFonts w:cs="Times New Roman"/>
          <w:noProof/>
          <w:color w:val="000000" w:themeColor="text1"/>
          <w:szCs w:val="24"/>
        </w:rPr>
      </w:pPr>
      <w:r w:rsidRPr="00202402">
        <w:rPr>
          <w:rFonts w:cs="Times New Roman"/>
          <w:noProof/>
          <w:color w:val="000000" w:themeColor="text1"/>
          <w:szCs w:val="24"/>
        </w:rPr>
        <w:t>The JRC should review the indicators for measuring impact, taking into consideration current Commission initiatives on reforming research</w:t>
      </w:r>
      <w:r w:rsidR="00047F97">
        <w:rPr>
          <w:rFonts w:cs="Times New Roman"/>
          <w:noProof/>
          <w:color w:val="000000" w:themeColor="text1"/>
          <w:szCs w:val="24"/>
        </w:rPr>
        <w:t>-</w:t>
      </w:r>
      <w:r w:rsidRPr="00202402">
        <w:rPr>
          <w:rFonts w:cs="Times New Roman"/>
          <w:noProof/>
          <w:color w:val="000000" w:themeColor="text1"/>
          <w:szCs w:val="24"/>
        </w:rPr>
        <w:t>assessment methodologies.</w:t>
      </w:r>
    </w:p>
    <w:p w14:paraId="720259A7" w14:textId="12BED87D" w:rsidR="00E5270C" w:rsidRPr="00B977EA" w:rsidRDefault="00E5270C" w:rsidP="00E5270C">
      <w:pPr>
        <w:pStyle w:val="ListParagraph"/>
        <w:numPr>
          <w:ilvl w:val="0"/>
          <w:numId w:val="46"/>
        </w:numPr>
        <w:spacing w:after="120" w:line="264" w:lineRule="auto"/>
        <w:rPr>
          <w:rFonts w:cs="Times New Roman"/>
          <w:noProof/>
          <w:color w:val="000000" w:themeColor="text1"/>
          <w:szCs w:val="24"/>
        </w:rPr>
      </w:pPr>
      <w:r w:rsidRPr="00202402">
        <w:rPr>
          <w:rFonts w:cs="Times New Roman"/>
          <w:noProof/>
          <w:color w:val="000000" w:themeColor="text1"/>
          <w:szCs w:val="24"/>
        </w:rPr>
        <w:t>The JRC should develop key performance indicators for measuring the efficiency of its science for policy support.</w:t>
      </w:r>
    </w:p>
    <w:p w14:paraId="5F36549A" w14:textId="3FFA5289" w:rsidR="00E5270C" w:rsidRPr="00854965" w:rsidRDefault="00E5270C" w:rsidP="00E5270C">
      <w:pPr>
        <w:spacing w:after="120" w:line="264" w:lineRule="auto"/>
        <w:rPr>
          <w:rFonts w:ascii="Times New Roman" w:hAnsi="Times New Roman" w:cs="Times New Roman"/>
          <w:bCs/>
          <w:noProof/>
          <w:color w:val="000000" w:themeColor="text1"/>
          <w:sz w:val="24"/>
          <w:szCs w:val="24"/>
          <w:u w:val="single"/>
        </w:rPr>
      </w:pPr>
      <w:r w:rsidRPr="00854965">
        <w:rPr>
          <w:rFonts w:ascii="Times New Roman" w:hAnsi="Times New Roman" w:cs="Times New Roman"/>
          <w:bCs/>
          <w:noProof/>
          <w:color w:val="000000" w:themeColor="text1"/>
          <w:sz w:val="24"/>
          <w:szCs w:val="24"/>
          <w:u w:val="single"/>
        </w:rPr>
        <w:t>Commission’s response</w:t>
      </w:r>
    </w:p>
    <w:p w14:paraId="42587861" w14:textId="0B6BBAE7" w:rsidR="00E5270C" w:rsidRPr="001E3C9B" w:rsidRDefault="00E5270C" w:rsidP="00E5270C">
      <w:pPr>
        <w:spacing w:after="120" w:line="264" w:lineRule="auto"/>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 xml:space="preserve">The panel of experts acknowledged </w:t>
      </w:r>
      <w:r w:rsidR="00047F97">
        <w:rPr>
          <w:rFonts w:ascii="Times New Roman" w:hAnsi="Times New Roman" w:cs="Times New Roman"/>
          <w:noProof/>
          <w:color w:val="000000" w:themeColor="text1"/>
          <w:sz w:val="24"/>
          <w:szCs w:val="24"/>
        </w:rPr>
        <w:t>both</w:t>
      </w:r>
      <w:r w:rsidR="003673D9">
        <w:rPr>
          <w:rFonts w:ascii="Times New Roman" w:hAnsi="Times New Roman" w:cs="Times New Roman"/>
          <w:noProof/>
          <w:color w:val="000000" w:themeColor="text1"/>
          <w:sz w:val="24"/>
          <w:szCs w:val="24"/>
        </w:rPr>
        <w:t>: (i)</w:t>
      </w:r>
      <w:r w:rsidR="00047F97">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the difficulty of measuring efficiency in a research context</w:t>
      </w:r>
      <w:r w:rsidR="003673D9">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and </w:t>
      </w:r>
      <w:r w:rsidR="003673D9">
        <w:rPr>
          <w:rFonts w:ascii="Times New Roman" w:hAnsi="Times New Roman" w:cs="Times New Roman"/>
          <w:noProof/>
          <w:color w:val="000000" w:themeColor="text1"/>
          <w:sz w:val="24"/>
          <w:szCs w:val="24"/>
        </w:rPr>
        <w:t xml:space="preserve">(ii) </w:t>
      </w:r>
      <w:r w:rsidRPr="001E3C9B">
        <w:rPr>
          <w:rFonts w:ascii="Times New Roman" w:hAnsi="Times New Roman" w:cs="Times New Roman"/>
          <w:noProof/>
          <w:color w:val="000000" w:themeColor="text1"/>
          <w:sz w:val="24"/>
          <w:szCs w:val="24"/>
        </w:rPr>
        <w:t xml:space="preserve">the efforts made by the JRC, in response to the interim evaluation recommendation, to provide evidence of its cost-effectiveness. The JRC assessed the engagement of resources and outputs derived from its participation in several </w:t>
      </w:r>
      <w:r w:rsidR="004A6415" w:rsidRPr="001E3C9B">
        <w:rPr>
          <w:rFonts w:ascii="Times New Roman" w:hAnsi="Times New Roman" w:cs="Times New Roman"/>
          <w:noProof/>
          <w:color w:val="000000" w:themeColor="text1"/>
          <w:sz w:val="24"/>
          <w:szCs w:val="24"/>
        </w:rPr>
        <w:t xml:space="preserve">projects under </w:t>
      </w:r>
      <w:r w:rsidRPr="001E3C9B">
        <w:rPr>
          <w:rFonts w:ascii="Times New Roman" w:hAnsi="Times New Roman" w:cs="Times New Roman"/>
          <w:noProof/>
          <w:color w:val="000000" w:themeColor="text1"/>
          <w:sz w:val="24"/>
          <w:szCs w:val="24"/>
        </w:rPr>
        <w:t xml:space="preserve">indirect actions against </w:t>
      </w:r>
      <w:r w:rsidR="004E5AB1">
        <w:rPr>
          <w:rFonts w:ascii="Times New Roman" w:hAnsi="Times New Roman" w:cs="Times New Roman"/>
          <w:noProof/>
          <w:color w:val="000000" w:themeColor="text1"/>
          <w:sz w:val="24"/>
          <w:szCs w:val="24"/>
        </w:rPr>
        <w:t>that</w:t>
      </w:r>
      <w:r w:rsidR="00C5358F">
        <w:rPr>
          <w:rFonts w:ascii="Times New Roman" w:hAnsi="Times New Roman" w:cs="Times New Roman"/>
          <w:noProof/>
          <w:color w:val="000000" w:themeColor="text1"/>
          <w:sz w:val="24"/>
          <w:szCs w:val="24"/>
        </w:rPr>
        <w:t xml:space="preserve"> of </w:t>
      </w:r>
      <w:r w:rsidRPr="001E3C9B">
        <w:rPr>
          <w:rFonts w:ascii="Times New Roman" w:hAnsi="Times New Roman" w:cs="Times New Roman"/>
          <w:noProof/>
          <w:color w:val="000000" w:themeColor="text1"/>
          <w:sz w:val="24"/>
          <w:szCs w:val="24"/>
        </w:rPr>
        <w:t xml:space="preserve">other consortium partners. While the interpretation of </w:t>
      </w:r>
      <w:r w:rsidR="00C5358F">
        <w:rPr>
          <w:rFonts w:ascii="Times New Roman" w:hAnsi="Times New Roman" w:cs="Times New Roman"/>
          <w:noProof/>
          <w:color w:val="000000" w:themeColor="text1"/>
          <w:sz w:val="24"/>
          <w:szCs w:val="24"/>
        </w:rPr>
        <w:t>these</w:t>
      </w:r>
      <w:r w:rsidR="00C5358F"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 xml:space="preserve">comparisons is not </w:t>
      </w:r>
      <w:r w:rsidR="00C5358F">
        <w:rPr>
          <w:rFonts w:ascii="Times New Roman" w:hAnsi="Times New Roman" w:cs="Times New Roman"/>
          <w:noProof/>
          <w:color w:val="000000" w:themeColor="text1"/>
          <w:sz w:val="24"/>
          <w:szCs w:val="24"/>
        </w:rPr>
        <w:t xml:space="preserve">always </w:t>
      </w:r>
      <w:r w:rsidRPr="001E3C9B">
        <w:rPr>
          <w:rFonts w:ascii="Times New Roman" w:hAnsi="Times New Roman" w:cs="Times New Roman"/>
          <w:noProof/>
          <w:color w:val="000000" w:themeColor="text1"/>
          <w:sz w:val="24"/>
          <w:szCs w:val="24"/>
        </w:rPr>
        <w:t xml:space="preserve">clear cut, </w:t>
      </w:r>
      <w:r w:rsidR="00C5358F">
        <w:rPr>
          <w:rFonts w:ascii="Times New Roman" w:hAnsi="Times New Roman" w:cs="Times New Roman"/>
          <w:noProof/>
          <w:color w:val="000000" w:themeColor="text1"/>
          <w:sz w:val="24"/>
          <w:szCs w:val="24"/>
        </w:rPr>
        <w:t>the JRC</w:t>
      </w:r>
      <w:r w:rsidRPr="001E3C9B">
        <w:rPr>
          <w:rFonts w:ascii="Times New Roman" w:hAnsi="Times New Roman" w:cs="Times New Roman"/>
          <w:noProof/>
          <w:color w:val="000000" w:themeColor="text1"/>
          <w:sz w:val="24"/>
          <w:szCs w:val="24"/>
        </w:rPr>
        <w:t xml:space="preserve"> determined that </w:t>
      </w:r>
      <w:r w:rsidR="00C5358F">
        <w:rPr>
          <w:rFonts w:ascii="Times New Roman" w:hAnsi="Times New Roman" w:cs="Times New Roman"/>
          <w:noProof/>
          <w:color w:val="000000" w:themeColor="text1"/>
          <w:sz w:val="24"/>
          <w:szCs w:val="24"/>
        </w:rPr>
        <w:t>it</w:t>
      </w:r>
      <w:r w:rsidRPr="001E3C9B">
        <w:rPr>
          <w:rFonts w:ascii="Times New Roman" w:hAnsi="Times New Roman" w:cs="Times New Roman"/>
          <w:noProof/>
          <w:color w:val="000000" w:themeColor="text1"/>
          <w:sz w:val="24"/>
          <w:szCs w:val="24"/>
        </w:rPr>
        <w:t>s cost-effectiveness was similar to that of other partners.</w:t>
      </w:r>
      <w:r w:rsidR="004A6415"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 xml:space="preserve">The experts also </w:t>
      </w:r>
      <w:r w:rsidR="004A6415" w:rsidRPr="001E3C9B">
        <w:rPr>
          <w:rFonts w:ascii="Times New Roman" w:hAnsi="Times New Roman" w:cs="Times New Roman"/>
          <w:noProof/>
          <w:color w:val="000000" w:themeColor="text1"/>
          <w:sz w:val="24"/>
          <w:szCs w:val="24"/>
        </w:rPr>
        <w:t>noted</w:t>
      </w:r>
      <w:r w:rsidRPr="001E3C9B">
        <w:rPr>
          <w:rFonts w:ascii="Times New Roman" w:hAnsi="Times New Roman" w:cs="Times New Roman"/>
          <w:noProof/>
          <w:color w:val="000000" w:themeColor="text1"/>
          <w:sz w:val="24"/>
          <w:szCs w:val="24"/>
        </w:rPr>
        <w:t xml:space="preserve"> the </w:t>
      </w:r>
      <w:r w:rsidR="003673D9">
        <w:rPr>
          <w:rFonts w:ascii="Times New Roman" w:hAnsi="Times New Roman" w:cs="Times New Roman"/>
          <w:noProof/>
          <w:color w:val="000000" w:themeColor="text1"/>
          <w:sz w:val="24"/>
          <w:szCs w:val="24"/>
        </w:rPr>
        <w:t xml:space="preserve">recent </w:t>
      </w:r>
      <w:r w:rsidRPr="001E3C9B">
        <w:rPr>
          <w:rFonts w:ascii="Times New Roman" w:hAnsi="Times New Roman" w:cs="Times New Roman"/>
          <w:noProof/>
          <w:color w:val="000000" w:themeColor="text1"/>
          <w:sz w:val="24"/>
          <w:szCs w:val="24"/>
        </w:rPr>
        <w:t>introduction of a common project</w:t>
      </w:r>
      <w:r w:rsidR="00C5358F">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management methodology across the JRC and the pooling of nuclear research activities under one </w:t>
      </w:r>
      <w:r w:rsidR="00C5358F">
        <w:rPr>
          <w:rFonts w:ascii="Times New Roman" w:hAnsi="Times New Roman" w:cs="Times New Roman"/>
          <w:noProof/>
          <w:color w:val="000000" w:themeColor="text1"/>
          <w:sz w:val="24"/>
          <w:szCs w:val="24"/>
        </w:rPr>
        <w:t>d</w:t>
      </w:r>
      <w:r w:rsidRPr="001E3C9B">
        <w:rPr>
          <w:rFonts w:ascii="Times New Roman" w:hAnsi="Times New Roman" w:cs="Times New Roman"/>
          <w:noProof/>
          <w:color w:val="000000" w:themeColor="text1"/>
          <w:sz w:val="24"/>
          <w:szCs w:val="24"/>
        </w:rPr>
        <w:t xml:space="preserve">irectorate to </w:t>
      </w:r>
      <w:r w:rsidR="00C5358F">
        <w:rPr>
          <w:rFonts w:ascii="Times New Roman" w:hAnsi="Times New Roman" w:cs="Times New Roman"/>
          <w:noProof/>
          <w:color w:val="000000" w:themeColor="text1"/>
          <w:sz w:val="24"/>
          <w:szCs w:val="24"/>
        </w:rPr>
        <w:t>improve</w:t>
      </w:r>
      <w:r w:rsidR="00C5358F"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efficiency.</w:t>
      </w:r>
    </w:p>
    <w:p w14:paraId="570EF24F" w14:textId="7AE930A7" w:rsidR="00E5270C" w:rsidRPr="001E3C9B" w:rsidRDefault="00E5270C" w:rsidP="00E5270C">
      <w:pPr>
        <w:spacing w:after="120" w:line="264" w:lineRule="auto"/>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 xml:space="preserve">Additionally, in the course of drafting the Euratom programme </w:t>
      </w:r>
      <w:r w:rsidR="00C5358F">
        <w:rPr>
          <w:rFonts w:ascii="Times New Roman" w:hAnsi="Times New Roman" w:cs="Times New Roman"/>
          <w:noProof/>
          <w:color w:val="000000" w:themeColor="text1"/>
          <w:sz w:val="24"/>
          <w:szCs w:val="24"/>
        </w:rPr>
        <w:t xml:space="preserve">for </w:t>
      </w:r>
      <w:r w:rsidRPr="001E3C9B">
        <w:rPr>
          <w:rFonts w:ascii="Times New Roman" w:hAnsi="Times New Roman" w:cs="Times New Roman"/>
          <w:noProof/>
          <w:color w:val="000000" w:themeColor="text1"/>
          <w:sz w:val="24"/>
          <w:szCs w:val="24"/>
        </w:rPr>
        <w:t xml:space="preserve">2021-2025, a complete set of impact indicators was reviewed and incorporated </w:t>
      </w:r>
      <w:r w:rsidR="00C5358F">
        <w:rPr>
          <w:rFonts w:ascii="Times New Roman" w:hAnsi="Times New Roman" w:cs="Times New Roman"/>
          <w:noProof/>
          <w:color w:val="000000" w:themeColor="text1"/>
          <w:sz w:val="24"/>
          <w:szCs w:val="24"/>
        </w:rPr>
        <w:t>in</w:t>
      </w:r>
      <w:r w:rsidRPr="001E3C9B">
        <w:rPr>
          <w:rFonts w:ascii="Times New Roman" w:hAnsi="Times New Roman" w:cs="Times New Roman"/>
          <w:noProof/>
          <w:color w:val="000000" w:themeColor="text1"/>
          <w:sz w:val="24"/>
          <w:szCs w:val="24"/>
        </w:rPr>
        <w:t xml:space="preserve">to the programme as part of the Council </w:t>
      </w:r>
      <w:r w:rsidR="004A6415" w:rsidRPr="001E3C9B">
        <w:rPr>
          <w:rFonts w:ascii="Times New Roman" w:hAnsi="Times New Roman" w:cs="Times New Roman"/>
          <w:noProof/>
          <w:color w:val="000000" w:themeColor="text1"/>
          <w:sz w:val="24"/>
          <w:szCs w:val="24"/>
        </w:rPr>
        <w:t>D</w:t>
      </w:r>
      <w:r w:rsidRPr="001E3C9B">
        <w:rPr>
          <w:rFonts w:ascii="Times New Roman" w:hAnsi="Times New Roman" w:cs="Times New Roman"/>
          <w:noProof/>
          <w:color w:val="000000" w:themeColor="text1"/>
          <w:sz w:val="24"/>
          <w:szCs w:val="24"/>
        </w:rPr>
        <w:t>ecision. These include indicators for short</w:t>
      </w:r>
      <w:r w:rsidR="004A6415" w:rsidRPr="001E3C9B">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medium</w:t>
      </w:r>
      <w:r w:rsidR="004A6415" w:rsidRPr="001E3C9B">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and long</w:t>
      </w:r>
      <w:r w:rsidR="004A6415" w:rsidRPr="001E3C9B">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term impacts, considering scientific, societal, innovation and policy dimensions. </w:t>
      </w:r>
    </w:p>
    <w:p w14:paraId="7372AF11" w14:textId="482DC05F" w:rsidR="00E5270C" w:rsidRPr="001E3C9B" w:rsidRDefault="00E5270C" w:rsidP="00E5270C">
      <w:pPr>
        <w:spacing w:after="120" w:line="264" w:lineRule="auto"/>
        <w:rPr>
          <w:rFonts w:ascii="Times New Roman" w:hAnsi="Times New Roman" w:cs="Times New Roman"/>
          <w:b/>
          <w:noProof/>
          <w:color w:val="000000" w:themeColor="text1"/>
          <w:sz w:val="24"/>
          <w:szCs w:val="24"/>
        </w:rPr>
      </w:pPr>
      <w:r w:rsidRPr="001E3C9B">
        <w:rPr>
          <w:rFonts w:ascii="Times New Roman" w:hAnsi="Times New Roman" w:cs="Times New Roman"/>
          <w:b/>
          <w:noProof/>
          <w:color w:val="000000" w:themeColor="text1"/>
          <w:sz w:val="24"/>
          <w:szCs w:val="24"/>
        </w:rPr>
        <w:t xml:space="preserve">Recommendations on nuclear safety, security and </w:t>
      </w:r>
      <w:r w:rsidR="00C5358F">
        <w:rPr>
          <w:rFonts w:ascii="Times New Roman" w:hAnsi="Times New Roman" w:cs="Times New Roman"/>
          <w:b/>
          <w:noProof/>
          <w:color w:val="000000" w:themeColor="text1"/>
          <w:sz w:val="24"/>
          <w:szCs w:val="24"/>
        </w:rPr>
        <w:t>skills</w:t>
      </w:r>
    </w:p>
    <w:p w14:paraId="11B30E5F" w14:textId="102FDC8F" w:rsidR="00E5270C" w:rsidRPr="00B977EA" w:rsidRDefault="004517A8" w:rsidP="00E5270C">
      <w:pPr>
        <w:pStyle w:val="ListParagraph"/>
        <w:numPr>
          <w:ilvl w:val="0"/>
          <w:numId w:val="47"/>
        </w:numPr>
        <w:spacing w:after="120" w:line="264" w:lineRule="auto"/>
        <w:rPr>
          <w:rFonts w:cs="Times New Roman"/>
          <w:noProof/>
          <w:color w:val="000000" w:themeColor="text1"/>
          <w:szCs w:val="24"/>
        </w:rPr>
      </w:pPr>
      <w:r>
        <w:rPr>
          <w:rFonts w:cs="Times New Roman"/>
          <w:noProof/>
          <w:color w:val="000000" w:themeColor="text1"/>
          <w:szCs w:val="24"/>
        </w:rPr>
        <w:t>On SMRs, in addition to studying</w:t>
      </w:r>
      <w:r w:rsidR="004761A6">
        <w:rPr>
          <w:rFonts w:cs="Times New Roman"/>
          <w:noProof/>
          <w:color w:val="000000" w:themeColor="text1"/>
          <w:szCs w:val="24"/>
        </w:rPr>
        <w:t xml:space="preserve"> regulatory aspects, the JRC should also focus on</w:t>
      </w:r>
      <w:r w:rsidR="00C5358F">
        <w:rPr>
          <w:rFonts w:cs="Times New Roman"/>
          <w:noProof/>
          <w:color w:val="000000" w:themeColor="text1"/>
          <w:szCs w:val="24"/>
        </w:rPr>
        <w:t xml:space="preserve"> </w:t>
      </w:r>
      <w:r w:rsidR="00E5270C" w:rsidRPr="00202402">
        <w:rPr>
          <w:rFonts w:cs="Times New Roman"/>
          <w:noProof/>
          <w:color w:val="000000" w:themeColor="text1"/>
          <w:szCs w:val="24"/>
        </w:rPr>
        <w:t>safety, security</w:t>
      </w:r>
      <w:r>
        <w:rPr>
          <w:rFonts w:cs="Times New Roman"/>
          <w:noProof/>
          <w:color w:val="000000" w:themeColor="text1"/>
          <w:szCs w:val="24"/>
        </w:rPr>
        <w:t>,</w:t>
      </w:r>
      <w:r w:rsidR="00E5270C" w:rsidRPr="00202402">
        <w:rPr>
          <w:rFonts w:cs="Times New Roman"/>
          <w:noProof/>
          <w:color w:val="000000" w:themeColor="text1"/>
          <w:szCs w:val="24"/>
        </w:rPr>
        <w:t xml:space="preserve"> and safeguards</w:t>
      </w:r>
      <w:r w:rsidR="004761A6">
        <w:rPr>
          <w:rFonts w:cs="Times New Roman"/>
          <w:noProof/>
          <w:color w:val="000000" w:themeColor="text1"/>
          <w:szCs w:val="24"/>
        </w:rPr>
        <w:t xml:space="preserve"> approaches for these new technologies</w:t>
      </w:r>
      <w:r w:rsidR="00E5270C" w:rsidRPr="00202402">
        <w:rPr>
          <w:rFonts w:cs="Times New Roman"/>
          <w:noProof/>
          <w:color w:val="000000" w:themeColor="text1"/>
          <w:szCs w:val="24"/>
        </w:rPr>
        <w:t>.</w:t>
      </w:r>
    </w:p>
    <w:p w14:paraId="1D3B1B45" w14:textId="1B3287E9" w:rsidR="00E5270C" w:rsidRPr="00B977EA" w:rsidRDefault="00E5270C" w:rsidP="00E5270C">
      <w:pPr>
        <w:pStyle w:val="ListParagraph"/>
        <w:numPr>
          <w:ilvl w:val="0"/>
          <w:numId w:val="47"/>
        </w:numPr>
        <w:spacing w:after="120" w:line="264" w:lineRule="auto"/>
        <w:rPr>
          <w:rFonts w:cs="Times New Roman"/>
          <w:noProof/>
          <w:color w:val="000000" w:themeColor="text1"/>
          <w:szCs w:val="24"/>
        </w:rPr>
      </w:pPr>
      <w:r w:rsidRPr="00202402">
        <w:rPr>
          <w:rFonts w:cs="Times New Roman"/>
          <w:noProof/>
          <w:color w:val="000000" w:themeColor="text1"/>
          <w:szCs w:val="24"/>
        </w:rPr>
        <w:t xml:space="preserve">The JRC should strengthen </w:t>
      </w:r>
      <w:r w:rsidR="004517A8">
        <w:rPr>
          <w:rFonts w:cs="Times New Roman"/>
          <w:noProof/>
          <w:color w:val="000000" w:themeColor="text1"/>
          <w:szCs w:val="24"/>
        </w:rPr>
        <w:t>its skills</w:t>
      </w:r>
      <w:r w:rsidR="004517A8" w:rsidRPr="00202402">
        <w:rPr>
          <w:rFonts w:cs="Times New Roman"/>
          <w:noProof/>
          <w:color w:val="000000" w:themeColor="text1"/>
          <w:szCs w:val="24"/>
        </w:rPr>
        <w:t xml:space="preserve"> </w:t>
      </w:r>
      <w:r w:rsidRPr="00202402">
        <w:rPr>
          <w:rFonts w:cs="Times New Roman"/>
          <w:noProof/>
          <w:color w:val="000000" w:themeColor="text1"/>
          <w:szCs w:val="24"/>
        </w:rPr>
        <w:t xml:space="preserve">to support </w:t>
      </w:r>
      <w:r w:rsidR="004517A8">
        <w:rPr>
          <w:rFonts w:cs="Times New Roman"/>
          <w:noProof/>
          <w:color w:val="000000" w:themeColor="text1"/>
          <w:szCs w:val="24"/>
        </w:rPr>
        <w:t xml:space="preserve">activities </w:t>
      </w:r>
      <w:r w:rsidR="004761A6">
        <w:rPr>
          <w:rFonts w:cs="Times New Roman"/>
          <w:noProof/>
          <w:color w:val="000000" w:themeColor="text1"/>
          <w:szCs w:val="24"/>
        </w:rPr>
        <w:t xml:space="preserve">related to </w:t>
      </w:r>
      <w:r w:rsidRPr="00202402">
        <w:rPr>
          <w:rFonts w:cs="Times New Roman"/>
          <w:noProof/>
          <w:color w:val="000000" w:themeColor="text1"/>
          <w:szCs w:val="24"/>
        </w:rPr>
        <w:t>spent nuclear fuel</w:t>
      </w:r>
      <w:r w:rsidR="004761A6">
        <w:rPr>
          <w:rFonts w:cs="Times New Roman"/>
          <w:noProof/>
          <w:color w:val="000000" w:themeColor="text1"/>
          <w:szCs w:val="24"/>
        </w:rPr>
        <w:t xml:space="preserve"> disposal</w:t>
      </w:r>
      <w:r w:rsidRPr="00202402">
        <w:rPr>
          <w:rFonts w:cs="Times New Roman"/>
          <w:noProof/>
          <w:color w:val="000000" w:themeColor="text1"/>
          <w:szCs w:val="24"/>
        </w:rPr>
        <w:t xml:space="preserve"> and develop strategies to capture and share best practices from EU and national projects with all EU Member States.</w:t>
      </w:r>
    </w:p>
    <w:p w14:paraId="7F91E7DA" w14:textId="7C94B794" w:rsidR="00E5270C" w:rsidRPr="00854965" w:rsidRDefault="00E5270C" w:rsidP="00E5270C">
      <w:pPr>
        <w:spacing w:after="120" w:line="264" w:lineRule="auto"/>
        <w:rPr>
          <w:rFonts w:ascii="Times New Roman" w:hAnsi="Times New Roman" w:cs="Times New Roman"/>
          <w:bCs/>
          <w:noProof/>
          <w:color w:val="000000" w:themeColor="text1"/>
          <w:sz w:val="24"/>
          <w:szCs w:val="24"/>
          <w:u w:val="single"/>
        </w:rPr>
      </w:pPr>
      <w:r w:rsidRPr="00854965">
        <w:rPr>
          <w:rFonts w:ascii="Times New Roman" w:hAnsi="Times New Roman" w:cs="Times New Roman"/>
          <w:bCs/>
          <w:noProof/>
          <w:color w:val="000000" w:themeColor="text1"/>
          <w:sz w:val="24"/>
          <w:szCs w:val="24"/>
          <w:u w:val="single"/>
        </w:rPr>
        <w:t>Commission’s response</w:t>
      </w:r>
    </w:p>
    <w:p w14:paraId="1B788278" w14:textId="48CEE34B" w:rsidR="00E5270C" w:rsidRPr="001E3C9B" w:rsidRDefault="00E5270C" w:rsidP="00E5270C">
      <w:pPr>
        <w:spacing w:after="120" w:line="264" w:lineRule="auto"/>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The panel of experts recogni</w:t>
      </w:r>
      <w:r w:rsidR="00184585" w:rsidRPr="001E3C9B">
        <w:rPr>
          <w:rFonts w:ascii="Times New Roman" w:hAnsi="Times New Roman" w:cs="Times New Roman"/>
          <w:noProof/>
          <w:color w:val="000000" w:themeColor="text1"/>
          <w:sz w:val="24"/>
          <w:szCs w:val="24"/>
        </w:rPr>
        <w:t>s</w:t>
      </w:r>
      <w:r w:rsidRPr="001E3C9B">
        <w:rPr>
          <w:rFonts w:ascii="Times New Roman" w:hAnsi="Times New Roman" w:cs="Times New Roman"/>
          <w:noProof/>
          <w:color w:val="000000" w:themeColor="text1"/>
          <w:sz w:val="24"/>
          <w:szCs w:val="24"/>
        </w:rPr>
        <w:t xml:space="preserve">ed that by building and maintaining </w:t>
      </w:r>
      <w:r w:rsidR="004517A8">
        <w:rPr>
          <w:rFonts w:ascii="Times New Roman" w:hAnsi="Times New Roman" w:cs="Times New Roman"/>
          <w:noProof/>
          <w:color w:val="000000" w:themeColor="text1"/>
          <w:sz w:val="24"/>
          <w:szCs w:val="24"/>
        </w:rPr>
        <w:t>skills</w:t>
      </w:r>
      <w:r w:rsidR="004517A8"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 xml:space="preserve">in nuclear safety, security and safeguards, </w:t>
      </w:r>
      <w:r w:rsidR="004517A8">
        <w:rPr>
          <w:rFonts w:ascii="Times New Roman" w:hAnsi="Times New Roman" w:cs="Times New Roman"/>
          <w:noProof/>
          <w:color w:val="000000" w:themeColor="text1"/>
          <w:sz w:val="24"/>
          <w:szCs w:val="24"/>
        </w:rPr>
        <w:t xml:space="preserve">the JRC </w:t>
      </w:r>
      <w:r w:rsidRPr="001E3C9B">
        <w:rPr>
          <w:rFonts w:ascii="Times New Roman" w:hAnsi="Times New Roman" w:cs="Times New Roman"/>
          <w:noProof/>
          <w:color w:val="000000" w:themeColor="text1"/>
          <w:sz w:val="24"/>
          <w:szCs w:val="24"/>
        </w:rPr>
        <w:t>had served both EU and Member State policymaking. The</w:t>
      </w:r>
      <w:r w:rsidR="003673D9">
        <w:rPr>
          <w:rFonts w:ascii="Times New Roman" w:hAnsi="Times New Roman" w:cs="Times New Roman"/>
          <w:noProof/>
          <w:color w:val="000000" w:themeColor="text1"/>
          <w:sz w:val="24"/>
          <w:szCs w:val="24"/>
        </w:rPr>
        <w:t xml:space="preserve"> panel</w:t>
      </w:r>
      <w:r w:rsidRPr="001E3C9B">
        <w:rPr>
          <w:rFonts w:ascii="Times New Roman" w:hAnsi="Times New Roman" w:cs="Times New Roman"/>
          <w:noProof/>
          <w:color w:val="000000" w:themeColor="text1"/>
          <w:sz w:val="24"/>
          <w:szCs w:val="24"/>
        </w:rPr>
        <w:t xml:space="preserve"> also encouraged t</w:t>
      </w:r>
      <w:r w:rsidR="004517A8">
        <w:rPr>
          <w:rFonts w:ascii="Times New Roman" w:hAnsi="Times New Roman" w:cs="Times New Roman"/>
          <w:noProof/>
          <w:color w:val="000000" w:themeColor="text1"/>
          <w:sz w:val="24"/>
          <w:szCs w:val="24"/>
        </w:rPr>
        <w:t>he</w:t>
      </w:r>
      <w:r w:rsidRPr="001E3C9B">
        <w:rPr>
          <w:rFonts w:ascii="Times New Roman" w:hAnsi="Times New Roman" w:cs="Times New Roman"/>
          <w:noProof/>
          <w:color w:val="000000" w:themeColor="text1"/>
          <w:sz w:val="24"/>
          <w:szCs w:val="24"/>
        </w:rPr>
        <w:t xml:space="preserve"> JRC to continue responding to and focusing on a number of challenges and drivers, in particular new technologies like SMR</w:t>
      </w:r>
      <w:r w:rsidR="00184585" w:rsidRPr="001E3C9B">
        <w:rPr>
          <w:rFonts w:ascii="Times New Roman" w:hAnsi="Times New Roman" w:cs="Times New Roman"/>
          <w:noProof/>
          <w:color w:val="000000" w:themeColor="text1"/>
          <w:sz w:val="24"/>
          <w:szCs w:val="24"/>
        </w:rPr>
        <w:t>s</w:t>
      </w:r>
      <w:r w:rsidRPr="001E3C9B">
        <w:rPr>
          <w:rFonts w:ascii="Times New Roman" w:hAnsi="Times New Roman" w:cs="Times New Roman"/>
          <w:noProof/>
          <w:color w:val="000000" w:themeColor="text1"/>
          <w:sz w:val="24"/>
          <w:szCs w:val="24"/>
        </w:rPr>
        <w:t xml:space="preserve"> but also</w:t>
      </w:r>
      <w:r w:rsidR="004517A8">
        <w:rPr>
          <w:rFonts w:ascii="Times New Roman" w:hAnsi="Times New Roman" w:cs="Times New Roman"/>
          <w:noProof/>
          <w:color w:val="000000" w:themeColor="text1"/>
          <w:sz w:val="24"/>
          <w:szCs w:val="24"/>
        </w:rPr>
        <w:t>: (i) the</w:t>
      </w:r>
      <w:r w:rsidRPr="001E3C9B">
        <w:rPr>
          <w:rFonts w:ascii="Times New Roman" w:hAnsi="Times New Roman" w:cs="Times New Roman"/>
          <w:noProof/>
          <w:color w:val="000000" w:themeColor="text1"/>
          <w:sz w:val="24"/>
          <w:szCs w:val="24"/>
        </w:rPr>
        <w:t xml:space="preserve"> decommissioning of </w:t>
      </w:r>
      <w:r w:rsidR="00D33D74" w:rsidRPr="001E3C9B">
        <w:rPr>
          <w:rFonts w:ascii="Times New Roman" w:hAnsi="Times New Roman" w:cs="Times New Roman"/>
          <w:noProof/>
          <w:color w:val="000000" w:themeColor="text1"/>
          <w:sz w:val="24"/>
          <w:szCs w:val="24"/>
          <w:lang w:val="mt-MT"/>
        </w:rPr>
        <w:t>NPPs</w:t>
      </w:r>
      <w:r w:rsidR="004517A8">
        <w:rPr>
          <w:rFonts w:ascii="Times New Roman" w:hAnsi="Times New Roman" w:cs="Times New Roman"/>
          <w:noProof/>
          <w:color w:val="000000" w:themeColor="text1"/>
          <w:sz w:val="24"/>
          <w:szCs w:val="24"/>
        </w:rPr>
        <w:t>; (ii)</w:t>
      </w:r>
      <w:r w:rsidRPr="001E3C9B">
        <w:rPr>
          <w:rFonts w:ascii="Times New Roman" w:hAnsi="Times New Roman" w:cs="Times New Roman"/>
          <w:noProof/>
          <w:color w:val="000000" w:themeColor="text1"/>
          <w:sz w:val="24"/>
          <w:szCs w:val="24"/>
        </w:rPr>
        <w:t xml:space="preserve"> long</w:t>
      </w:r>
      <w:r w:rsidR="005840D5">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term operation issues</w:t>
      </w:r>
      <w:r w:rsidR="004517A8">
        <w:rPr>
          <w:rFonts w:ascii="Times New Roman" w:hAnsi="Times New Roman" w:cs="Times New Roman"/>
          <w:noProof/>
          <w:color w:val="000000" w:themeColor="text1"/>
          <w:sz w:val="24"/>
          <w:szCs w:val="24"/>
        </w:rPr>
        <w:t>; (iii)</w:t>
      </w:r>
      <w:r w:rsidRPr="001E3C9B">
        <w:rPr>
          <w:rFonts w:ascii="Times New Roman" w:hAnsi="Times New Roman" w:cs="Times New Roman"/>
          <w:noProof/>
          <w:color w:val="000000" w:themeColor="text1"/>
          <w:sz w:val="24"/>
          <w:szCs w:val="24"/>
        </w:rPr>
        <w:t xml:space="preserve"> cyber security</w:t>
      </w:r>
      <w:r w:rsidR="004517A8">
        <w:rPr>
          <w:rFonts w:ascii="Times New Roman" w:hAnsi="Times New Roman" w:cs="Times New Roman"/>
          <w:noProof/>
          <w:color w:val="000000" w:themeColor="text1"/>
          <w:sz w:val="24"/>
          <w:szCs w:val="24"/>
        </w:rPr>
        <w:t>; (iv)</w:t>
      </w:r>
      <w:r w:rsidRPr="001E3C9B">
        <w:rPr>
          <w:rFonts w:ascii="Times New Roman" w:hAnsi="Times New Roman" w:cs="Times New Roman"/>
          <w:noProof/>
          <w:color w:val="000000" w:themeColor="text1"/>
          <w:sz w:val="24"/>
          <w:szCs w:val="24"/>
        </w:rPr>
        <w:t xml:space="preserve"> safeguards</w:t>
      </w:r>
      <w:r w:rsidR="004517A8">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and </w:t>
      </w:r>
      <w:r w:rsidR="004517A8">
        <w:rPr>
          <w:rFonts w:ascii="Times New Roman" w:hAnsi="Times New Roman" w:cs="Times New Roman"/>
          <w:noProof/>
          <w:color w:val="000000" w:themeColor="text1"/>
          <w:sz w:val="24"/>
          <w:szCs w:val="24"/>
        </w:rPr>
        <w:t xml:space="preserve">(v) </w:t>
      </w:r>
      <w:r w:rsidRPr="001E3C9B">
        <w:rPr>
          <w:rFonts w:ascii="Times New Roman" w:hAnsi="Times New Roman" w:cs="Times New Roman"/>
          <w:noProof/>
          <w:color w:val="000000" w:themeColor="text1"/>
          <w:sz w:val="24"/>
          <w:szCs w:val="24"/>
        </w:rPr>
        <w:t xml:space="preserve">open access to nuclear infrastructures. </w:t>
      </w:r>
    </w:p>
    <w:p w14:paraId="7931FB33" w14:textId="3B28807F" w:rsidR="00E5270C" w:rsidRPr="001E3C9B" w:rsidRDefault="009D18D0" w:rsidP="00E5270C">
      <w:pPr>
        <w:spacing w:after="120" w:line="264" w:lineRule="auto"/>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Acknowledging that regulation of nuclear safety is a national responsibility</w:t>
      </w:r>
      <w:r w:rsidR="00E5270C" w:rsidRPr="001E3C9B">
        <w:rPr>
          <w:rFonts w:ascii="Times New Roman" w:hAnsi="Times New Roman" w:cs="Times New Roman"/>
          <w:noProof/>
          <w:color w:val="000000" w:themeColor="text1"/>
          <w:sz w:val="24"/>
          <w:szCs w:val="24"/>
        </w:rPr>
        <w:t>, the JRC</w:t>
      </w:r>
      <w:r w:rsidRPr="001E3C9B">
        <w:rPr>
          <w:rFonts w:ascii="Times New Roman" w:hAnsi="Times New Roman" w:cs="Times New Roman"/>
          <w:noProof/>
          <w:color w:val="000000" w:themeColor="text1"/>
          <w:sz w:val="24"/>
          <w:szCs w:val="24"/>
        </w:rPr>
        <w:t xml:space="preserve">, </w:t>
      </w:r>
      <w:r w:rsidR="00096A88">
        <w:rPr>
          <w:rFonts w:ascii="Times New Roman" w:hAnsi="Times New Roman" w:cs="Times New Roman"/>
          <w:noProof/>
          <w:color w:val="000000" w:themeColor="text1"/>
          <w:sz w:val="24"/>
          <w:szCs w:val="24"/>
        </w:rPr>
        <w:t>as part of</w:t>
      </w:r>
      <w:r w:rsidR="00096A88"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the reorganisation of its work programme,</w:t>
      </w:r>
      <w:r w:rsidR="00E5270C" w:rsidRPr="001E3C9B">
        <w:rPr>
          <w:rFonts w:ascii="Times New Roman" w:hAnsi="Times New Roman" w:cs="Times New Roman"/>
          <w:noProof/>
          <w:color w:val="000000" w:themeColor="text1"/>
          <w:sz w:val="24"/>
          <w:szCs w:val="24"/>
        </w:rPr>
        <w:t xml:space="preserve"> has grouped activities under a dedicated portfolio on SMR</w:t>
      </w:r>
      <w:r w:rsidR="00184585" w:rsidRPr="001E3C9B">
        <w:rPr>
          <w:rFonts w:ascii="Times New Roman" w:hAnsi="Times New Roman" w:cs="Times New Roman"/>
          <w:noProof/>
          <w:color w:val="000000" w:themeColor="text1"/>
          <w:sz w:val="24"/>
          <w:szCs w:val="24"/>
        </w:rPr>
        <w:t>s</w:t>
      </w:r>
      <w:r w:rsidR="00096A88">
        <w:rPr>
          <w:rFonts w:ascii="Times New Roman" w:hAnsi="Times New Roman" w:cs="Times New Roman"/>
          <w:noProof/>
          <w:color w:val="000000" w:themeColor="text1"/>
          <w:sz w:val="24"/>
          <w:szCs w:val="24"/>
        </w:rPr>
        <w:t>. Its goal is for this portfolio</w:t>
      </w:r>
      <w:r w:rsidR="00E5270C" w:rsidRPr="001E3C9B">
        <w:rPr>
          <w:rFonts w:ascii="Times New Roman" w:hAnsi="Times New Roman" w:cs="Times New Roman"/>
          <w:noProof/>
          <w:color w:val="000000" w:themeColor="text1"/>
          <w:sz w:val="24"/>
          <w:szCs w:val="24"/>
        </w:rPr>
        <w:t xml:space="preserve"> to focus on </w:t>
      </w:r>
      <w:r w:rsidRPr="001E3C9B">
        <w:rPr>
          <w:rFonts w:ascii="Times New Roman" w:hAnsi="Times New Roman" w:cs="Times New Roman"/>
          <w:noProof/>
          <w:color w:val="000000" w:themeColor="text1"/>
          <w:sz w:val="24"/>
          <w:szCs w:val="24"/>
        </w:rPr>
        <w:t>desktop, simulation</w:t>
      </w:r>
      <w:r w:rsidR="00E5270C" w:rsidRPr="001E3C9B">
        <w:rPr>
          <w:rFonts w:ascii="Times New Roman" w:hAnsi="Times New Roman" w:cs="Times New Roman"/>
          <w:noProof/>
          <w:color w:val="000000" w:themeColor="text1"/>
          <w:sz w:val="24"/>
          <w:szCs w:val="24"/>
        </w:rPr>
        <w:t xml:space="preserve"> and experimental R&amp;D</w:t>
      </w:r>
      <w:r w:rsidR="00096A88">
        <w:rPr>
          <w:rFonts w:ascii="Times New Roman" w:hAnsi="Times New Roman" w:cs="Times New Roman"/>
          <w:noProof/>
          <w:color w:val="000000" w:themeColor="text1"/>
          <w:sz w:val="24"/>
          <w:szCs w:val="24"/>
        </w:rPr>
        <w:t xml:space="preserve"> in part</w:t>
      </w:r>
      <w:r w:rsidR="00E5270C" w:rsidRPr="001E3C9B">
        <w:rPr>
          <w:rFonts w:ascii="Times New Roman" w:hAnsi="Times New Roman" w:cs="Times New Roman"/>
          <w:noProof/>
          <w:color w:val="000000" w:themeColor="text1"/>
          <w:sz w:val="24"/>
          <w:szCs w:val="24"/>
        </w:rPr>
        <w:t xml:space="preserve"> </w:t>
      </w:r>
      <w:r w:rsidR="00096A88">
        <w:rPr>
          <w:rFonts w:ascii="Times New Roman" w:hAnsi="Times New Roman" w:cs="Times New Roman"/>
          <w:noProof/>
          <w:color w:val="000000" w:themeColor="text1"/>
          <w:sz w:val="24"/>
          <w:szCs w:val="24"/>
        </w:rPr>
        <w:t>to</w:t>
      </w:r>
      <w:r w:rsidR="00096A88" w:rsidRPr="001E3C9B">
        <w:rPr>
          <w:rFonts w:ascii="Times New Roman" w:hAnsi="Times New Roman" w:cs="Times New Roman"/>
          <w:noProof/>
          <w:color w:val="000000" w:themeColor="text1"/>
          <w:sz w:val="24"/>
          <w:szCs w:val="24"/>
        </w:rPr>
        <w:t xml:space="preserve"> </w:t>
      </w:r>
      <w:r w:rsidR="00E5270C" w:rsidRPr="001E3C9B">
        <w:rPr>
          <w:rFonts w:ascii="Times New Roman" w:hAnsi="Times New Roman" w:cs="Times New Roman"/>
          <w:noProof/>
          <w:color w:val="000000" w:themeColor="text1"/>
          <w:sz w:val="24"/>
          <w:szCs w:val="24"/>
        </w:rPr>
        <w:t>support</w:t>
      </w:r>
      <w:r w:rsidR="003673D9">
        <w:rPr>
          <w:rFonts w:ascii="Times New Roman" w:hAnsi="Times New Roman" w:cs="Times New Roman"/>
          <w:noProof/>
          <w:color w:val="000000" w:themeColor="text1"/>
          <w:sz w:val="24"/>
          <w:szCs w:val="24"/>
        </w:rPr>
        <w:t xml:space="preserve"> </w:t>
      </w:r>
      <w:r w:rsidR="00E5270C" w:rsidRPr="001E3C9B">
        <w:rPr>
          <w:rFonts w:ascii="Times New Roman" w:hAnsi="Times New Roman" w:cs="Times New Roman"/>
          <w:noProof/>
          <w:color w:val="000000" w:themeColor="text1"/>
          <w:sz w:val="24"/>
          <w:szCs w:val="24"/>
        </w:rPr>
        <w:t xml:space="preserve">the licensing process by </w:t>
      </w:r>
      <w:r w:rsidR="00096A88">
        <w:rPr>
          <w:rFonts w:ascii="Times New Roman" w:hAnsi="Times New Roman" w:cs="Times New Roman"/>
          <w:noProof/>
          <w:color w:val="000000" w:themeColor="text1"/>
          <w:sz w:val="24"/>
          <w:szCs w:val="24"/>
        </w:rPr>
        <w:t>helping</w:t>
      </w:r>
      <w:r w:rsidR="00096A88" w:rsidRPr="001E3C9B">
        <w:rPr>
          <w:rFonts w:ascii="Times New Roman" w:hAnsi="Times New Roman" w:cs="Times New Roman"/>
          <w:noProof/>
          <w:color w:val="000000" w:themeColor="text1"/>
          <w:sz w:val="24"/>
          <w:szCs w:val="24"/>
        </w:rPr>
        <w:t xml:space="preserve"> </w:t>
      </w:r>
      <w:r w:rsidR="00E5270C" w:rsidRPr="001E3C9B">
        <w:rPr>
          <w:rFonts w:ascii="Times New Roman" w:hAnsi="Times New Roman" w:cs="Times New Roman"/>
          <w:noProof/>
          <w:color w:val="000000" w:themeColor="text1"/>
          <w:sz w:val="24"/>
          <w:szCs w:val="24"/>
        </w:rPr>
        <w:t>to harmonis</w:t>
      </w:r>
      <w:r w:rsidR="00096A88">
        <w:rPr>
          <w:rFonts w:ascii="Times New Roman" w:hAnsi="Times New Roman" w:cs="Times New Roman"/>
          <w:noProof/>
          <w:color w:val="000000" w:themeColor="text1"/>
          <w:sz w:val="24"/>
          <w:szCs w:val="24"/>
        </w:rPr>
        <w:t>e</w:t>
      </w:r>
      <w:r w:rsidR="00E5270C" w:rsidRPr="001E3C9B">
        <w:rPr>
          <w:rFonts w:ascii="Times New Roman" w:hAnsi="Times New Roman" w:cs="Times New Roman"/>
          <w:noProof/>
          <w:color w:val="000000" w:themeColor="text1"/>
          <w:sz w:val="24"/>
          <w:szCs w:val="24"/>
        </w:rPr>
        <w:t xml:space="preserve"> practice and guidelines at EU level. Other portfolios, such as NUCTEC, address the other relevant topics mentioned </w:t>
      </w:r>
      <w:r w:rsidR="00096A88">
        <w:rPr>
          <w:rFonts w:ascii="Times New Roman" w:hAnsi="Times New Roman" w:cs="Times New Roman"/>
          <w:noProof/>
          <w:color w:val="000000" w:themeColor="text1"/>
          <w:sz w:val="24"/>
          <w:szCs w:val="24"/>
        </w:rPr>
        <w:t>such as</w:t>
      </w:r>
      <w:r w:rsidR="00AB46BD">
        <w:rPr>
          <w:rFonts w:ascii="Times New Roman" w:hAnsi="Times New Roman" w:cs="Times New Roman"/>
          <w:noProof/>
          <w:color w:val="000000" w:themeColor="text1"/>
          <w:sz w:val="24"/>
          <w:szCs w:val="24"/>
        </w:rPr>
        <w:t xml:space="preserve"> the</w:t>
      </w:r>
      <w:r w:rsidR="00096A88" w:rsidRPr="001E3C9B">
        <w:rPr>
          <w:rFonts w:ascii="Times New Roman" w:hAnsi="Times New Roman" w:cs="Times New Roman"/>
          <w:noProof/>
          <w:color w:val="000000" w:themeColor="text1"/>
          <w:sz w:val="24"/>
          <w:szCs w:val="24"/>
        </w:rPr>
        <w:t xml:space="preserve"> </w:t>
      </w:r>
      <w:r w:rsidR="00E5270C" w:rsidRPr="001E3C9B">
        <w:rPr>
          <w:rFonts w:ascii="Times New Roman" w:hAnsi="Times New Roman" w:cs="Times New Roman"/>
          <w:noProof/>
          <w:color w:val="000000" w:themeColor="text1"/>
          <w:sz w:val="24"/>
          <w:szCs w:val="24"/>
        </w:rPr>
        <w:t>long</w:t>
      </w:r>
      <w:r w:rsidR="00AB46BD">
        <w:rPr>
          <w:rFonts w:ascii="Times New Roman" w:hAnsi="Times New Roman" w:cs="Times New Roman"/>
          <w:noProof/>
          <w:color w:val="000000" w:themeColor="text1"/>
          <w:sz w:val="24"/>
          <w:szCs w:val="24"/>
        </w:rPr>
        <w:t>-</w:t>
      </w:r>
      <w:r w:rsidR="00E5270C" w:rsidRPr="001E3C9B">
        <w:rPr>
          <w:rFonts w:ascii="Times New Roman" w:hAnsi="Times New Roman" w:cs="Times New Roman"/>
          <w:noProof/>
          <w:color w:val="000000" w:themeColor="text1"/>
          <w:sz w:val="24"/>
          <w:szCs w:val="24"/>
        </w:rPr>
        <w:t xml:space="preserve">term operation of </w:t>
      </w:r>
      <w:r w:rsidR="00D33D74" w:rsidRPr="001E3C9B">
        <w:rPr>
          <w:rFonts w:ascii="Times New Roman" w:hAnsi="Times New Roman" w:cs="Times New Roman"/>
          <w:noProof/>
          <w:color w:val="000000" w:themeColor="text1"/>
          <w:sz w:val="24"/>
          <w:szCs w:val="24"/>
          <w:lang w:val="mt-MT"/>
        </w:rPr>
        <w:t>NPPs</w:t>
      </w:r>
      <w:r w:rsidRPr="001E3C9B">
        <w:rPr>
          <w:rFonts w:ascii="Times New Roman" w:hAnsi="Times New Roman" w:cs="Times New Roman"/>
          <w:noProof/>
          <w:color w:val="000000" w:themeColor="text1"/>
          <w:sz w:val="24"/>
          <w:szCs w:val="24"/>
        </w:rPr>
        <w:t xml:space="preserve"> and the management of spent fuel and radioactive waste</w:t>
      </w:r>
      <w:r w:rsidR="00AB46BD">
        <w:rPr>
          <w:rFonts w:ascii="Times New Roman" w:hAnsi="Times New Roman" w:cs="Times New Roman"/>
          <w:noProof/>
          <w:color w:val="000000" w:themeColor="text1"/>
          <w:sz w:val="24"/>
          <w:szCs w:val="24"/>
        </w:rPr>
        <w:t>. T</w:t>
      </w:r>
      <w:r w:rsidR="00E5270C" w:rsidRPr="001E3C9B">
        <w:rPr>
          <w:rFonts w:ascii="Times New Roman" w:hAnsi="Times New Roman" w:cs="Times New Roman"/>
          <w:noProof/>
          <w:color w:val="000000" w:themeColor="text1"/>
          <w:sz w:val="24"/>
          <w:szCs w:val="24"/>
        </w:rPr>
        <w:t xml:space="preserve">he open access to nuclear infrastructures is included as much as possible in relevant research projects. Overall, the drivers </w:t>
      </w:r>
      <w:r w:rsidR="00AB46BD">
        <w:rPr>
          <w:rFonts w:ascii="Times New Roman" w:hAnsi="Times New Roman" w:cs="Times New Roman"/>
          <w:noProof/>
          <w:color w:val="000000" w:themeColor="text1"/>
          <w:sz w:val="24"/>
          <w:szCs w:val="24"/>
        </w:rPr>
        <w:t xml:space="preserve">for new research </w:t>
      </w:r>
      <w:r w:rsidR="00E5270C" w:rsidRPr="001E3C9B">
        <w:rPr>
          <w:rFonts w:ascii="Times New Roman" w:hAnsi="Times New Roman" w:cs="Times New Roman"/>
          <w:noProof/>
          <w:color w:val="000000" w:themeColor="text1"/>
          <w:sz w:val="24"/>
          <w:szCs w:val="24"/>
        </w:rPr>
        <w:t xml:space="preserve">indicated above feature among the priorities identified in the JRC nuclear strategy, with the partial exception of decommissioning, which is now the </w:t>
      </w:r>
      <w:r w:rsidR="00184585" w:rsidRPr="001E3C9B">
        <w:rPr>
          <w:rFonts w:ascii="Times New Roman" w:hAnsi="Times New Roman" w:cs="Times New Roman"/>
          <w:noProof/>
          <w:color w:val="000000" w:themeColor="text1"/>
          <w:sz w:val="24"/>
          <w:szCs w:val="24"/>
        </w:rPr>
        <w:t>subject</w:t>
      </w:r>
      <w:r w:rsidR="00E5270C" w:rsidRPr="001E3C9B">
        <w:rPr>
          <w:rFonts w:ascii="Times New Roman" w:hAnsi="Times New Roman" w:cs="Times New Roman"/>
          <w:noProof/>
          <w:color w:val="000000" w:themeColor="text1"/>
          <w:sz w:val="24"/>
          <w:szCs w:val="24"/>
        </w:rPr>
        <w:t xml:space="preserve"> of a separate instrument</w:t>
      </w:r>
      <w:r w:rsidRPr="001E3C9B">
        <w:rPr>
          <w:rStyle w:val="FootnoteReference"/>
          <w:rFonts w:ascii="Times New Roman" w:hAnsi="Times New Roman" w:cs="Times New Roman"/>
          <w:noProof/>
          <w:color w:val="000000" w:themeColor="text1"/>
          <w:sz w:val="24"/>
          <w:szCs w:val="24"/>
        </w:rPr>
        <w:footnoteReference w:id="16"/>
      </w:r>
      <w:r w:rsidR="00E5270C" w:rsidRPr="001E3C9B">
        <w:rPr>
          <w:rFonts w:ascii="Times New Roman" w:hAnsi="Times New Roman" w:cs="Times New Roman"/>
          <w:noProof/>
          <w:color w:val="000000" w:themeColor="text1"/>
          <w:sz w:val="24"/>
          <w:szCs w:val="24"/>
        </w:rPr>
        <w:t xml:space="preserve"> addressing</w:t>
      </w:r>
      <w:r w:rsidR="00AB46BD">
        <w:rPr>
          <w:rFonts w:ascii="Times New Roman" w:hAnsi="Times New Roman" w:cs="Times New Roman"/>
          <w:noProof/>
          <w:color w:val="000000" w:themeColor="text1"/>
          <w:sz w:val="24"/>
          <w:szCs w:val="24"/>
        </w:rPr>
        <w:t xml:space="preserve">: (i) </w:t>
      </w:r>
      <w:r w:rsidR="00E5270C" w:rsidRPr="001E3C9B">
        <w:rPr>
          <w:rFonts w:ascii="Times New Roman" w:hAnsi="Times New Roman" w:cs="Times New Roman"/>
          <w:noProof/>
          <w:color w:val="000000" w:themeColor="text1"/>
          <w:sz w:val="24"/>
          <w:szCs w:val="24"/>
        </w:rPr>
        <w:t>operational decommissioning activities of the JRC</w:t>
      </w:r>
      <w:r w:rsidR="00AB46BD">
        <w:rPr>
          <w:rFonts w:ascii="Times New Roman" w:hAnsi="Times New Roman" w:cs="Times New Roman"/>
          <w:noProof/>
          <w:color w:val="000000" w:themeColor="text1"/>
          <w:sz w:val="24"/>
          <w:szCs w:val="24"/>
        </w:rPr>
        <w:t>; (ii)_</w:t>
      </w:r>
      <w:r w:rsidR="00E5270C" w:rsidRPr="001E3C9B">
        <w:rPr>
          <w:rFonts w:ascii="Times New Roman" w:hAnsi="Times New Roman" w:cs="Times New Roman"/>
          <w:noProof/>
          <w:color w:val="000000" w:themeColor="text1"/>
          <w:sz w:val="24"/>
          <w:szCs w:val="24"/>
        </w:rPr>
        <w:t>, as well as management and dissemination</w:t>
      </w:r>
      <w:r w:rsidR="004761A6">
        <w:rPr>
          <w:rFonts w:ascii="Times New Roman" w:hAnsi="Times New Roman" w:cs="Times New Roman"/>
          <w:noProof/>
          <w:color w:val="000000" w:themeColor="text1"/>
          <w:sz w:val="24"/>
          <w:szCs w:val="24"/>
        </w:rPr>
        <w:t xml:space="preserve"> of knowledge</w:t>
      </w:r>
      <w:r w:rsidR="00F666CE">
        <w:rPr>
          <w:rFonts w:ascii="Times New Roman" w:hAnsi="Times New Roman" w:cs="Times New Roman"/>
          <w:noProof/>
          <w:color w:val="000000" w:themeColor="text1"/>
          <w:sz w:val="24"/>
          <w:szCs w:val="24"/>
        </w:rPr>
        <w:t xml:space="preserve"> </w:t>
      </w:r>
      <w:r w:rsidR="004761A6">
        <w:rPr>
          <w:rFonts w:ascii="Times New Roman" w:hAnsi="Times New Roman" w:cs="Times New Roman"/>
          <w:noProof/>
          <w:color w:val="000000" w:themeColor="text1"/>
          <w:sz w:val="24"/>
          <w:szCs w:val="24"/>
        </w:rPr>
        <w:t>on decommissioning</w:t>
      </w:r>
      <w:r w:rsidR="00E5270C" w:rsidRPr="001E3C9B">
        <w:rPr>
          <w:rFonts w:ascii="Times New Roman" w:hAnsi="Times New Roman" w:cs="Times New Roman"/>
          <w:noProof/>
          <w:color w:val="000000" w:themeColor="text1"/>
          <w:sz w:val="24"/>
          <w:szCs w:val="24"/>
        </w:rPr>
        <w:t xml:space="preserve">. </w:t>
      </w:r>
    </w:p>
    <w:p w14:paraId="0D7EC9EB" w14:textId="090B3903" w:rsidR="00E5270C" w:rsidRPr="001E3C9B" w:rsidRDefault="00AB46BD" w:rsidP="00E5270C">
      <w:pPr>
        <w:spacing w:after="120" w:line="264"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In particular, t</w:t>
      </w:r>
      <w:r w:rsidR="00E5270C" w:rsidRPr="001E3C9B">
        <w:rPr>
          <w:rFonts w:ascii="Times New Roman" w:hAnsi="Times New Roman" w:cs="Times New Roman"/>
          <w:noProof/>
          <w:color w:val="000000" w:themeColor="text1"/>
          <w:sz w:val="24"/>
          <w:szCs w:val="24"/>
        </w:rPr>
        <w:t xml:space="preserve">he experts highlighted an opportunity </w:t>
      </w:r>
      <w:r>
        <w:rPr>
          <w:rFonts w:ascii="Times New Roman" w:hAnsi="Times New Roman" w:cs="Times New Roman"/>
          <w:noProof/>
          <w:color w:val="000000" w:themeColor="text1"/>
          <w:sz w:val="24"/>
          <w:szCs w:val="24"/>
        </w:rPr>
        <w:t>to</w:t>
      </w:r>
      <w:r w:rsidRPr="001E3C9B">
        <w:rPr>
          <w:rFonts w:ascii="Times New Roman" w:hAnsi="Times New Roman" w:cs="Times New Roman"/>
          <w:noProof/>
          <w:color w:val="000000" w:themeColor="text1"/>
          <w:sz w:val="24"/>
          <w:szCs w:val="24"/>
        </w:rPr>
        <w:t xml:space="preserve"> </w:t>
      </w:r>
      <w:r w:rsidR="00E5270C" w:rsidRPr="001E3C9B">
        <w:rPr>
          <w:rFonts w:ascii="Times New Roman" w:hAnsi="Times New Roman" w:cs="Times New Roman"/>
          <w:noProof/>
          <w:color w:val="000000" w:themeColor="text1"/>
          <w:sz w:val="24"/>
          <w:szCs w:val="24"/>
        </w:rPr>
        <w:t>improve the selection of objectives and activities supporting nuclear</w:t>
      </w:r>
      <w:r w:rsidR="0023657B">
        <w:rPr>
          <w:rFonts w:ascii="Times New Roman" w:hAnsi="Times New Roman" w:cs="Times New Roman"/>
          <w:noProof/>
          <w:color w:val="000000" w:themeColor="text1"/>
          <w:sz w:val="24"/>
          <w:szCs w:val="24"/>
        </w:rPr>
        <w:t>-</w:t>
      </w:r>
      <w:r w:rsidR="00E5270C" w:rsidRPr="001E3C9B">
        <w:rPr>
          <w:rFonts w:ascii="Times New Roman" w:hAnsi="Times New Roman" w:cs="Times New Roman"/>
          <w:noProof/>
          <w:color w:val="000000" w:themeColor="text1"/>
          <w:sz w:val="24"/>
          <w:szCs w:val="24"/>
        </w:rPr>
        <w:t xml:space="preserve">safety policies in order to follow </w:t>
      </w:r>
      <w:r w:rsidR="0023657B">
        <w:rPr>
          <w:rFonts w:ascii="Times New Roman" w:hAnsi="Times New Roman" w:cs="Times New Roman"/>
          <w:noProof/>
          <w:color w:val="000000" w:themeColor="text1"/>
          <w:sz w:val="24"/>
          <w:szCs w:val="24"/>
        </w:rPr>
        <w:t>any</w:t>
      </w:r>
      <w:r w:rsidR="0023657B" w:rsidRPr="001E3C9B">
        <w:rPr>
          <w:rFonts w:ascii="Times New Roman" w:hAnsi="Times New Roman" w:cs="Times New Roman"/>
          <w:noProof/>
          <w:color w:val="000000" w:themeColor="text1"/>
          <w:sz w:val="24"/>
          <w:szCs w:val="24"/>
        </w:rPr>
        <w:t xml:space="preserve"> </w:t>
      </w:r>
      <w:r w:rsidR="0023657B">
        <w:rPr>
          <w:rFonts w:ascii="Times New Roman" w:hAnsi="Times New Roman" w:cs="Times New Roman"/>
          <w:noProof/>
          <w:color w:val="000000" w:themeColor="text1"/>
          <w:sz w:val="24"/>
          <w:szCs w:val="24"/>
        </w:rPr>
        <w:t>changes in the</w:t>
      </w:r>
      <w:r w:rsidR="00E5270C" w:rsidRPr="001E3C9B">
        <w:rPr>
          <w:rFonts w:ascii="Times New Roman" w:hAnsi="Times New Roman" w:cs="Times New Roman"/>
          <w:noProof/>
          <w:color w:val="000000" w:themeColor="text1"/>
          <w:sz w:val="24"/>
          <w:szCs w:val="24"/>
        </w:rPr>
        <w:t xml:space="preserve"> demands </w:t>
      </w:r>
      <w:r w:rsidR="004761A6">
        <w:rPr>
          <w:rFonts w:ascii="Times New Roman" w:hAnsi="Times New Roman" w:cs="Times New Roman"/>
          <w:noProof/>
          <w:color w:val="000000" w:themeColor="text1"/>
          <w:sz w:val="24"/>
          <w:szCs w:val="24"/>
        </w:rPr>
        <w:t>for</w:t>
      </w:r>
      <w:r w:rsidR="00E5270C" w:rsidRPr="001E3C9B">
        <w:rPr>
          <w:rFonts w:ascii="Times New Roman" w:hAnsi="Times New Roman" w:cs="Times New Roman"/>
          <w:noProof/>
          <w:color w:val="000000" w:themeColor="text1"/>
          <w:sz w:val="24"/>
          <w:szCs w:val="24"/>
        </w:rPr>
        <w:t xml:space="preserve"> the energy systems. </w:t>
      </w:r>
      <w:r w:rsidR="0023657B">
        <w:rPr>
          <w:rFonts w:ascii="Times New Roman" w:hAnsi="Times New Roman" w:cs="Times New Roman"/>
          <w:noProof/>
          <w:color w:val="000000" w:themeColor="text1"/>
          <w:sz w:val="24"/>
          <w:szCs w:val="24"/>
        </w:rPr>
        <w:t>The experts also stressed that</w:t>
      </w:r>
      <w:r w:rsidR="00E5270C" w:rsidRPr="001E3C9B">
        <w:rPr>
          <w:rFonts w:ascii="Times New Roman" w:hAnsi="Times New Roman" w:cs="Times New Roman"/>
          <w:noProof/>
          <w:color w:val="000000" w:themeColor="text1"/>
          <w:sz w:val="24"/>
          <w:szCs w:val="24"/>
        </w:rPr>
        <w:t xml:space="preserve"> ensuring the continuity of European resources</w:t>
      </w:r>
      <w:r w:rsidR="00184585" w:rsidRPr="001E3C9B">
        <w:rPr>
          <w:rFonts w:ascii="Times New Roman" w:hAnsi="Times New Roman" w:cs="Times New Roman"/>
          <w:noProof/>
          <w:color w:val="000000" w:themeColor="text1"/>
          <w:sz w:val="24"/>
          <w:szCs w:val="24"/>
        </w:rPr>
        <w:t xml:space="preserve"> in</w:t>
      </w:r>
      <w:r w:rsidR="00E5270C" w:rsidRPr="001E3C9B">
        <w:rPr>
          <w:rFonts w:ascii="Times New Roman" w:hAnsi="Times New Roman" w:cs="Times New Roman"/>
          <w:noProof/>
          <w:color w:val="000000" w:themeColor="text1"/>
          <w:sz w:val="24"/>
          <w:szCs w:val="24"/>
        </w:rPr>
        <w:t xml:space="preserve"> nuclear safety and security is paramount to be able to respond to unexpected events and crises. The</w:t>
      </w:r>
      <w:r w:rsidR="0023657B">
        <w:rPr>
          <w:rFonts w:ascii="Times New Roman" w:hAnsi="Times New Roman" w:cs="Times New Roman"/>
          <w:noProof/>
          <w:color w:val="000000" w:themeColor="text1"/>
          <w:sz w:val="24"/>
          <w:szCs w:val="24"/>
        </w:rPr>
        <w:t xml:space="preserve"> JRC’s</w:t>
      </w:r>
      <w:r w:rsidR="00E5270C" w:rsidRPr="001E3C9B">
        <w:rPr>
          <w:rFonts w:ascii="Times New Roman" w:hAnsi="Times New Roman" w:cs="Times New Roman"/>
          <w:noProof/>
          <w:color w:val="000000" w:themeColor="text1"/>
          <w:sz w:val="24"/>
          <w:szCs w:val="24"/>
        </w:rPr>
        <w:t xml:space="preserve"> attention and response to shifting priorities</w:t>
      </w:r>
      <w:r w:rsidR="0023657B">
        <w:rPr>
          <w:rFonts w:ascii="Times New Roman" w:hAnsi="Times New Roman" w:cs="Times New Roman"/>
          <w:noProof/>
          <w:color w:val="000000" w:themeColor="text1"/>
          <w:sz w:val="24"/>
          <w:szCs w:val="24"/>
        </w:rPr>
        <w:t>/</w:t>
      </w:r>
      <w:r w:rsidR="00E5270C" w:rsidRPr="001E3C9B">
        <w:rPr>
          <w:rFonts w:ascii="Times New Roman" w:hAnsi="Times New Roman" w:cs="Times New Roman"/>
          <w:noProof/>
          <w:color w:val="000000" w:themeColor="text1"/>
          <w:sz w:val="24"/>
          <w:szCs w:val="24"/>
        </w:rPr>
        <w:t>needs related to</w:t>
      </w:r>
      <w:r w:rsidR="0023657B">
        <w:rPr>
          <w:rFonts w:ascii="Times New Roman" w:hAnsi="Times New Roman" w:cs="Times New Roman"/>
          <w:noProof/>
          <w:color w:val="000000" w:themeColor="text1"/>
          <w:sz w:val="24"/>
          <w:szCs w:val="24"/>
        </w:rPr>
        <w:t xml:space="preserve"> both</w:t>
      </w:r>
      <w:r w:rsidR="00E5270C" w:rsidRPr="001E3C9B">
        <w:rPr>
          <w:rFonts w:ascii="Times New Roman" w:hAnsi="Times New Roman" w:cs="Times New Roman"/>
          <w:noProof/>
          <w:color w:val="000000" w:themeColor="text1"/>
          <w:sz w:val="24"/>
          <w:szCs w:val="24"/>
        </w:rPr>
        <w:t xml:space="preserve"> nuclear</w:t>
      </w:r>
      <w:r w:rsidR="0023657B">
        <w:rPr>
          <w:rFonts w:ascii="Times New Roman" w:hAnsi="Times New Roman" w:cs="Times New Roman"/>
          <w:noProof/>
          <w:color w:val="000000" w:themeColor="text1"/>
          <w:sz w:val="24"/>
          <w:szCs w:val="24"/>
        </w:rPr>
        <w:t>-</w:t>
      </w:r>
      <w:r w:rsidR="00E5270C" w:rsidRPr="001E3C9B">
        <w:rPr>
          <w:rFonts w:ascii="Times New Roman" w:hAnsi="Times New Roman" w:cs="Times New Roman"/>
          <w:noProof/>
          <w:color w:val="000000" w:themeColor="text1"/>
          <w:sz w:val="24"/>
          <w:szCs w:val="24"/>
        </w:rPr>
        <w:t xml:space="preserve">safety standards and nuclear security is reflected in the evolution of </w:t>
      </w:r>
      <w:r w:rsidR="004761A6">
        <w:rPr>
          <w:rFonts w:ascii="Times New Roman" w:hAnsi="Times New Roman" w:cs="Times New Roman"/>
          <w:noProof/>
          <w:color w:val="000000" w:themeColor="text1"/>
          <w:sz w:val="24"/>
          <w:szCs w:val="24"/>
        </w:rPr>
        <w:t>its</w:t>
      </w:r>
      <w:r w:rsidR="0023657B">
        <w:rPr>
          <w:rFonts w:ascii="Times New Roman" w:hAnsi="Times New Roman" w:cs="Times New Roman"/>
          <w:noProof/>
          <w:color w:val="000000" w:themeColor="text1"/>
          <w:sz w:val="24"/>
          <w:szCs w:val="24"/>
        </w:rPr>
        <w:t xml:space="preserve"> own</w:t>
      </w:r>
      <w:r w:rsidR="00E5270C" w:rsidRPr="001E3C9B">
        <w:rPr>
          <w:rFonts w:ascii="Times New Roman" w:hAnsi="Times New Roman" w:cs="Times New Roman"/>
          <w:noProof/>
          <w:color w:val="000000" w:themeColor="text1"/>
          <w:sz w:val="24"/>
          <w:szCs w:val="24"/>
        </w:rPr>
        <w:t xml:space="preserve"> work programme. This is particularly </w:t>
      </w:r>
      <w:r w:rsidR="0023657B">
        <w:rPr>
          <w:rFonts w:ascii="Times New Roman" w:hAnsi="Times New Roman" w:cs="Times New Roman"/>
          <w:noProof/>
          <w:color w:val="000000" w:themeColor="text1"/>
          <w:sz w:val="24"/>
          <w:szCs w:val="24"/>
        </w:rPr>
        <w:t>evident in</w:t>
      </w:r>
      <w:r w:rsidR="00E5270C" w:rsidRPr="001E3C9B">
        <w:rPr>
          <w:rFonts w:ascii="Times New Roman" w:hAnsi="Times New Roman" w:cs="Times New Roman"/>
          <w:noProof/>
          <w:color w:val="000000" w:themeColor="text1"/>
          <w:sz w:val="24"/>
          <w:szCs w:val="24"/>
        </w:rPr>
        <w:t xml:space="preserve"> the response given to specific events</w:t>
      </w:r>
      <w:r w:rsidR="00184585" w:rsidRPr="001E3C9B">
        <w:rPr>
          <w:rFonts w:ascii="Times New Roman" w:hAnsi="Times New Roman" w:cs="Times New Roman"/>
          <w:noProof/>
          <w:color w:val="000000" w:themeColor="text1"/>
          <w:sz w:val="24"/>
          <w:szCs w:val="24"/>
        </w:rPr>
        <w:t>,</w:t>
      </w:r>
      <w:r w:rsidR="00E5270C" w:rsidRPr="001E3C9B">
        <w:rPr>
          <w:rFonts w:ascii="Times New Roman" w:hAnsi="Times New Roman" w:cs="Times New Roman"/>
          <w:noProof/>
          <w:color w:val="000000" w:themeColor="text1"/>
          <w:sz w:val="24"/>
          <w:szCs w:val="24"/>
        </w:rPr>
        <w:t xml:space="preserve"> like the nuclear</w:t>
      </w:r>
      <w:r w:rsidR="0023657B">
        <w:rPr>
          <w:rFonts w:ascii="Times New Roman" w:hAnsi="Times New Roman" w:cs="Times New Roman"/>
          <w:noProof/>
          <w:color w:val="000000" w:themeColor="text1"/>
          <w:sz w:val="24"/>
          <w:szCs w:val="24"/>
        </w:rPr>
        <w:t>-</w:t>
      </w:r>
      <w:r w:rsidR="00E5270C" w:rsidRPr="001E3C9B">
        <w:rPr>
          <w:rFonts w:ascii="Times New Roman" w:hAnsi="Times New Roman" w:cs="Times New Roman"/>
          <w:noProof/>
          <w:color w:val="000000" w:themeColor="text1"/>
          <w:sz w:val="24"/>
          <w:szCs w:val="24"/>
        </w:rPr>
        <w:t xml:space="preserve">safety assessment of the situation following the Russian aggression and invasion in Ukraine. </w:t>
      </w:r>
      <w:r w:rsidR="00184585" w:rsidRPr="001E3C9B">
        <w:rPr>
          <w:rFonts w:ascii="Times New Roman" w:hAnsi="Times New Roman" w:cs="Times New Roman"/>
          <w:noProof/>
          <w:color w:val="000000" w:themeColor="text1"/>
          <w:sz w:val="24"/>
          <w:szCs w:val="24"/>
        </w:rPr>
        <w:t xml:space="preserve">The </w:t>
      </w:r>
      <w:r w:rsidR="0023657B" w:rsidRPr="001E3C9B">
        <w:rPr>
          <w:rFonts w:ascii="Times New Roman" w:hAnsi="Times New Roman" w:cs="Times New Roman"/>
          <w:noProof/>
          <w:color w:val="000000" w:themeColor="text1"/>
          <w:sz w:val="24"/>
          <w:szCs w:val="24"/>
        </w:rPr>
        <w:t>JRC</w:t>
      </w:r>
      <w:r w:rsidR="0023657B">
        <w:rPr>
          <w:rFonts w:ascii="Times New Roman" w:hAnsi="Times New Roman" w:cs="Times New Roman"/>
          <w:noProof/>
          <w:color w:val="000000" w:themeColor="text1"/>
          <w:sz w:val="24"/>
          <w:szCs w:val="24"/>
        </w:rPr>
        <w:t xml:space="preserve"> also helped to draw up</w:t>
      </w:r>
      <w:r w:rsidR="00E5270C" w:rsidRPr="001E3C9B">
        <w:rPr>
          <w:rFonts w:ascii="Times New Roman" w:hAnsi="Times New Roman" w:cs="Times New Roman"/>
          <w:noProof/>
          <w:color w:val="000000" w:themeColor="text1"/>
          <w:sz w:val="24"/>
          <w:szCs w:val="24"/>
        </w:rPr>
        <w:t xml:space="preserve"> sanctions on Russia, based on strategic trade analysis and export</w:t>
      </w:r>
      <w:r w:rsidR="0023657B">
        <w:rPr>
          <w:rFonts w:ascii="Times New Roman" w:hAnsi="Times New Roman" w:cs="Times New Roman"/>
          <w:noProof/>
          <w:color w:val="000000" w:themeColor="text1"/>
          <w:sz w:val="24"/>
          <w:szCs w:val="24"/>
        </w:rPr>
        <w:t>-</w:t>
      </w:r>
      <w:r w:rsidR="00E5270C" w:rsidRPr="001E3C9B">
        <w:rPr>
          <w:rFonts w:ascii="Times New Roman" w:hAnsi="Times New Roman" w:cs="Times New Roman"/>
          <w:noProof/>
          <w:color w:val="000000" w:themeColor="text1"/>
          <w:sz w:val="24"/>
          <w:szCs w:val="24"/>
        </w:rPr>
        <w:t>control expertise developed for non-proliferation purposes.</w:t>
      </w:r>
    </w:p>
    <w:p w14:paraId="5414EF8C" w14:textId="7D671F10" w:rsidR="00E5270C" w:rsidRPr="001E3C9B" w:rsidRDefault="00E5270C" w:rsidP="00E5270C">
      <w:pPr>
        <w:spacing w:after="120" w:line="264" w:lineRule="auto"/>
        <w:jc w:val="both"/>
        <w:rPr>
          <w:rFonts w:ascii="Times New Roman" w:hAnsi="Times New Roman" w:cs="Times New Roman"/>
          <w:b/>
          <w:noProof/>
          <w:color w:val="000000" w:themeColor="text1"/>
          <w:sz w:val="24"/>
          <w:szCs w:val="24"/>
        </w:rPr>
      </w:pPr>
      <w:r w:rsidRPr="001E3C9B">
        <w:rPr>
          <w:rFonts w:ascii="Times New Roman" w:hAnsi="Times New Roman" w:cs="Times New Roman"/>
          <w:b/>
          <w:noProof/>
          <w:color w:val="000000" w:themeColor="text1"/>
          <w:sz w:val="24"/>
          <w:szCs w:val="24"/>
        </w:rPr>
        <w:t>Recommendations on anticipation and foresight</w:t>
      </w:r>
    </w:p>
    <w:p w14:paraId="4236AA05" w14:textId="5EBB46FB" w:rsidR="00E5270C" w:rsidRPr="00B977EA" w:rsidRDefault="00E5270C" w:rsidP="00E5270C">
      <w:pPr>
        <w:pStyle w:val="ListParagraph"/>
        <w:numPr>
          <w:ilvl w:val="0"/>
          <w:numId w:val="48"/>
        </w:numPr>
        <w:spacing w:after="120" w:line="264" w:lineRule="auto"/>
        <w:rPr>
          <w:rFonts w:cs="Times New Roman"/>
          <w:noProof/>
          <w:color w:val="000000" w:themeColor="text1"/>
          <w:szCs w:val="24"/>
        </w:rPr>
      </w:pPr>
      <w:r w:rsidRPr="00202402">
        <w:rPr>
          <w:rFonts w:cs="Times New Roman"/>
          <w:noProof/>
          <w:color w:val="000000" w:themeColor="text1"/>
          <w:szCs w:val="24"/>
        </w:rPr>
        <w:t>The JRC should develop foresight activities for nuclear energy</w:t>
      </w:r>
      <w:r w:rsidR="005165C6">
        <w:rPr>
          <w:rFonts w:cs="Times New Roman"/>
          <w:noProof/>
          <w:color w:val="000000" w:themeColor="text1"/>
          <w:szCs w:val="24"/>
        </w:rPr>
        <w:t xml:space="preserve"> to</w:t>
      </w:r>
      <w:r w:rsidRPr="00202402">
        <w:rPr>
          <w:rFonts w:cs="Times New Roman"/>
          <w:noProof/>
          <w:color w:val="000000" w:themeColor="text1"/>
          <w:szCs w:val="24"/>
        </w:rPr>
        <w:t xml:space="preserve"> support the green transition and promot</w:t>
      </w:r>
      <w:r w:rsidR="005165C6">
        <w:rPr>
          <w:rFonts w:cs="Times New Roman"/>
          <w:noProof/>
          <w:color w:val="000000" w:themeColor="text1"/>
          <w:szCs w:val="24"/>
        </w:rPr>
        <w:t>e</w:t>
      </w:r>
      <w:r w:rsidRPr="00202402">
        <w:rPr>
          <w:rFonts w:cs="Times New Roman"/>
          <w:noProof/>
          <w:color w:val="000000" w:themeColor="text1"/>
          <w:szCs w:val="24"/>
        </w:rPr>
        <w:t xml:space="preserve"> the resilience of the energy system.</w:t>
      </w:r>
    </w:p>
    <w:p w14:paraId="46256BB1" w14:textId="0D490B9D" w:rsidR="00E5270C" w:rsidRPr="00B977EA" w:rsidRDefault="00E5270C" w:rsidP="00E5270C">
      <w:pPr>
        <w:pStyle w:val="ListParagraph"/>
        <w:numPr>
          <w:ilvl w:val="0"/>
          <w:numId w:val="48"/>
        </w:numPr>
        <w:spacing w:after="120" w:line="264" w:lineRule="auto"/>
        <w:rPr>
          <w:rFonts w:cs="Times New Roman"/>
          <w:noProof/>
          <w:color w:val="000000" w:themeColor="text1"/>
          <w:szCs w:val="24"/>
        </w:rPr>
      </w:pPr>
      <w:r w:rsidRPr="00202402">
        <w:rPr>
          <w:rFonts w:cs="Times New Roman"/>
          <w:noProof/>
          <w:color w:val="000000" w:themeColor="text1"/>
          <w:szCs w:val="24"/>
        </w:rPr>
        <w:t>The JRC should</w:t>
      </w:r>
      <w:r w:rsidR="00054C9D">
        <w:rPr>
          <w:rFonts w:cs="Times New Roman"/>
          <w:noProof/>
          <w:color w:val="000000" w:themeColor="text1"/>
          <w:szCs w:val="24"/>
        </w:rPr>
        <w:t>: (i)</w:t>
      </w:r>
      <w:r w:rsidRPr="00202402">
        <w:rPr>
          <w:rFonts w:cs="Times New Roman"/>
          <w:noProof/>
          <w:color w:val="000000" w:themeColor="text1"/>
          <w:szCs w:val="24"/>
        </w:rPr>
        <w:t xml:space="preserve"> give anticipation </w:t>
      </w:r>
      <w:r w:rsidR="004761A6">
        <w:rPr>
          <w:rFonts w:cs="Times New Roman"/>
          <w:noProof/>
          <w:color w:val="000000" w:themeColor="text1"/>
          <w:szCs w:val="24"/>
        </w:rPr>
        <w:t xml:space="preserve">capacities </w:t>
      </w:r>
      <w:r w:rsidRPr="00202402">
        <w:rPr>
          <w:rFonts w:cs="Times New Roman"/>
          <w:noProof/>
          <w:color w:val="000000" w:themeColor="text1"/>
          <w:szCs w:val="24"/>
        </w:rPr>
        <w:t xml:space="preserve">a high priority, as </w:t>
      </w:r>
      <w:r w:rsidR="005165C6">
        <w:rPr>
          <w:rFonts w:cs="Times New Roman"/>
          <w:noProof/>
          <w:color w:val="000000" w:themeColor="text1"/>
          <w:szCs w:val="24"/>
        </w:rPr>
        <w:t>set out</w:t>
      </w:r>
      <w:r w:rsidR="005165C6" w:rsidRPr="00202402">
        <w:rPr>
          <w:rFonts w:cs="Times New Roman"/>
          <w:noProof/>
          <w:color w:val="000000" w:themeColor="text1"/>
          <w:szCs w:val="24"/>
        </w:rPr>
        <w:t xml:space="preserve"> </w:t>
      </w:r>
      <w:r w:rsidRPr="00202402">
        <w:rPr>
          <w:rFonts w:cs="Times New Roman"/>
          <w:noProof/>
          <w:color w:val="000000" w:themeColor="text1"/>
          <w:szCs w:val="24"/>
        </w:rPr>
        <w:t xml:space="preserve">in the JRC </w:t>
      </w:r>
      <w:r w:rsidR="005165C6">
        <w:rPr>
          <w:rFonts w:cs="Times New Roman"/>
          <w:noProof/>
          <w:color w:val="000000" w:themeColor="text1"/>
          <w:szCs w:val="24"/>
        </w:rPr>
        <w:t>2030 strategy</w:t>
      </w:r>
      <w:r w:rsidR="00054C9D">
        <w:rPr>
          <w:rFonts w:cs="Times New Roman"/>
          <w:noProof/>
          <w:color w:val="000000" w:themeColor="text1"/>
          <w:szCs w:val="24"/>
        </w:rPr>
        <w:t>; (ii)</w:t>
      </w:r>
      <w:r w:rsidRPr="00202402">
        <w:rPr>
          <w:rFonts w:cs="Times New Roman"/>
          <w:noProof/>
          <w:color w:val="000000" w:themeColor="text1"/>
          <w:szCs w:val="24"/>
        </w:rPr>
        <w:t xml:space="preserve"> allocate sufficient resources</w:t>
      </w:r>
      <w:r w:rsidR="00054C9D">
        <w:rPr>
          <w:rFonts w:cs="Times New Roman"/>
          <w:noProof/>
          <w:color w:val="000000" w:themeColor="text1"/>
          <w:szCs w:val="24"/>
        </w:rPr>
        <w:t>;</w:t>
      </w:r>
      <w:r w:rsidRPr="00202402">
        <w:rPr>
          <w:rFonts w:cs="Times New Roman"/>
          <w:noProof/>
          <w:color w:val="000000" w:themeColor="text1"/>
          <w:szCs w:val="24"/>
        </w:rPr>
        <w:t xml:space="preserve"> and </w:t>
      </w:r>
      <w:r w:rsidR="00054C9D">
        <w:rPr>
          <w:rFonts w:cs="Times New Roman"/>
          <w:noProof/>
          <w:color w:val="000000" w:themeColor="text1"/>
          <w:szCs w:val="24"/>
        </w:rPr>
        <w:t xml:space="preserve">(iii) </w:t>
      </w:r>
      <w:r w:rsidRPr="00202402">
        <w:rPr>
          <w:rFonts w:cs="Times New Roman"/>
          <w:noProof/>
          <w:color w:val="000000" w:themeColor="text1"/>
          <w:szCs w:val="24"/>
        </w:rPr>
        <w:t>set up a governance structure to optimise efforts.</w:t>
      </w:r>
    </w:p>
    <w:p w14:paraId="24A13208" w14:textId="464F4D24" w:rsidR="00E5270C" w:rsidRPr="00B977EA" w:rsidRDefault="00E5270C" w:rsidP="00E5270C">
      <w:pPr>
        <w:pStyle w:val="ListParagraph"/>
        <w:numPr>
          <w:ilvl w:val="0"/>
          <w:numId w:val="48"/>
        </w:numPr>
        <w:spacing w:after="120" w:line="264" w:lineRule="auto"/>
        <w:rPr>
          <w:rFonts w:cs="Times New Roman"/>
          <w:noProof/>
          <w:color w:val="000000" w:themeColor="text1"/>
          <w:szCs w:val="24"/>
        </w:rPr>
      </w:pPr>
      <w:r w:rsidRPr="00202402">
        <w:rPr>
          <w:rFonts w:cs="Times New Roman"/>
          <w:noProof/>
          <w:color w:val="000000" w:themeColor="text1"/>
          <w:szCs w:val="24"/>
        </w:rPr>
        <w:t>The JRC should build capacities and tools to prepare for and respond to future shocks. To this effect, it should invest in collecting and maintaining data on past and future shocks.</w:t>
      </w:r>
    </w:p>
    <w:p w14:paraId="57091062" w14:textId="6B4F4660" w:rsidR="00E5270C" w:rsidRPr="00854965" w:rsidRDefault="00E5270C" w:rsidP="00E5270C">
      <w:pPr>
        <w:spacing w:after="120" w:line="264" w:lineRule="auto"/>
        <w:rPr>
          <w:rFonts w:ascii="Times New Roman" w:hAnsi="Times New Roman" w:cs="Times New Roman"/>
          <w:bCs/>
          <w:noProof/>
          <w:color w:val="000000" w:themeColor="text1"/>
          <w:sz w:val="24"/>
          <w:szCs w:val="24"/>
          <w:u w:val="single"/>
        </w:rPr>
      </w:pPr>
      <w:r w:rsidRPr="00854965">
        <w:rPr>
          <w:rFonts w:ascii="Times New Roman" w:hAnsi="Times New Roman" w:cs="Times New Roman"/>
          <w:bCs/>
          <w:noProof/>
          <w:color w:val="000000" w:themeColor="text1"/>
          <w:sz w:val="24"/>
          <w:szCs w:val="24"/>
          <w:u w:val="single"/>
        </w:rPr>
        <w:t>Commission’s response</w:t>
      </w:r>
    </w:p>
    <w:p w14:paraId="11C65147" w14:textId="27E20EB6" w:rsidR="00E5270C" w:rsidRPr="001E3C9B" w:rsidRDefault="00E5270C" w:rsidP="00E5270C">
      <w:pPr>
        <w:spacing w:after="120" w:line="264" w:lineRule="auto"/>
        <w:jc w:val="both"/>
        <w:rPr>
          <w:rFonts w:cs="Times New Roman"/>
          <w:noProof/>
          <w:color w:val="000000" w:themeColor="text1"/>
          <w:sz w:val="24"/>
          <w:szCs w:val="24"/>
        </w:rPr>
      </w:pPr>
      <w:r w:rsidRPr="001E3C9B">
        <w:rPr>
          <w:rFonts w:ascii="Times New Roman" w:hAnsi="Times New Roman" w:cs="Times New Roman"/>
          <w:noProof/>
          <w:color w:val="000000" w:themeColor="text1"/>
          <w:sz w:val="24"/>
          <w:szCs w:val="24"/>
        </w:rPr>
        <w:t xml:space="preserve">The JRC implements anticipation as a priority within its nuclear activities by </w:t>
      </w:r>
      <w:r w:rsidR="005165C6">
        <w:rPr>
          <w:rFonts w:ascii="Times New Roman" w:hAnsi="Times New Roman" w:cs="Times New Roman"/>
          <w:noProof/>
          <w:color w:val="000000" w:themeColor="text1"/>
          <w:sz w:val="24"/>
          <w:szCs w:val="24"/>
        </w:rPr>
        <w:t xml:space="preserve">both: (i) </w:t>
      </w:r>
      <w:r w:rsidRPr="001E3C9B">
        <w:rPr>
          <w:rFonts w:ascii="Times New Roman" w:hAnsi="Times New Roman" w:cs="Times New Roman"/>
          <w:noProof/>
          <w:color w:val="000000" w:themeColor="text1"/>
          <w:sz w:val="24"/>
          <w:szCs w:val="24"/>
        </w:rPr>
        <w:t>maintaining permanent contact with its main partners and stakeholders</w:t>
      </w:r>
      <w:r w:rsidR="005165C6">
        <w:rPr>
          <w:rFonts w:ascii="Times New Roman" w:hAnsi="Times New Roman" w:cs="Times New Roman"/>
          <w:noProof/>
          <w:color w:val="000000" w:themeColor="text1"/>
          <w:sz w:val="24"/>
          <w:szCs w:val="24"/>
        </w:rPr>
        <w:t>; and (ii)</w:t>
      </w:r>
      <w:r w:rsidRPr="001E3C9B">
        <w:rPr>
          <w:rFonts w:ascii="Times New Roman" w:hAnsi="Times New Roman" w:cs="Times New Roman"/>
          <w:noProof/>
          <w:color w:val="000000" w:themeColor="text1"/>
          <w:sz w:val="24"/>
          <w:szCs w:val="24"/>
        </w:rPr>
        <w:t xml:space="preserve"> explor</w:t>
      </w:r>
      <w:r w:rsidR="00184585" w:rsidRPr="001E3C9B">
        <w:rPr>
          <w:rFonts w:ascii="Times New Roman" w:hAnsi="Times New Roman" w:cs="Times New Roman"/>
          <w:noProof/>
          <w:color w:val="000000" w:themeColor="text1"/>
          <w:sz w:val="24"/>
          <w:szCs w:val="24"/>
        </w:rPr>
        <w:t>ing</w:t>
      </w:r>
      <w:r w:rsidRPr="001E3C9B">
        <w:rPr>
          <w:rFonts w:ascii="Times New Roman" w:hAnsi="Times New Roman" w:cs="Times New Roman"/>
          <w:noProof/>
          <w:color w:val="000000" w:themeColor="text1"/>
          <w:sz w:val="24"/>
          <w:szCs w:val="24"/>
        </w:rPr>
        <w:t xml:space="preserve"> arising needs and trends in the nuclear fields at </w:t>
      </w:r>
      <w:r w:rsidR="005165C6">
        <w:rPr>
          <w:rFonts w:ascii="Times New Roman" w:hAnsi="Times New Roman" w:cs="Times New Roman"/>
          <w:noProof/>
          <w:color w:val="000000" w:themeColor="text1"/>
          <w:sz w:val="24"/>
          <w:szCs w:val="24"/>
        </w:rPr>
        <w:t xml:space="preserve">both </w:t>
      </w:r>
      <w:r w:rsidRPr="001E3C9B">
        <w:rPr>
          <w:rFonts w:ascii="Times New Roman" w:hAnsi="Times New Roman" w:cs="Times New Roman"/>
          <w:noProof/>
          <w:color w:val="000000" w:themeColor="text1"/>
          <w:sz w:val="24"/>
          <w:szCs w:val="24"/>
        </w:rPr>
        <w:t xml:space="preserve">EU and international level. The JRC also participates in European technological platforms and associations </w:t>
      </w:r>
      <w:r w:rsidR="005165C6">
        <w:rPr>
          <w:rFonts w:ascii="Times New Roman" w:hAnsi="Times New Roman" w:cs="Times New Roman"/>
          <w:noProof/>
          <w:color w:val="000000" w:themeColor="text1"/>
          <w:sz w:val="24"/>
          <w:szCs w:val="24"/>
        </w:rPr>
        <w:t xml:space="preserve">that </w:t>
      </w:r>
      <w:r w:rsidRPr="001E3C9B">
        <w:rPr>
          <w:rFonts w:ascii="Times New Roman" w:hAnsi="Times New Roman" w:cs="Times New Roman"/>
          <w:noProof/>
          <w:color w:val="000000" w:themeColor="text1"/>
          <w:sz w:val="24"/>
          <w:szCs w:val="24"/>
        </w:rPr>
        <w:t>gather the main stakeholders and provid</w:t>
      </w:r>
      <w:r w:rsidR="005165C6">
        <w:rPr>
          <w:rFonts w:ascii="Times New Roman" w:hAnsi="Times New Roman" w:cs="Times New Roman"/>
          <w:noProof/>
          <w:color w:val="000000" w:themeColor="text1"/>
          <w:sz w:val="24"/>
          <w:szCs w:val="24"/>
        </w:rPr>
        <w:t>e guidance on</w:t>
      </w:r>
      <w:r w:rsidRPr="001E3C9B">
        <w:rPr>
          <w:rFonts w:ascii="Times New Roman" w:hAnsi="Times New Roman" w:cs="Times New Roman"/>
          <w:noProof/>
          <w:color w:val="000000" w:themeColor="text1"/>
          <w:sz w:val="24"/>
          <w:szCs w:val="24"/>
        </w:rPr>
        <w:t xml:space="preserve"> research priorities in related nuclear areas. </w:t>
      </w:r>
    </w:p>
    <w:p w14:paraId="0028C3D3" w14:textId="1B1DFF1A" w:rsidR="00E5270C" w:rsidRPr="001E3C9B" w:rsidRDefault="00E5270C" w:rsidP="00E5270C">
      <w:pPr>
        <w:spacing w:after="120" w:line="264" w:lineRule="auto"/>
        <w:jc w:val="both"/>
        <w:rPr>
          <w:rFonts w:cs="Times New Roman"/>
          <w:noProof/>
          <w:color w:val="000000" w:themeColor="text1"/>
          <w:sz w:val="24"/>
          <w:szCs w:val="24"/>
        </w:rPr>
      </w:pPr>
      <w:r w:rsidRPr="001E3C9B">
        <w:rPr>
          <w:rFonts w:ascii="Times New Roman" w:hAnsi="Times New Roman" w:cs="Times New Roman"/>
          <w:noProof/>
          <w:color w:val="000000" w:themeColor="text1"/>
          <w:sz w:val="24"/>
          <w:szCs w:val="24"/>
        </w:rPr>
        <w:t>Anticipation and foresight are embedded in the portfolio approach and integrate aspects related to cris</w:t>
      </w:r>
      <w:r w:rsidR="00CF6C70">
        <w:rPr>
          <w:rFonts w:ascii="Times New Roman" w:hAnsi="Times New Roman" w:cs="Times New Roman"/>
          <w:noProof/>
          <w:color w:val="000000" w:themeColor="text1"/>
          <w:sz w:val="24"/>
          <w:szCs w:val="24"/>
        </w:rPr>
        <w:t>i</w:t>
      </w:r>
      <w:r w:rsidRPr="001E3C9B">
        <w:rPr>
          <w:rFonts w:ascii="Times New Roman" w:hAnsi="Times New Roman" w:cs="Times New Roman"/>
          <w:noProof/>
          <w:color w:val="000000" w:themeColor="text1"/>
          <w:sz w:val="24"/>
          <w:szCs w:val="24"/>
        </w:rPr>
        <w:t>s anticipation. This is the case for the portfolio on situational awareness for cris</w:t>
      </w:r>
      <w:r w:rsidR="00CF6C70">
        <w:rPr>
          <w:rFonts w:ascii="Times New Roman" w:hAnsi="Times New Roman" w:cs="Times New Roman"/>
          <w:noProof/>
          <w:color w:val="000000" w:themeColor="text1"/>
          <w:sz w:val="24"/>
          <w:szCs w:val="24"/>
        </w:rPr>
        <w:t>i</w:t>
      </w:r>
      <w:r w:rsidRPr="001E3C9B">
        <w:rPr>
          <w:rFonts w:ascii="Times New Roman" w:hAnsi="Times New Roman" w:cs="Times New Roman"/>
          <w:noProof/>
          <w:color w:val="000000" w:themeColor="text1"/>
          <w:sz w:val="24"/>
          <w:szCs w:val="24"/>
        </w:rPr>
        <w:t>s management, which integrate</w:t>
      </w:r>
      <w:r w:rsidR="00CF6C70">
        <w:rPr>
          <w:rFonts w:ascii="Times New Roman" w:hAnsi="Times New Roman" w:cs="Times New Roman"/>
          <w:noProof/>
          <w:color w:val="000000" w:themeColor="text1"/>
          <w:sz w:val="24"/>
          <w:szCs w:val="24"/>
        </w:rPr>
        <w:t>s</w:t>
      </w:r>
      <w:r w:rsidRPr="001E3C9B">
        <w:rPr>
          <w:rFonts w:ascii="Times New Roman" w:hAnsi="Times New Roman" w:cs="Times New Roman"/>
          <w:noProof/>
          <w:color w:val="000000" w:themeColor="text1"/>
          <w:sz w:val="24"/>
          <w:szCs w:val="24"/>
        </w:rPr>
        <w:t xml:space="preserve"> all capacities within the JRC for risk analysis</w:t>
      </w:r>
      <w:r w:rsidR="00CF6C70">
        <w:rPr>
          <w:rFonts w:ascii="Times New Roman" w:hAnsi="Times New Roman" w:cs="Times New Roman"/>
          <w:noProof/>
          <w:color w:val="000000" w:themeColor="text1"/>
          <w:sz w:val="24"/>
          <w:szCs w:val="24"/>
        </w:rPr>
        <w:t>, risk</w:t>
      </w:r>
      <w:r w:rsidRPr="001E3C9B">
        <w:rPr>
          <w:rFonts w:ascii="Times New Roman" w:hAnsi="Times New Roman" w:cs="Times New Roman"/>
          <w:noProof/>
          <w:color w:val="000000" w:themeColor="text1"/>
          <w:sz w:val="24"/>
          <w:szCs w:val="24"/>
        </w:rPr>
        <w:t xml:space="preserve"> assessment, </w:t>
      </w:r>
      <w:r w:rsidR="00CF6C70">
        <w:rPr>
          <w:rFonts w:ascii="Times New Roman" w:hAnsi="Times New Roman" w:cs="Times New Roman"/>
          <w:noProof/>
          <w:color w:val="000000" w:themeColor="text1"/>
          <w:sz w:val="24"/>
          <w:szCs w:val="24"/>
        </w:rPr>
        <w:t>and</w:t>
      </w:r>
      <w:r w:rsidRPr="001E3C9B">
        <w:rPr>
          <w:rFonts w:ascii="Times New Roman" w:hAnsi="Times New Roman" w:cs="Times New Roman"/>
          <w:noProof/>
          <w:color w:val="000000" w:themeColor="text1"/>
          <w:sz w:val="24"/>
          <w:szCs w:val="24"/>
        </w:rPr>
        <w:t xml:space="preserve"> early warning. This includes specific nuclear activities like the operation of two alert systems</w:t>
      </w:r>
      <w:r w:rsidR="00054C9D">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EURDEP and ECURIE. </w:t>
      </w:r>
    </w:p>
    <w:p w14:paraId="36ED1D84" w14:textId="54D7D92B" w:rsidR="00E5270C" w:rsidRPr="001E3C9B" w:rsidRDefault="00E5270C" w:rsidP="00E5270C">
      <w:pPr>
        <w:spacing w:after="120" w:line="264" w:lineRule="auto"/>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 xml:space="preserve">The emphasis on foresight </w:t>
      </w:r>
      <w:r w:rsidR="00CF6C70">
        <w:rPr>
          <w:rFonts w:ascii="Times New Roman" w:hAnsi="Times New Roman" w:cs="Times New Roman"/>
          <w:noProof/>
          <w:color w:val="000000" w:themeColor="text1"/>
          <w:sz w:val="24"/>
          <w:szCs w:val="24"/>
        </w:rPr>
        <w:t xml:space="preserve">is one </w:t>
      </w:r>
      <w:r w:rsidR="00054C9D">
        <w:rPr>
          <w:rFonts w:ascii="Times New Roman" w:hAnsi="Times New Roman" w:cs="Times New Roman"/>
          <w:noProof/>
          <w:color w:val="000000" w:themeColor="text1"/>
          <w:sz w:val="24"/>
          <w:szCs w:val="24"/>
        </w:rPr>
        <w:t>of</w:t>
      </w:r>
      <w:r w:rsidRPr="001E3C9B">
        <w:rPr>
          <w:rFonts w:ascii="Times New Roman" w:hAnsi="Times New Roman" w:cs="Times New Roman"/>
          <w:noProof/>
          <w:color w:val="000000" w:themeColor="text1"/>
          <w:sz w:val="24"/>
          <w:szCs w:val="24"/>
        </w:rPr>
        <w:t xml:space="preserve"> the priorities identified in the JRC nuclear strategy. The Directorate </w:t>
      </w:r>
      <w:r w:rsidR="009D18D0" w:rsidRPr="001E3C9B">
        <w:rPr>
          <w:rFonts w:ascii="Times New Roman" w:hAnsi="Times New Roman" w:cs="Times New Roman"/>
          <w:noProof/>
          <w:color w:val="000000" w:themeColor="text1"/>
          <w:sz w:val="24"/>
          <w:szCs w:val="24"/>
        </w:rPr>
        <w:t xml:space="preserve">for Nuclear Safety and Security </w:t>
      </w:r>
      <w:r w:rsidRPr="001E3C9B">
        <w:rPr>
          <w:rFonts w:ascii="Times New Roman" w:hAnsi="Times New Roman" w:cs="Times New Roman"/>
          <w:noProof/>
          <w:color w:val="000000" w:themeColor="text1"/>
          <w:sz w:val="24"/>
          <w:szCs w:val="24"/>
        </w:rPr>
        <w:t xml:space="preserve">at the JRC also operates its own foresight network and activities as part of a regular </w:t>
      </w:r>
      <w:r w:rsidR="00CF6C70">
        <w:rPr>
          <w:rFonts w:ascii="Times New Roman" w:hAnsi="Times New Roman" w:cs="Times New Roman"/>
          <w:noProof/>
          <w:color w:val="000000" w:themeColor="text1"/>
          <w:sz w:val="24"/>
          <w:szCs w:val="24"/>
        </w:rPr>
        <w:t>‘h</w:t>
      </w:r>
      <w:r w:rsidRPr="001E3C9B">
        <w:rPr>
          <w:rFonts w:ascii="Times New Roman" w:hAnsi="Times New Roman" w:cs="Times New Roman"/>
          <w:noProof/>
          <w:color w:val="000000" w:themeColor="text1"/>
          <w:sz w:val="24"/>
          <w:szCs w:val="24"/>
        </w:rPr>
        <w:t xml:space="preserve">orizon </w:t>
      </w:r>
      <w:r w:rsidR="00CF6C70">
        <w:rPr>
          <w:rFonts w:ascii="Times New Roman" w:hAnsi="Times New Roman" w:cs="Times New Roman"/>
          <w:noProof/>
          <w:color w:val="000000" w:themeColor="text1"/>
          <w:sz w:val="24"/>
          <w:szCs w:val="24"/>
        </w:rPr>
        <w:t>s</w:t>
      </w:r>
      <w:r w:rsidRPr="001E3C9B">
        <w:rPr>
          <w:rFonts w:ascii="Times New Roman" w:hAnsi="Times New Roman" w:cs="Times New Roman"/>
          <w:noProof/>
          <w:color w:val="000000" w:themeColor="text1"/>
          <w:sz w:val="24"/>
          <w:szCs w:val="24"/>
        </w:rPr>
        <w:t>canning</w:t>
      </w:r>
      <w:r w:rsidR="00CF6C70">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effort, which also include</w:t>
      </w:r>
      <w:r w:rsidR="00CF6C70">
        <w:rPr>
          <w:rFonts w:ascii="Times New Roman" w:hAnsi="Times New Roman" w:cs="Times New Roman"/>
          <w:noProof/>
          <w:color w:val="000000" w:themeColor="text1"/>
          <w:sz w:val="24"/>
          <w:szCs w:val="24"/>
        </w:rPr>
        <w:t>s</w:t>
      </w:r>
      <w:r w:rsidRPr="001E3C9B">
        <w:rPr>
          <w:rFonts w:ascii="Times New Roman" w:hAnsi="Times New Roman" w:cs="Times New Roman"/>
          <w:noProof/>
          <w:color w:val="000000" w:themeColor="text1"/>
          <w:sz w:val="24"/>
          <w:szCs w:val="24"/>
        </w:rPr>
        <w:t xml:space="preserve"> other non-nuclear </w:t>
      </w:r>
      <w:r w:rsidR="00CF6C70">
        <w:rPr>
          <w:rFonts w:ascii="Times New Roman" w:hAnsi="Times New Roman" w:cs="Times New Roman"/>
          <w:noProof/>
          <w:color w:val="000000" w:themeColor="text1"/>
          <w:sz w:val="24"/>
          <w:szCs w:val="24"/>
        </w:rPr>
        <w:t>d</w:t>
      </w:r>
      <w:r w:rsidRPr="001E3C9B">
        <w:rPr>
          <w:rFonts w:ascii="Times New Roman" w:hAnsi="Times New Roman" w:cs="Times New Roman"/>
          <w:noProof/>
          <w:color w:val="000000" w:themeColor="text1"/>
          <w:sz w:val="24"/>
          <w:szCs w:val="24"/>
        </w:rPr>
        <w:t xml:space="preserve">irectorates. Plans are also ongoing to deploy a </w:t>
      </w:r>
      <w:r w:rsidR="00CF6C70">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futures scenario</w:t>
      </w:r>
      <w:r w:rsidR="00CF6C70">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exercise in line with a similar endeavour undertaken by the IAEA in 2022 on safeguards</w:t>
      </w:r>
      <w:r w:rsidR="00CF6C70">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 </w:t>
      </w:r>
      <w:r w:rsidR="00CF6C70">
        <w:rPr>
          <w:rFonts w:ascii="Times New Roman" w:hAnsi="Times New Roman" w:cs="Times New Roman"/>
          <w:noProof/>
          <w:color w:val="000000" w:themeColor="text1"/>
          <w:sz w:val="24"/>
          <w:szCs w:val="24"/>
        </w:rPr>
        <w:t>A</w:t>
      </w:r>
      <w:r w:rsidRPr="001E3C9B">
        <w:rPr>
          <w:rFonts w:ascii="Times New Roman" w:hAnsi="Times New Roman" w:cs="Times New Roman"/>
          <w:noProof/>
          <w:color w:val="000000" w:themeColor="text1"/>
          <w:sz w:val="24"/>
          <w:szCs w:val="24"/>
        </w:rPr>
        <w:t xml:space="preserve"> foresight workshop with external stakeholders </w:t>
      </w:r>
      <w:r w:rsidR="00254218">
        <w:rPr>
          <w:rFonts w:ascii="Times New Roman" w:hAnsi="Times New Roman" w:cs="Times New Roman"/>
          <w:noProof/>
          <w:color w:val="000000" w:themeColor="text1"/>
          <w:sz w:val="24"/>
          <w:szCs w:val="24"/>
        </w:rPr>
        <w:t>was</w:t>
      </w:r>
      <w:r w:rsidRPr="001E3C9B">
        <w:rPr>
          <w:rFonts w:ascii="Times New Roman" w:hAnsi="Times New Roman" w:cs="Times New Roman"/>
          <w:noProof/>
          <w:color w:val="000000" w:themeColor="text1"/>
          <w:sz w:val="24"/>
          <w:szCs w:val="24"/>
        </w:rPr>
        <w:t xml:space="preserve"> organised before the end of 2023.</w:t>
      </w:r>
    </w:p>
    <w:p w14:paraId="29D84386" w14:textId="444BC7DB" w:rsidR="009D18D0" w:rsidRPr="001E3C9B" w:rsidRDefault="009D18D0" w:rsidP="00E5270C">
      <w:pPr>
        <w:spacing w:after="120" w:line="264" w:lineRule="auto"/>
        <w:jc w:val="both"/>
        <w:rPr>
          <w:rFonts w:cs="Times New Roman"/>
          <w:i/>
          <w:noProof/>
          <w:color w:val="000000" w:themeColor="text1"/>
          <w:sz w:val="24"/>
          <w:szCs w:val="24"/>
        </w:rPr>
      </w:pPr>
      <w:r w:rsidRPr="001E3C9B">
        <w:rPr>
          <w:rFonts w:ascii="Times New Roman" w:hAnsi="Times New Roman" w:cs="Times New Roman"/>
          <w:noProof/>
          <w:color w:val="000000" w:themeColor="text1"/>
          <w:sz w:val="24"/>
          <w:szCs w:val="24"/>
        </w:rPr>
        <w:t xml:space="preserve">JRC management has </w:t>
      </w:r>
      <w:r w:rsidR="00CF6C70">
        <w:rPr>
          <w:rFonts w:ascii="Times New Roman" w:hAnsi="Times New Roman" w:cs="Times New Roman"/>
          <w:noProof/>
          <w:color w:val="000000" w:themeColor="text1"/>
          <w:sz w:val="24"/>
          <w:szCs w:val="24"/>
        </w:rPr>
        <w:t>put in place</w:t>
      </w:r>
      <w:r w:rsidR="00CF6C70"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 xml:space="preserve">flexible working mechanisms that will </w:t>
      </w:r>
      <w:r w:rsidR="00CF6C70">
        <w:rPr>
          <w:rFonts w:ascii="Times New Roman" w:hAnsi="Times New Roman" w:cs="Times New Roman"/>
          <w:noProof/>
          <w:color w:val="000000" w:themeColor="text1"/>
          <w:sz w:val="24"/>
          <w:szCs w:val="24"/>
        </w:rPr>
        <w:t>make it possible</w:t>
      </w:r>
      <w:r w:rsidR="00CF6C70"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 xml:space="preserve">to pool resources usually allocated to research, coordination or support activities </w:t>
      </w:r>
      <w:r w:rsidR="005E0FDD">
        <w:rPr>
          <w:rFonts w:ascii="Times New Roman" w:hAnsi="Times New Roman" w:cs="Times New Roman"/>
          <w:noProof/>
          <w:color w:val="000000" w:themeColor="text1"/>
          <w:sz w:val="24"/>
          <w:szCs w:val="24"/>
        </w:rPr>
        <w:t>for</w:t>
      </w:r>
      <w:r w:rsidRPr="001E3C9B">
        <w:rPr>
          <w:rFonts w:ascii="Times New Roman" w:hAnsi="Times New Roman" w:cs="Times New Roman"/>
          <w:noProof/>
          <w:color w:val="000000" w:themeColor="text1"/>
          <w:sz w:val="24"/>
          <w:szCs w:val="24"/>
        </w:rPr>
        <w:t xml:space="preserve"> </w:t>
      </w:r>
      <w:r w:rsidR="005E0FDD" w:rsidRPr="001E3C9B">
        <w:rPr>
          <w:rFonts w:ascii="Times New Roman" w:hAnsi="Times New Roman" w:cs="Times New Roman"/>
          <w:noProof/>
          <w:color w:val="000000" w:themeColor="text1"/>
          <w:sz w:val="24"/>
          <w:szCs w:val="24"/>
        </w:rPr>
        <w:t>respon</w:t>
      </w:r>
      <w:r w:rsidR="005E0FDD">
        <w:rPr>
          <w:rFonts w:ascii="Times New Roman" w:hAnsi="Times New Roman" w:cs="Times New Roman"/>
          <w:noProof/>
          <w:color w:val="000000" w:themeColor="text1"/>
          <w:sz w:val="24"/>
          <w:szCs w:val="24"/>
        </w:rPr>
        <w:t>ding</w:t>
      </w:r>
      <w:r w:rsidR="005E0FDD" w:rsidRPr="001E3C9B">
        <w:rPr>
          <w:rFonts w:ascii="Times New Roman" w:hAnsi="Times New Roman" w:cs="Times New Roman"/>
          <w:noProof/>
          <w:color w:val="000000" w:themeColor="text1"/>
          <w:sz w:val="24"/>
          <w:szCs w:val="24"/>
        </w:rPr>
        <w:t xml:space="preserve"> </w:t>
      </w:r>
      <w:r w:rsidRPr="001E3C9B">
        <w:rPr>
          <w:rFonts w:ascii="Times New Roman" w:hAnsi="Times New Roman" w:cs="Times New Roman"/>
          <w:noProof/>
          <w:color w:val="000000" w:themeColor="text1"/>
          <w:sz w:val="24"/>
          <w:szCs w:val="24"/>
        </w:rPr>
        <w:t>to unanticipated shocks.</w:t>
      </w:r>
    </w:p>
    <w:p w14:paraId="41921CB5" w14:textId="2A3F02D6" w:rsidR="00E5270C" w:rsidRPr="001E3C9B" w:rsidRDefault="00E5270C" w:rsidP="00E5270C">
      <w:pPr>
        <w:spacing w:after="120" w:line="264" w:lineRule="auto"/>
        <w:rPr>
          <w:rFonts w:ascii="Times New Roman" w:hAnsi="Times New Roman" w:cs="Times New Roman"/>
          <w:b/>
          <w:noProof/>
          <w:color w:val="000000" w:themeColor="text1"/>
          <w:sz w:val="24"/>
          <w:szCs w:val="24"/>
        </w:rPr>
      </w:pPr>
      <w:r w:rsidRPr="001E3C9B">
        <w:rPr>
          <w:rFonts w:ascii="Times New Roman" w:hAnsi="Times New Roman" w:cs="Times New Roman"/>
          <w:b/>
          <w:noProof/>
          <w:color w:val="000000" w:themeColor="text1"/>
          <w:sz w:val="24"/>
          <w:szCs w:val="24"/>
        </w:rPr>
        <w:t>Recommendation on safeguards</w:t>
      </w:r>
    </w:p>
    <w:p w14:paraId="1D64261F" w14:textId="61B8937A" w:rsidR="00E5270C" w:rsidRPr="00B977EA" w:rsidRDefault="00E5270C" w:rsidP="00E5270C">
      <w:pPr>
        <w:pStyle w:val="ListParagraph"/>
        <w:numPr>
          <w:ilvl w:val="0"/>
          <w:numId w:val="49"/>
        </w:numPr>
        <w:spacing w:after="120" w:line="264" w:lineRule="auto"/>
        <w:rPr>
          <w:rFonts w:cs="Times New Roman"/>
          <w:noProof/>
          <w:color w:val="000000" w:themeColor="text1"/>
          <w:szCs w:val="24"/>
        </w:rPr>
      </w:pPr>
      <w:r w:rsidRPr="00202402">
        <w:rPr>
          <w:rFonts w:cs="Times New Roman"/>
          <w:noProof/>
          <w:color w:val="000000" w:themeColor="text1"/>
          <w:szCs w:val="24"/>
        </w:rPr>
        <w:t>The JRC should maintain a strong research programme for nuclear safeguards and non-proliferation.</w:t>
      </w:r>
    </w:p>
    <w:p w14:paraId="261728FD" w14:textId="4E5CA342" w:rsidR="00E5270C" w:rsidRPr="00854965" w:rsidRDefault="00E5270C" w:rsidP="00E5270C">
      <w:pPr>
        <w:spacing w:after="120" w:line="264" w:lineRule="auto"/>
        <w:rPr>
          <w:rFonts w:ascii="Times New Roman" w:hAnsi="Times New Roman" w:cs="Times New Roman"/>
          <w:bCs/>
          <w:noProof/>
          <w:color w:val="000000" w:themeColor="text1"/>
          <w:sz w:val="24"/>
          <w:szCs w:val="24"/>
          <w:u w:val="single"/>
        </w:rPr>
      </w:pPr>
      <w:r w:rsidRPr="00854965">
        <w:rPr>
          <w:rFonts w:ascii="Times New Roman" w:hAnsi="Times New Roman" w:cs="Times New Roman"/>
          <w:bCs/>
          <w:noProof/>
          <w:color w:val="000000" w:themeColor="text1"/>
          <w:sz w:val="24"/>
          <w:szCs w:val="24"/>
          <w:u w:val="single"/>
        </w:rPr>
        <w:t>Commission’s response</w:t>
      </w:r>
    </w:p>
    <w:p w14:paraId="618C2E73" w14:textId="74592685" w:rsidR="00E5270C" w:rsidRPr="001E3C9B" w:rsidRDefault="00E5270C" w:rsidP="00E5270C">
      <w:pPr>
        <w:spacing w:after="120" w:line="264" w:lineRule="auto"/>
        <w:jc w:val="both"/>
        <w:rPr>
          <w:rFonts w:ascii="Times New Roman" w:hAnsi="Times New Roman" w:cs="Times New Roman"/>
          <w:noProof/>
          <w:color w:val="000000" w:themeColor="text1"/>
          <w:sz w:val="24"/>
          <w:szCs w:val="24"/>
        </w:rPr>
      </w:pPr>
      <w:r w:rsidRPr="001E3C9B">
        <w:rPr>
          <w:rFonts w:ascii="Times New Roman" w:hAnsi="Times New Roman" w:cs="Times New Roman"/>
          <w:noProof/>
          <w:color w:val="000000" w:themeColor="text1"/>
          <w:sz w:val="24"/>
          <w:szCs w:val="24"/>
        </w:rPr>
        <w:t xml:space="preserve">The experts acknowledged the essential role of the JRC in supporting and developing nuclear safeguards and non-proliferation in the EU and globally. </w:t>
      </w:r>
      <w:r w:rsidR="005E0FDD">
        <w:rPr>
          <w:rFonts w:ascii="Times New Roman" w:hAnsi="Times New Roman" w:cs="Times New Roman"/>
          <w:noProof/>
          <w:color w:val="000000" w:themeColor="text1"/>
          <w:sz w:val="24"/>
          <w:szCs w:val="24"/>
        </w:rPr>
        <w:t>Sufficient</w:t>
      </w:r>
      <w:r w:rsidR="005E0FDD" w:rsidRPr="001E3C9B">
        <w:rPr>
          <w:rFonts w:ascii="Times New Roman" w:hAnsi="Times New Roman" w:cs="Times New Roman"/>
          <w:noProof/>
          <w:color w:val="000000" w:themeColor="text1"/>
          <w:sz w:val="24"/>
          <w:szCs w:val="24"/>
        </w:rPr>
        <w:t xml:space="preserve"> </w:t>
      </w:r>
      <w:r w:rsidR="005E0FDD">
        <w:rPr>
          <w:rFonts w:ascii="Times New Roman" w:hAnsi="Times New Roman" w:cs="Times New Roman"/>
          <w:noProof/>
          <w:color w:val="000000" w:themeColor="text1"/>
          <w:sz w:val="24"/>
          <w:szCs w:val="24"/>
        </w:rPr>
        <w:t>staff</w:t>
      </w:r>
      <w:r w:rsidRPr="001E3C9B">
        <w:rPr>
          <w:rFonts w:ascii="Times New Roman" w:hAnsi="Times New Roman" w:cs="Times New Roman"/>
          <w:noProof/>
          <w:color w:val="000000" w:themeColor="text1"/>
          <w:sz w:val="24"/>
          <w:szCs w:val="24"/>
        </w:rPr>
        <w:t xml:space="preserve"> and infrastructures should therefore be ensured for the experimental work and modelling activities. The relevance of maintaining </w:t>
      </w:r>
      <w:r w:rsidR="00184585" w:rsidRPr="001E3C9B">
        <w:rPr>
          <w:rFonts w:ascii="Times New Roman" w:hAnsi="Times New Roman" w:cs="Times New Roman"/>
          <w:noProof/>
          <w:color w:val="000000" w:themeColor="text1"/>
          <w:sz w:val="24"/>
          <w:szCs w:val="24"/>
        </w:rPr>
        <w:t>a</w:t>
      </w:r>
      <w:r w:rsidRPr="001E3C9B">
        <w:rPr>
          <w:rFonts w:ascii="Times New Roman" w:hAnsi="Times New Roman" w:cs="Times New Roman"/>
          <w:noProof/>
          <w:color w:val="000000" w:themeColor="text1"/>
          <w:sz w:val="24"/>
          <w:szCs w:val="24"/>
        </w:rPr>
        <w:t xml:space="preserve"> strong research programme in safeguards is included in the </w:t>
      </w:r>
      <w:r w:rsidR="005E0FDD">
        <w:rPr>
          <w:rFonts w:ascii="Times New Roman" w:hAnsi="Times New Roman" w:cs="Times New Roman"/>
          <w:noProof/>
          <w:color w:val="000000" w:themeColor="text1"/>
          <w:sz w:val="24"/>
          <w:szCs w:val="24"/>
        </w:rPr>
        <w:t xml:space="preserve">JRC’s </w:t>
      </w:r>
      <w:r w:rsidRPr="001E3C9B">
        <w:rPr>
          <w:rFonts w:ascii="Times New Roman" w:hAnsi="Times New Roman" w:cs="Times New Roman"/>
          <w:noProof/>
          <w:color w:val="000000" w:themeColor="text1"/>
          <w:sz w:val="24"/>
          <w:szCs w:val="24"/>
        </w:rPr>
        <w:t xml:space="preserve">nuclear strategy. </w:t>
      </w:r>
      <w:r w:rsidR="00184585" w:rsidRPr="001E3C9B">
        <w:rPr>
          <w:rFonts w:ascii="Times New Roman" w:hAnsi="Times New Roman" w:cs="Times New Roman"/>
          <w:noProof/>
          <w:color w:val="000000" w:themeColor="text1"/>
          <w:sz w:val="24"/>
          <w:szCs w:val="24"/>
        </w:rPr>
        <w:t>A</w:t>
      </w:r>
      <w:r w:rsidRPr="001E3C9B">
        <w:rPr>
          <w:rFonts w:ascii="Times New Roman" w:hAnsi="Times New Roman" w:cs="Times New Roman"/>
          <w:noProof/>
          <w:color w:val="000000" w:themeColor="text1"/>
          <w:sz w:val="24"/>
          <w:szCs w:val="24"/>
        </w:rPr>
        <w:t xml:space="preserve">n important element </w:t>
      </w:r>
      <w:r w:rsidR="00184585" w:rsidRPr="001E3C9B">
        <w:rPr>
          <w:rFonts w:ascii="Times New Roman" w:hAnsi="Times New Roman" w:cs="Times New Roman"/>
          <w:noProof/>
          <w:color w:val="000000" w:themeColor="text1"/>
          <w:sz w:val="24"/>
          <w:szCs w:val="24"/>
        </w:rPr>
        <w:t>in</w:t>
      </w:r>
      <w:r w:rsidRPr="001E3C9B">
        <w:rPr>
          <w:rFonts w:ascii="Times New Roman" w:hAnsi="Times New Roman" w:cs="Times New Roman"/>
          <w:noProof/>
          <w:color w:val="000000" w:themeColor="text1"/>
          <w:sz w:val="24"/>
          <w:szCs w:val="24"/>
        </w:rPr>
        <w:t xml:space="preserve"> this capacity is the </w:t>
      </w:r>
      <w:r w:rsidR="005E0FDD">
        <w:rPr>
          <w:rFonts w:ascii="Times New Roman" w:hAnsi="Times New Roman" w:cs="Times New Roman"/>
          <w:noProof/>
          <w:color w:val="000000" w:themeColor="text1"/>
          <w:sz w:val="24"/>
          <w:szCs w:val="24"/>
        </w:rPr>
        <w:t xml:space="preserve">JRC’s </w:t>
      </w:r>
      <w:r w:rsidRPr="001E3C9B">
        <w:rPr>
          <w:rFonts w:ascii="Times New Roman" w:hAnsi="Times New Roman" w:cs="Times New Roman"/>
          <w:noProof/>
          <w:color w:val="000000" w:themeColor="text1"/>
          <w:sz w:val="24"/>
          <w:szCs w:val="24"/>
        </w:rPr>
        <w:t xml:space="preserve">direct </w:t>
      </w:r>
      <w:r w:rsidR="009D18D0" w:rsidRPr="001E3C9B">
        <w:rPr>
          <w:rFonts w:ascii="Times New Roman" w:hAnsi="Times New Roman" w:cs="Times New Roman"/>
          <w:noProof/>
          <w:color w:val="000000" w:themeColor="text1"/>
          <w:sz w:val="24"/>
          <w:szCs w:val="24"/>
        </w:rPr>
        <w:t xml:space="preserve">contribution to the Euratom </w:t>
      </w:r>
      <w:r w:rsidR="006012E8">
        <w:rPr>
          <w:rFonts w:ascii="Times New Roman" w:hAnsi="Times New Roman" w:cs="Times New Roman"/>
          <w:noProof/>
          <w:color w:val="000000" w:themeColor="text1"/>
          <w:sz w:val="24"/>
          <w:szCs w:val="24"/>
        </w:rPr>
        <w:t>s</w:t>
      </w:r>
      <w:r w:rsidR="009D18D0" w:rsidRPr="001E3C9B">
        <w:rPr>
          <w:rFonts w:ascii="Times New Roman" w:hAnsi="Times New Roman" w:cs="Times New Roman"/>
          <w:noProof/>
          <w:color w:val="000000" w:themeColor="text1"/>
          <w:sz w:val="24"/>
          <w:szCs w:val="24"/>
        </w:rPr>
        <w:t>afeguards</w:t>
      </w:r>
      <w:r w:rsidRPr="001E3C9B">
        <w:rPr>
          <w:rFonts w:ascii="Times New Roman" w:hAnsi="Times New Roman" w:cs="Times New Roman"/>
          <w:noProof/>
          <w:color w:val="000000" w:themeColor="text1"/>
          <w:sz w:val="24"/>
          <w:szCs w:val="24"/>
        </w:rPr>
        <w:t>, necessitat</w:t>
      </w:r>
      <w:r w:rsidR="00184585" w:rsidRPr="001E3C9B">
        <w:rPr>
          <w:rFonts w:ascii="Times New Roman" w:hAnsi="Times New Roman" w:cs="Times New Roman"/>
          <w:noProof/>
          <w:color w:val="000000" w:themeColor="text1"/>
          <w:sz w:val="24"/>
          <w:szCs w:val="24"/>
        </w:rPr>
        <w:t>ing</w:t>
      </w:r>
      <w:r w:rsidRPr="001E3C9B">
        <w:rPr>
          <w:rFonts w:ascii="Times New Roman" w:hAnsi="Times New Roman" w:cs="Times New Roman"/>
          <w:noProof/>
          <w:color w:val="000000" w:themeColor="text1"/>
          <w:sz w:val="24"/>
          <w:szCs w:val="24"/>
        </w:rPr>
        <w:t xml:space="preserve"> </w:t>
      </w:r>
      <w:r w:rsidR="005E0FDD">
        <w:rPr>
          <w:rFonts w:ascii="Times New Roman" w:hAnsi="Times New Roman" w:cs="Times New Roman"/>
          <w:noProof/>
          <w:color w:val="000000" w:themeColor="text1"/>
          <w:sz w:val="24"/>
          <w:szCs w:val="24"/>
        </w:rPr>
        <w:t xml:space="preserve">sufficient numbers of skilled staff </w:t>
      </w:r>
      <w:r w:rsidRPr="001E3C9B">
        <w:rPr>
          <w:rFonts w:ascii="Times New Roman" w:hAnsi="Times New Roman" w:cs="Times New Roman"/>
          <w:noProof/>
          <w:color w:val="000000" w:themeColor="text1"/>
          <w:sz w:val="24"/>
          <w:szCs w:val="24"/>
        </w:rPr>
        <w:t>and experimental infrastructure availability. Due to the budget reduction and pressure put on staff availability, the nuclear strategy intends to</w:t>
      </w:r>
      <w:r w:rsidR="009D18D0" w:rsidRPr="001E3C9B">
        <w:rPr>
          <w:rFonts w:ascii="Times New Roman" w:hAnsi="Times New Roman" w:cs="Times New Roman"/>
          <w:noProof/>
          <w:color w:val="000000" w:themeColor="text1"/>
          <w:sz w:val="24"/>
          <w:szCs w:val="24"/>
        </w:rPr>
        <w:t xml:space="preserve"> concentrate all</w:t>
      </w:r>
      <w:r w:rsidRPr="001E3C9B">
        <w:rPr>
          <w:rFonts w:ascii="Times New Roman" w:hAnsi="Times New Roman" w:cs="Times New Roman"/>
          <w:noProof/>
          <w:color w:val="000000" w:themeColor="text1"/>
          <w:sz w:val="24"/>
          <w:szCs w:val="24"/>
        </w:rPr>
        <w:t xml:space="preserve"> experimental activities and laboratories used </w:t>
      </w:r>
      <w:r w:rsidR="00476DAE" w:rsidRPr="001E3C9B">
        <w:rPr>
          <w:rFonts w:ascii="Times New Roman" w:hAnsi="Times New Roman" w:cs="Times New Roman"/>
          <w:noProof/>
          <w:color w:val="000000" w:themeColor="text1"/>
          <w:sz w:val="24"/>
          <w:szCs w:val="24"/>
        </w:rPr>
        <w:t>with nuclear and radioactive materials</w:t>
      </w:r>
      <w:r w:rsidRPr="001E3C9B">
        <w:rPr>
          <w:rFonts w:ascii="Times New Roman" w:hAnsi="Times New Roman" w:cs="Times New Roman"/>
          <w:noProof/>
          <w:color w:val="000000" w:themeColor="text1"/>
          <w:sz w:val="24"/>
          <w:szCs w:val="24"/>
        </w:rPr>
        <w:t xml:space="preserve"> </w:t>
      </w:r>
      <w:r w:rsidR="00054C9D">
        <w:rPr>
          <w:rFonts w:ascii="Times New Roman" w:hAnsi="Times New Roman" w:cs="Times New Roman"/>
          <w:noProof/>
          <w:color w:val="000000" w:themeColor="text1"/>
          <w:sz w:val="24"/>
          <w:szCs w:val="24"/>
        </w:rPr>
        <w:t>o</w:t>
      </w:r>
      <w:r w:rsidRPr="001E3C9B">
        <w:rPr>
          <w:rFonts w:ascii="Times New Roman" w:hAnsi="Times New Roman" w:cs="Times New Roman"/>
          <w:noProof/>
          <w:color w:val="000000" w:themeColor="text1"/>
          <w:sz w:val="24"/>
          <w:szCs w:val="24"/>
        </w:rPr>
        <w:t xml:space="preserve">n two research sites (Karlsruhe and Geel) and will evaluate opportunities for joint implementation of activities with </w:t>
      </w:r>
      <w:r w:rsidR="00476DAE" w:rsidRPr="001E3C9B">
        <w:rPr>
          <w:rFonts w:ascii="Times New Roman" w:hAnsi="Times New Roman" w:cs="Times New Roman"/>
          <w:noProof/>
          <w:color w:val="000000" w:themeColor="text1"/>
          <w:sz w:val="24"/>
          <w:szCs w:val="24"/>
        </w:rPr>
        <w:t xml:space="preserve">Euratom </w:t>
      </w:r>
      <w:r w:rsidR="006012E8">
        <w:rPr>
          <w:rFonts w:ascii="Times New Roman" w:hAnsi="Times New Roman" w:cs="Times New Roman"/>
          <w:noProof/>
          <w:color w:val="000000" w:themeColor="text1"/>
          <w:sz w:val="24"/>
          <w:szCs w:val="24"/>
        </w:rPr>
        <w:t>s</w:t>
      </w:r>
      <w:r w:rsidR="00476DAE" w:rsidRPr="001E3C9B">
        <w:rPr>
          <w:rFonts w:ascii="Times New Roman" w:hAnsi="Times New Roman" w:cs="Times New Roman"/>
          <w:noProof/>
          <w:color w:val="000000" w:themeColor="text1"/>
          <w:sz w:val="24"/>
          <w:szCs w:val="24"/>
        </w:rPr>
        <w:t>afeguards</w:t>
      </w:r>
      <w:r w:rsidRPr="001E3C9B">
        <w:rPr>
          <w:rFonts w:ascii="Times New Roman" w:hAnsi="Times New Roman" w:cs="Times New Roman"/>
          <w:noProof/>
          <w:color w:val="000000" w:themeColor="text1"/>
          <w:sz w:val="24"/>
          <w:szCs w:val="24"/>
        </w:rPr>
        <w:t>.</w:t>
      </w:r>
    </w:p>
    <w:p w14:paraId="1749DDAC" w14:textId="2C698A69" w:rsidR="007149FD" w:rsidRPr="00476DAE" w:rsidRDefault="00E5270C" w:rsidP="007C4BD5">
      <w:pPr>
        <w:spacing w:after="120" w:line="264" w:lineRule="auto"/>
        <w:jc w:val="both"/>
        <w:rPr>
          <w:rFonts w:ascii="Times New Roman" w:hAnsi="Times New Roman" w:cs="Times New Roman"/>
          <w:noProof/>
        </w:rPr>
      </w:pPr>
      <w:r w:rsidRPr="001E3C9B">
        <w:rPr>
          <w:rFonts w:ascii="Times New Roman" w:hAnsi="Times New Roman" w:cs="Times New Roman"/>
          <w:noProof/>
          <w:color w:val="000000" w:themeColor="text1"/>
          <w:sz w:val="24"/>
          <w:szCs w:val="24"/>
        </w:rPr>
        <w:t xml:space="preserve">The JRC maintains a strong research programme for safeguards and non-proliferation by interacting with relevant key players in the EU through networking and collaboration within </w:t>
      </w:r>
      <w:r w:rsidR="005E0FDD" w:rsidRPr="001E3C9B">
        <w:rPr>
          <w:rFonts w:ascii="Times New Roman" w:hAnsi="Times New Roman"/>
          <w:noProof/>
          <w:color w:val="000000" w:themeColor="text1"/>
          <w:sz w:val="24"/>
          <w:szCs w:val="24"/>
        </w:rPr>
        <w:t>the European Safeguards Research and Development Association</w:t>
      </w:r>
      <w:r w:rsidRPr="001E3C9B">
        <w:rPr>
          <w:rFonts w:ascii="Times New Roman" w:hAnsi="Times New Roman" w:cs="Times New Roman"/>
          <w:noProof/>
          <w:color w:val="000000" w:themeColor="text1"/>
          <w:sz w:val="24"/>
          <w:szCs w:val="24"/>
        </w:rPr>
        <w:t xml:space="preserve">. </w:t>
      </w:r>
      <w:r w:rsidR="003C1717">
        <w:rPr>
          <w:rFonts w:ascii="Times New Roman" w:hAnsi="Times New Roman" w:cs="Times New Roman"/>
          <w:noProof/>
          <w:color w:val="000000" w:themeColor="text1"/>
          <w:sz w:val="24"/>
          <w:szCs w:val="24"/>
        </w:rPr>
        <w:t>The JRC also provides s</w:t>
      </w:r>
      <w:r w:rsidRPr="001E3C9B">
        <w:rPr>
          <w:rFonts w:ascii="Times New Roman" w:hAnsi="Times New Roman" w:cs="Times New Roman"/>
          <w:noProof/>
          <w:color w:val="000000" w:themeColor="text1"/>
          <w:sz w:val="24"/>
          <w:szCs w:val="24"/>
        </w:rPr>
        <w:t>ignificant scientific and technical support to the IAEA through the European Commission</w:t>
      </w:r>
      <w:r w:rsidR="003C1717">
        <w:rPr>
          <w:rFonts w:ascii="Times New Roman" w:hAnsi="Times New Roman" w:cs="Times New Roman"/>
          <w:noProof/>
          <w:color w:val="000000" w:themeColor="text1"/>
          <w:sz w:val="24"/>
          <w:szCs w:val="24"/>
        </w:rPr>
        <w:t>’s</w:t>
      </w:r>
      <w:r w:rsidRPr="001E3C9B">
        <w:rPr>
          <w:rFonts w:ascii="Times New Roman" w:hAnsi="Times New Roman" w:cs="Times New Roman"/>
          <w:noProof/>
          <w:color w:val="000000" w:themeColor="text1"/>
          <w:sz w:val="24"/>
          <w:szCs w:val="24"/>
        </w:rPr>
        <w:t xml:space="preserve"> dedicated </w:t>
      </w:r>
      <w:r w:rsidR="00184585" w:rsidRPr="001E3C9B">
        <w:rPr>
          <w:rFonts w:ascii="Times New Roman" w:hAnsi="Times New Roman" w:cs="Times New Roman"/>
          <w:noProof/>
          <w:color w:val="000000" w:themeColor="text1"/>
          <w:sz w:val="24"/>
          <w:szCs w:val="24"/>
        </w:rPr>
        <w:t>s</w:t>
      </w:r>
      <w:r w:rsidRPr="001E3C9B">
        <w:rPr>
          <w:rFonts w:ascii="Times New Roman" w:hAnsi="Times New Roman" w:cs="Times New Roman"/>
          <w:noProof/>
          <w:color w:val="000000" w:themeColor="text1"/>
          <w:sz w:val="24"/>
          <w:szCs w:val="24"/>
        </w:rPr>
        <w:t xml:space="preserve">upport </w:t>
      </w:r>
      <w:r w:rsidR="00184585" w:rsidRPr="001E3C9B">
        <w:rPr>
          <w:rFonts w:ascii="Times New Roman" w:hAnsi="Times New Roman" w:cs="Times New Roman"/>
          <w:noProof/>
          <w:color w:val="000000" w:themeColor="text1"/>
          <w:sz w:val="24"/>
          <w:szCs w:val="24"/>
        </w:rPr>
        <w:t>p</w:t>
      </w:r>
      <w:r w:rsidRPr="001E3C9B">
        <w:rPr>
          <w:rFonts w:ascii="Times New Roman" w:hAnsi="Times New Roman" w:cs="Times New Roman"/>
          <w:noProof/>
          <w:color w:val="000000" w:themeColor="text1"/>
          <w:sz w:val="24"/>
          <w:szCs w:val="24"/>
        </w:rPr>
        <w:t>rogramme on safeguards. In the area of non-proliferation, the JRC provides expertise on strategic trade</w:t>
      </w:r>
      <w:r w:rsidR="003C1717">
        <w:rPr>
          <w:rFonts w:ascii="Times New Roman" w:hAnsi="Times New Roman" w:cs="Times New Roman"/>
          <w:noProof/>
          <w:color w:val="000000" w:themeColor="text1"/>
          <w:sz w:val="24"/>
          <w:szCs w:val="24"/>
        </w:rPr>
        <w:t>-</w:t>
      </w:r>
      <w:r w:rsidRPr="001E3C9B">
        <w:rPr>
          <w:rFonts w:ascii="Times New Roman" w:hAnsi="Times New Roman" w:cs="Times New Roman"/>
          <w:noProof/>
          <w:color w:val="000000" w:themeColor="text1"/>
          <w:sz w:val="24"/>
          <w:szCs w:val="24"/>
        </w:rPr>
        <w:t xml:space="preserve">control issues and </w:t>
      </w:r>
      <w:r w:rsidR="006A1ADC">
        <w:rPr>
          <w:rFonts w:ascii="Times New Roman" w:hAnsi="Times New Roman" w:cs="Times New Roman"/>
          <w:noProof/>
          <w:color w:val="000000" w:themeColor="text1"/>
          <w:sz w:val="24"/>
          <w:szCs w:val="24"/>
        </w:rPr>
        <w:t>further integrates work between</w:t>
      </w:r>
      <w:r w:rsidR="003C1717">
        <w:rPr>
          <w:rFonts w:ascii="Times New Roman" w:hAnsi="Times New Roman" w:cs="Times New Roman"/>
          <w:noProof/>
          <w:color w:val="000000" w:themeColor="text1"/>
          <w:sz w:val="24"/>
          <w:szCs w:val="24"/>
        </w:rPr>
        <w:t xml:space="preserve"> </w:t>
      </w:r>
      <w:r w:rsidR="006A1ADC">
        <w:rPr>
          <w:rFonts w:ascii="Times New Roman" w:hAnsi="Times New Roman" w:cs="Times New Roman"/>
          <w:noProof/>
          <w:color w:val="000000" w:themeColor="text1"/>
          <w:sz w:val="24"/>
          <w:szCs w:val="24"/>
        </w:rPr>
        <w:t xml:space="preserve">the nuclear and </w:t>
      </w:r>
      <w:r w:rsidRPr="001E3C9B">
        <w:rPr>
          <w:rFonts w:ascii="Times New Roman" w:hAnsi="Times New Roman" w:cs="Times New Roman"/>
          <w:noProof/>
          <w:color w:val="000000" w:themeColor="text1"/>
          <w:sz w:val="24"/>
          <w:szCs w:val="24"/>
        </w:rPr>
        <w:t>non-nuclear part</w:t>
      </w:r>
      <w:r w:rsidR="006A1ADC">
        <w:rPr>
          <w:rFonts w:ascii="Times New Roman" w:hAnsi="Times New Roman" w:cs="Times New Roman"/>
          <w:noProof/>
          <w:color w:val="000000" w:themeColor="text1"/>
          <w:sz w:val="24"/>
          <w:szCs w:val="24"/>
        </w:rPr>
        <w:t>s</w:t>
      </w:r>
      <w:r w:rsidRPr="001E3C9B">
        <w:rPr>
          <w:rFonts w:ascii="Times New Roman" w:hAnsi="Times New Roman" w:cs="Times New Roman"/>
          <w:noProof/>
          <w:color w:val="000000" w:themeColor="text1"/>
          <w:sz w:val="24"/>
          <w:szCs w:val="24"/>
        </w:rPr>
        <w:t xml:space="preserve"> of its work programme.</w:t>
      </w:r>
      <w:r w:rsidR="001E3C9B" w:rsidRPr="001E3C9B" w:rsidDel="001E3C9B">
        <w:rPr>
          <w:rFonts w:ascii="Times New Roman" w:hAnsi="Times New Roman" w:cs="Times New Roman"/>
          <w:noProof/>
          <w:color w:val="000000" w:themeColor="text1"/>
          <w:sz w:val="24"/>
          <w:szCs w:val="24"/>
        </w:rPr>
        <w:t xml:space="preserve"> </w:t>
      </w:r>
    </w:p>
    <w:sectPr w:rsidR="007149FD" w:rsidRPr="00476DAE" w:rsidSect="00A227AC">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34D93" w14:textId="77777777" w:rsidR="00046822" w:rsidRDefault="00046822">
      <w:pPr>
        <w:spacing w:after="0" w:line="240" w:lineRule="auto"/>
      </w:pPr>
      <w:r>
        <w:separator/>
      </w:r>
    </w:p>
  </w:endnote>
  <w:endnote w:type="continuationSeparator" w:id="0">
    <w:p w14:paraId="1BB7A20F" w14:textId="77777777" w:rsidR="00046822" w:rsidRDefault="0004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Body)">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Pro">
    <w:altName w:val="Bahnschrift Light"/>
    <w:charset w:val="00"/>
    <w:family w:val="swiss"/>
    <w:pitch w:val="variable"/>
    <w:sig w:usb0="00000001"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AF3A8" w14:textId="08384F1C" w:rsidR="00933DC6" w:rsidRPr="00933DC6" w:rsidRDefault="00933DC6" w:rsidP="00933DC6">
    <w:pPr>
      <w:pStyle w:val="FooterCoverPage"/>
      <w:rPr>
        <w:rFonts w:ascii="Arial" w:hAnsi="Arial" w:cs="Arial"/>
        <w:b/>
        <w:sz w:val="48"/>
      </w:rPr>
    </w:pPr>
    <w:r w:rsidRPr="00933DC6">
      <w:rPr>
        <w:rFonts w:ascii="Arial" w:hAnsi="Arial" w:cs="Arial"/>
        <w:b/>
        <w:sz w:val="48"/>
      </w:rPr>
      <w:t>EN</w:t>
    </w:r>
    <w:r w:rsidRPr="00933DC6">
      <w:rPr>
        <w:rFonts w:ascii="Arial" w:hAnsi="Arial" w:cs="Arial"/>
        <w:b/>
        <w:sz w:val="48"/>
      </w:rPr>
      <w:tab/>
    </w:r>
    <w:r w:rsidRPr="00933DC6">
      <w:rPr>
        <w:rFonts w:ascii="Arial" w:hAnsi="Arial" w:cs="Arial"/>
        <w:b/>
        <w:sz w:val="48"/>
      </w:rPr>
      <w:tab/>
    </w:r>
    <w:r w:rsidRPr="00933DC6">
      <w:tab/>
    </w:r>
    <w:r w:rsidRPr="00933DC6">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F518F" w14:textId="0E0FED46" w:rsidR="00933DC6" w:rsidRPr="00933DC6" w:rsidRDefault="00933DC6" w:rsidP="00933DC6">
    <w:pPr>
      <w:pStyle w:val="FooterCoverPage"/>
      <w:rPr>
        <w:rFonts w:ascii="Arial" w:hAnsi="Arial" w:cs="Arial"/>
        <w:b/>
        <w:sz w:val="48"/>
      </w:rPr>
    </w:pPr>
    <w:r w:rsidRPr="00933DC6">
      <w:rPr>
        <w:rFonts w:ascii="Arial" w:hAnsi="Arial" w:cs="Arial"/>
        <w:b/>
        <w:sz w:val="48"/>
      </w:rPr>
      <w:t>EN</w:t>
    </w:r>
    <w:r w:rsidRPr="00933DC6">
      <w:rPr>
        <w:rFonts w:ascii="Arial" w:hAnsi="Arial" w:cs="Arial"/>
        <w:b/>
        <w:sz w:val="48"/>
      </w:rPr>
      <w:tab/>
    </w:r>
    <w:r w:rsidRPr="00933DC6">
      <w:rPr>
        <w:rFonts w:ascii="Arial" w:hAnsi="Arial" w:cs="Arial"/>
        <w:b/>
        <w:sz w:val="48"/>
      </w:rPr>
      <w:tab/>
    </w:r>
    <w:r w:rsidRPr="00933DC6">
      <w:tab/>
    </w:r>
    <w:r w:rsidRPr="00933DC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CCEC6" w14:textId="77777777" w:rsidR="00933DC6" w:rsidRPr="00933DC6" w:rsidRDefault="00933DC6" w:rsidP="00933DC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D2F8F" w14:textId="77777777" w:rsidR="00F8691B" w:rsidRDefault="00F869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06357"/>
      <w:docPartObj>
        <w:docPartGallery w:val="Page Numbers (Bottom of Page)"/>
        <w:docPartUnique/>
      </w:docPartObj>
    </w:sdtPr>
    <w:sdtEndPr>
      <w:rPr>
        <w:noProof/>
      </w:rPr>
    </w:sdtEndPr>
    <w:sdtContent>
      <w:p w14:paraId="4A7E2152" w14:textId="60C1822C" w:rsidR="00A227AC" w:rsidRDefault="00A227AC">
        <w:pPr>
          <w:pStyle w:val="Footer"/>
          <w:jc w:val="center"/>
        </w:pPr>
        <w:r>
          <w:fldChar w:fldCharType="begin"/>
        </w:r>
        <w:r>
          <w:instrText xml:space="preserve"> PAGE   \* MERGEFORMAT </w:instrText>
        </w:r>
        <w:r>
          <w:fldChar w:fldCharType="separate"/>
        </w:r>
        <w:r w:rsidR="00933DC6">
          <w:rPr>
            <w:noProof/>
          </w:rPr>
          <w:t>1</w:t>
        </w:r>
        <w:r>
          <w:rPr>
            <w:noProof/>
          </w:rPr>
          <w:fldChar w:fldCharType="end"/>
        </w:r>
      </w:p>
    </w:sdtContent>
  </w:sdt>
  <w:p w14:paraId="4373B5B0" w14:textId="77777777" w:rsidR="00F8691B" w:rsidRDefault="00F869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ACC07" w14:textId="77777777" w:rsidR="00F8691B" w:rsidRDefault="00F86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A00DB" w14:textId="77777777" w:rsidR="00046822" w:rsidRDefault="00046822">
      <w:pPr>
        <w:spacing w:after="0" w:line="240" w:lineRule="auto"/>
      </w:pPr>
      <w:r>
        <w:separator/>
      </w:r>
    </w:p>
  </w:footnote>
  <w:footnote w:type="continuationSeparator" w:id="0">
    <w:p w14:paraId="7F8E471E" w14:textId="77777777" w:rsidR="00046822" w:rsidRDefault="00046822">
      <w:pPr>
        <w:spacing w:after="0" w:line="240" w:lineRule="auto"/>
      </w:pPr>
      <w:r>
        <w:continuationSeparator/>
      </w:r>
    </w:p>
  </w:footnote>
  <w:footnote w:id="1">
    <w:p w14:paraId="55D88AEE" w14:textId="012BAD9D" w:rsidR="001D3751" w:rsidRPr="00CA0802" w:rsidRDefault="001D3751" w:rsidP="007C4BD5">
      <w:pPr>
        <w:pStyle w:val="FootnoteText"/>
        <w:spacing w:after="0"/>
        <w:rPr>
          <w:lang w:val="mt-MT"/>
        </w:rPr>
      </w:pPr>
      <w:r>
        <w:rPr>
          <w:rStyle w:val="FootnoteReference"/>
        </w:rPr>
        <w:footnoteRef/>
      </w:r>
      <w:r>
        <w:t xml:space="preserve"> </w:t>
      </w:r>
      <w:r>
        <w:tab/>
      </w:r>
      <w:r w:rsidRPr="001D3751">
        <w:t>Council Regulation (Euratom) No 1314/2013 of 16 December 2013 on the Research and Training Programme of the European Atomic Energy Community (2014-2018) complementing the Horizon 2020 Framework Programme for Research and Innovation (OJ L 347, 20.12.2013, p. 948)</w:t>
      </w:r>
      <w:r>
        <w:rPr>
          <w:lang w:val="mt-MT"/>
        </w:rPr>
        <w:t>.</w:t>
      </w:r>
    </w:p>
  </w:footnote>
  <w:footnote w:id="2">
    <w:p w14:paraId="54AE1044" w14:textId="67EFAA0B" w:rsidR="001D3751" w:rsidRPr="00CA0802" w:rsidRDefault="001D3751" w:rsidP="007C4BD5">
      <w:pPr>
        <w:pStyle w:val="FootnoteText"/>
        <w:spacing w:after="0"/>
        <w:rPr>
          <w:lang w:val="mt-MT"/>
        </w:rPr>
      </w:pPr>
      <w:r>
        <w:rPr>
          <w:rStyle w:val="FootnoteReference"/>
        </w:rPr>
        <w:footnoteRef/>
      </w:r>
      <w:r>
        <w:t xml:space="preserve"> </w:t>
      </w:r>
      <w:r>
        <w:rPr>
          <w:lang w:val="mt-MT"/>
        </w:rPr>
        <w:tab/>
      </w:r>
      <w:r w:rsidRPr="001D3751">
        <w:t>Council Regulation (Euratom) 2018/1563 of 15 October 2018 on the Research and Training Programme of the European Atomic Energy Community (2019</w:t>
      </w:r>
      <w:r w:rsidR="0035597E">
        <w:t>-</w:t>
      </w:r>
      <w:r w:rsidRPr="001D3751">
        <w:t>2020) complementing the Horizon 2020 Framework Programme for Research and Innovation, and repealing Regulation (Euratom) No 1314/2013 (OJ L 262, 19.10.2018, p. 1).</w:t>
      </w:r>
    </w:p>
  </w:footnote>
  <w:footnote w:id="3">
    <w:p w14:paraId="290447D5" w14:textId="25311DAA" w:rsidR="00700A71" w:rsidRDefault="00700A71" w:rsidP="007C4BD5">
      <w:pPr>
        <w:pStyle w:val="FootnoteText"/>
        <w:spacing w:after="0"/>
      </w:pPr>
      <w:r>
        <w:rPr>
          <w:rStyle w:val="FootnoteReference"/>
        </w:rPr>
        <w:footnoteRef/>
      </w:r>
      <w:r>
        <w:t xml:space="preserve"> </w:t>
      </w:r>
      <w:r w:rsidR="00D10060">
        <w:tab/>
      </w:r>
      <w:r w:rsidR="00D10060">
        <w:rPr>
          <w:lang w:val="mt-MT"/>
        </w:rPr>
        <w:t xml:space="preserve">Article 7 of the Euratom Treaty, which is the legal basis for research and training programmes, places a </w:t>
      </w:r>
      <w:r w:rsidR="0035597E">
        <w:rPr>
          <w:lang w:val="mt-MT"/>
        </w:rPr>
        <w:t>5-</w:t>
      </w:r>
      <w:r w:rsidR="00D10060">
        <w:rPr>
          <w:lang w:val="mt-MT"/>
        </w:rPr>
        <w:t xml:space="preserve">year limit on the length of these programmes. For this reason, </w:t>
      </w:r>
      <w:r w:rsidR="0035597E">
        <w:rPr>
          <w:lang w:val="mt-MT"/>
        </w:rPr>
        <w:t>i</w:t>
      </w:r>
      <w:r w:rsidR="00D10060">
        <w:rPr>
          <w:lang w:val="mt-MT"/>
        </w:rPr>
        <w:t xml:space="preserve">n order to follow the </w:t>
      </w:r>
      <w:r w:rsidR="0035597E">
        <w:rPr>
          <w:lang w:val="mt-MT"/>
        </w:rPr>
        <w:t>7</w:t>
      </w:r>
      <w:r w:rsidR="00D10060">
        <w:rPr>
          <w:lang w:val="mt-MT"/>
        </w:rPr>
        <w:t xml:space="preserve">-year cycle of the EU’s </w:t>
      </w:r>
      <w:r w:rsidR="00A5166E">
        <w:rPr>
          <w:lang w:val="mt-MT"/>
        </w:rPr>
        <w:t>m</w:t>
      </w:r>
      <w:r w:rsidR="00D10060">
        <w:rPr>
          <w:lang w:val="mt-MT"/>
        </w:rPr>
        <w:t xml:space="preserve">ultiannual </w:t>
      </w:r>
      <w:r w:rsidR="00A5166E">
        <w:rPr>
          <w:lang w:val="mt-MT"/>
        </w:rPr>
        <w:t>f</w:t>
      </w:r>
      <w:r w:rsidR="00D10060">
        <w:rPr>
          <w:lang w:val="mt-MT"/>
        </w:rPr>
        <w:t xml:space="preserve">inancial </w:t>
      </w:r>
      <w:r w:rsidR="00A5166E">
        <w:rPr>
          <w:lang w:val="mt-MT"/>
        </w:rPr>
        <w:t>f</w:t>
      </w:r>
      <w:r w:rsidR="00D10060">
        <w:rPr>
          <w:lang w:val="mt-MT"/>
        </w:rPr>
        <w:t xml:space="preserve">ramework, Euratom programmes are proposed first as a </w:t>
      </w:r>
      <w:r w:rsidR="0035597E">
        <w:rPr>
          <w:lang w:val="mt-MT"/>
        </w:rPr>
        <w:t>5</w:t>
      </w:r>
      <w:r w:rsidR="00D10060">
        <w:rPr>
          <w:lang w:val="mt-MT"/>
        </w:rPr>
        <w:t xml:space="preserve">-year programme followed by a </w:t>
      </w:r>
      <w:r w:rsidR="0035597E">
        <w:rPr>
          <w:lang w:val="mt-MT"/>
        </w:rPr>
        <w:t>2</w:t>
      </w:r>
      <w:r w:rsidR="00D10060">
        <w:rPr>
          <w:lang w:val="mt-MT"/>
        </w:rPr>
        <w:t>-year programme.</w:t>
      </w:r>
    </w:p>
  </w:footnote>
  <w:footnote w:id="4">
    <w:p w14:paraId="0E14410E" w14:textId="07D46678" w:rsidR="006950E5" w:rsidRDefault="006950E5" w:rsidP="0049795C">
      <w:pPr>
        <w:pStyle w:val="FootnoteText"/>
        <w:spacing w:after="0"/>
      </w:pPr>
      <w:r>
        <w:rPr>
          <w:rStyle w:val="FootnoteReference"/>
        </w:rPr>
        <w:footnoteRef/>
      </w:r>
      <w:r>
        <w:t xml:space="preserve"> </w:t>
      </w:r>
      <w:r>
        <w:tab/>
      </w:r>
      <w:r w:rsidRPr="001D3751">
        <w:t xml:space="preserve">Art. 22(1) of Council Regulation (Euratom) </w:t>
      </w:r>
      <w:r w:rsidR="00835868">
        <w:t xml:space="preserve">No </w:t>
      </w:r>
      <w:r w:rsidRPr="00194DCD">
        <w:t>1314/2013</w:t>
      </w:r>
      <w:r>
        <w:t xml:space="preserve"> </w:t>
      </w:r>
      <w:r w:rsidRPr="001D3751">
        <w:t xml:space="preserve">and Art. 22(1) of Council Regulation (Euratom) </w:t>
      </w:r>
      <w:r w:rsidR="00835868">
        <w:t xml:space="preserve">No </w:t>
      </w:r>
      <w:r w:rsidRPr="001D3751">
        <w:t>2018/1563</w:t>
      </w:r>
      <w:r>
        <w:rPr>
          <w:lang w:val="mt-MT"/>
        </w:rPr>
        <w:t>.</w:t>
      </w:r>
    </w:p>
  </w:footnote>
  <w:footnote w:id="5">
    <w:p w14:paraId="61774A67" w14:textId="77777777" w:rsidR="00886523" w:rsidRPr="00F05D17" w:rsidRDefault="00886523" w:rsidP="00886523">
      <w:pPr>
        <w:pStyle w:val="FootnoteText"/>
        <w:spacing w:after="0"/>
        <w:rPr>
          <w:lang w:val="mt-MT"/>
        </w:rPr>
      </w:pPr>
      <w:r>
        <w:rPr>
          <w:rStyle w:val="FootnoteReference"/>
        </w:rPr>
        <w:footnoteRef/>
      </w:r>
      <w:r>
        <w:t xml:space="preserve"> </w:t>
      </w:r>
      <w:r>
        <w:tab/>
      </w:r>
      <w:r>
        <w:rPr>
          <w:lang w:val="mt-MT"/>
        </w:rPr>
        <w:t>Since Horizon Europe and the Euratom Programme 2021-2025, EJPs have been renamed European Partnerships. The terminology used in the Euratom Programmes 2014-2020 is retained here.</w:t>
      </w:r>
    </w:p>
  </w:footnote>
  <w:footnote w:id="6">
    <w:p w14:paraId="0B4FE87B" w14:textId="4EF3026B" w:rsidR="00E663CA" w:rsidRPr="00C7423D" w:rsidRDefault="00E663CA">
      <w:pPr>
        <w:pStyle w:val="FootnoteText"/>
        <w:rPr>
          <w:lang w:val="en-IE"/>
        </w:rPr>
      </w:pPr>
      <w:r>
        <w:rPr>
          <w:rStyle w:val="FootnoteReference"/>
        </w:rPr>
        <w:footnoteRef/>
      </w:r>
      <w:r>
        <w:t xml:space="preserve"> </w:t>
      </w:r>
      <w:r>
        <w:tab/>
        <w:t xml:space="preserve">See </w:t>
      </w:r>
      <w:r w:rsidRPr="00E663CA">
        <w:t>https://www.iter.org/</w:t>
      </w:r>
    </w:p>
  </w:footnote>
  <w:footnote w:id="7">
    <w:p w14:paraId="385219C5" w14:textId="7711F454" w:rsidR="00E5270C" w:rsidRPr="00011279" w:rsidRDefault="00E5270C" w:rsidP="007C4BD5">
      <w:pPr>
        <w:pStyle w:val="FootnoteText"/>
        <w:spacing w:after="0"/>
      </w:pPr>
      <w:r>
        <w:rPr>
          <w:rStyle w:val="FootnoteReference"/>
        </w:rPr>
        <w:footnoteRef/>
      </w:r>
      <w:r>
        <w:t xml:space="preserve"> </w:t>
      </w:r>
      <w:r>
        <w:tab/>
      </w:r>
      <w:r w:rsidRPr="00AF7E79">
        <w:t>Council Directive 2006/117/Euratom of 20 November 2006 on the supervision and control of shipments of radioactive waste and spent fuel</w:t>
      </w:r>
      <w:r w:rsidR="00682412">
        <w:t>.</w:t>
      </w:r>
    </w:p>
  </w:footnote>
  <w:footnote w:id="8">
    <w:p w14:paraId="0EB13BAA" w14:textId="62A0D5F9" w:rsidR="00E5270C" w:rsidRPr="00011279" w:rsidRDefault="00E5270C" w:rsidP="007C4BD5">
      <w:pPr>
        <w:pStyle w:val="FootnoteText"/>
        <w:spacing w:after="0"/>
      </w:pPr>
      <w:r>
        <w:rPr>
          <w:rStyle w:val="FootnoteReference"/>
        </w:rPr>
        <w:footnoteRef/>
      </w:r>
      <w:r>
        <w:t xml:space="preserve"> </w:t>
      </w:r>
      <w:r>
        <w:tab/>
      </w:r>
      <w:r w:rsidRPr="00AF7E79">
        <w:t>Council Regulation (Euratom) No 237/2014 of 13 December 2013 establishing an Instrument for Nuclear Safety Cooperation</w:t>
      </w:r>
      <w:r w:rsidR="00682412">
        <w:t>.</w:t>
      </w:r>
    </w:p>
  </w:footnote>
  <w:footnote w:id="9">
    <w:p w14:paraId="669945D2" w14:textId="14EC1506" w:rsidR="00E5270C" w:rsidRPr="00011279" w:rsidRDefault="00E5270C" w:rsidP="007C4BD5">
      <w:pPr>
        <w:pStyle w:val="FootnoteText"/>
        <w:spacing w:after="0"/>
      </w:pPr>
      <w:r>
        <w:rPr>
          <w:rStyle w:val="FootnoteReference"/>
        </w:rPr>
        <w:footnoteRef/>
      </w:r>
      <w:r>
        <w:t xml:space="preserve"> </w:t>
      </w:r>
      <w:r>
        <w:tab/>
        <w:t>Regulation (EU) No 230/2014 of the European Parliament and of the Council of 11 March 2014 establishing an instrument contributing to stability and peace</w:t>
      </w:r>
      <w:r w:rsidR="00682412">
        <w:t>.</w:t>
      </w:r>
    </w:p>
  </w:footnote>
  <w:footnote w:id="10">
    <w:p w14:paraId="30E3E5FD" w14:textId="7DCFB4FD" w:rsidR="00F7612C" w:rsidRPr="00F7612C" w:rsidRDefault="00F7612C" w:rsidP="007C4BD5">
      <w:pPr>
        <w:pStyle w:val="FootnoteText"/>
        <w:spacing w:after="0"/>
        <w:rPr>
          <w:lang w:val="mt-MT"/>
        </w:rPr>
      </w:pPr>
      <w:r>
        <w:rPr>
          <w:rStyle w:val="FootnoteReference"/>
        </w:rPr>
        <w:footnoteRef/>
      </w:r>
      <w:r>
        <w:t xml:space="preserve"> </w:t>
      </w:r>
      <w:r>
        <w:tab/>
      </w:r>
      <w:r w:rsidRPr="00F7612C">
        <w:t>For more details see accompanying Staff Working Documents</w:t>
      </w:r>
      <w:r>
        <w:rPr>
          <w:lang w:val="mt-MT"/>
        </w:rPr>
        <w:t>.</w:t>
      </w:r>
    </w:p>
  </w:footnote>
  <w:footnote w:id="11">
    <w:p w14:paraId="428A76D9" w14:textId="4B0B9A29" w:rsidR="00F84C2E" w:rsidRPr="00F84C2E" w:rsidRDefault="00F84C2E">
      <w:pPr>
        <w:pStyle w:val="FootnoteText"/>
      </w:pPr>
      <w:r>
        <w:rPr>
          <w:rStyle w:val="FootnoteReference"/>
        </w:rPr>
        <w:footnoteRef/>
      </w:r>
      <w:r>
        <w:t xml:space="preserve"> The DEMOnstration power plant, for more information see </w:t>
      </w:r>
      <w:r w:rsidRPr="00F84C2E">
        <w:t>https://euro-fusion.org/programme/demo/</w:t>
      </w:r>
    </w:p>
  </w:footnote>
  <w:footnote w:id="12">
    <w:p w14:paraId="4554922F" w14:textId="117A2681" w:rsidR="005F2B22" w:rsidRPr="005F2B22" w:rsidRDefault="005F2B22" w:rsidP="007C4BD5">
      <w:pPr>
        <w:pStyle w:val="FootnoteText"/>
        <w:spacing w:after="0"/>
      </w:pPr>
      <w:r>
        <w:rPr>
          <w:rStyle w:val="FootnoteReference"/>
        </w:rPr>
        <w:footnoteRef/>
      </w:r>
      <w:r>
        <w:t xml:space="preserve"> </w:t>
      </w:r>
      <w:r>
        <w:tab/>
      </w:r>
      <w:r w:rsidRPr="005F2B22">
        <w:t xml:space="preserve">This new approach was first presented in the Commission Staff Working Document </w:t>
      </w:r>
      <w:r w:rsidRPr="00F658D0">
        <w:rPr>
          <w:i/>
          <w:iCs/>
        </w:rPr>
        <w:t>Towards a Modern Euratom Fusion Research Programme</w:t>
      </w:r>
      <w:r w:rsidRPr="005F2B22">
        <w:t xml:space="preserve"> (SWD(2013(213).</w:t>
      </w:r>
    </w:p>
  </w:footnote>
  <w:footnote w:id="13">
    <w:p w14:paraId="12D922BA" w14:textId="684BBE40" w:rsidR="007268D7" w:rsidRPr="007268D7" w:rsidRDefault="007268D7" w:rsidP="007C4BD5">
      <w:pPr>
        <w:pStyle w:val="FootnoteText"/>
        <w:spacing w:after="0"/>
        <w:rPr>
          <w:lang w:val="mt-MT"/>
        </w:rPr>
      </w:pPr>
      <w:r>
        <w:rPr>
          <w:rStyle w:val="FootnoteReference"/>
        </w:rPr>
        <w:footnoteRef/>
      </w:r>
      <w:r>
        <w:t xml:space="preserve"> </w:t>
      </w:r>
      <w:r>
        <w:tab/>
        <w:t>Council Regulation (Euratom) 2018/1563 of 15 October 2018 on the Research and Training Programme of the European Atomic Energy Community (2019</w:t>
      </w:r>
      <w:r w:rsidR="004C4C06">
        <w:t>-</w:t>
      </w:r>
      <w:r>
        <w:t>2020) complementing the Horizon 2020 Framework Programme for Research and Innovation, and repealing Regulation (Euratom) No 1314/2013</w:t>
      </w:r>
      <w:r>
        <w:rPr>
          <w:lang w:val="mt-MT"/>
        </w:rPr>
        <w:t xml:space="preserve"> (</w:t>
      </w:r>
      <w:r>
        <w:t>OJ L 262, 19.10.2018, p. 1</w:t>
      </w:r>
      <w:r>
        <w:rPr>
          <w:lang w:val="mt-MT"/>
        </w:rPr>
        <w:t>).</w:t>
      </w:r>
    </w:p>
  </w:footnote>
  <w:footnote w:id="14">
    <w:p w14:paraId="119BFF64" w14:textId="3CCE7FA2" w:rsidR="00E5270C" w:rsidRDefault="00E5270C" w:rsidP="0049795C">
      <w:pPr>
        <w:pStyle w:val="FootnoteText"/>
        <w:spacing w:after="0"/>
        <w:ind w:left="284" w:hanging="284"/>
      </w:pPr>
      <w:r>
        <w:rPr>
          <w:rStyle w:val="FootnoteReference"/>
        </w:rPr>
        <w:footnoteRef/>
      </w:r>
      <w:r w:rsidR="005A0893">
        <w:tab/>
      </w:r>
      <w:r w:rsidR="005A0893">
        <w:tab/>
      </w:r>
      <w:r>
        <w:rPr>
          <w:color w:val="000000"/>
        </w:rPr>
        <w:t xml:space="preserve">See </w:t>
      </w:r>
      <w:r w:rsidR="00E02CEF">
        <w:rPr>
          <w:color w:val="000000"/>
        </w:rPr>
        <w:t xml:space="preserve">Section </w:t>
      </w:r>
      <w:r>
        <w:rPr>
          <w:color w:val="000000"/>
        </w:rPr>
        <w:t>1.3</w:t>
      </w:r>
      <w:r>
        <w:t>.</w:t>
      </w:r>
    </w:p>
  </w:footnote>
  <w:footnote w:id="15">
    <w:p w14:paraId="71851111" w14:textId="59033048" w:rsidR="001B42ED" w:rsidRDefault="001B42ED" w:rsidP="007C4BD5">
      <w:pPr>
        <w:pStyle w:val="FootnoteText"/>
        <w:spacing w:after="0"/>
      </w:pPr>
      <w:r>
        <w:rPr>
          <w:rStyle w:val="FootnoteReference"/>
        </w:rPr>
        <w:footnoteRef/>
      </w:r>
      <w:r w:rsidR="005A0893">
        <w:tab/>
      </w:r>
      <w:r w:rsidR="005A0893">
        <w:tab/>
      </w:r>
      <w:r>
        <w:rPr>
          <w:color w:val="000000"/>
        </w:rPr>
        <w:t xml:space="preserve">See </w:t>
      </w:r>
      <w:r w:rsidR="00E02CEF">
        <w:rPr>
          <w:color w:val="000000"/>
        </w:rPr>
        <w:t xml:space="preserve">Section </w:t>
      </w:r>
      <w:r>
        <w:rPr>
          <w:color w:val="000000"/>
        </w:rPr>
        <w:t>1.3</w:t>
      </w:r>
    </w:p>
  </w:footnote>
  <w:footnote w:id="16">
    <w:p w14:paraId="181BDD65" w14:textId="6B15ED2E" w:rsidR="009D18D0" w:rsidRPr="00A15FBE" w:rsidRDefault="009D18D0" w:rsidP="007C4BD5">
      <w:pPr>
        <w:pStyle w:val="FootnoteText"/>
        <w:spacing w:after="0"/>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94AD0" w14:textId="77777777" w:rsidR="00933DC6" w:rsidRPr="00933DC6" w:rsidRDefault="00933DC6" w:rsidP="00933DC6">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0C248" w14:textId="77777777" w:rsidR="00933DC6" w:rsidRPr="00933DC6" w:rsidRDefault="00933DC6" w:rsidP="00933DC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EB13" w14:textId="77777777" w:rsidR="00933DC6" w:rsidRPr="00933DC6" w:rsidRDefault="00933DC6" w:rsidP="00933DC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AAFD" w14:textId="77777777" w:rsidR="00F8691B" w:rsidRDefault="00F869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B659" w14:textId="77777777" w:rsidR="00F8691B" w:rsidRDefault="00F869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CE1A0" w14:textId="77777777" w:rsidR="00F8691B" w:rsidRDefault="00F86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28A"/>
    <w:multiLevelType w:val="hybridMultilevel"/>
    <w:tmpl w:val="37F640DA"/>
    <w:lvl w:ilvl="0" w:tplc="EEF4D07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940AB"/>
    <w:multiLevelType w:val="hybridMultilevel"/>
    <w:tmpl w:val="2E221A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25684"/>
    <w:multiLevelType w:val="hybridMultilevel"/>
    <w:tmpl w:val="974EF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117C0D"/>
    <w:multiLevelType w:val="hybridMultilevel"/>
    <w:tmpl w:val="AFD646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09035D77"/>
    <w:multiLevelType w:val="hybridMultilevel"/>
    <w:tmpl w:val="EFCADD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2E64BC"/>
    <w:multiLevelType w:val="hybridMultilevel"/>
    <w:tmpl w:val="AA16B6CE"/>
    <w:lvl w:ilvl="0" w:tplc="20A6C07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C302EA"/>
    <w:multiLevelType w:val="hybridMultilevel"/>
    <w:tmpl w:val="D6C61EF8"/>
    <w:lvl w:ilvl="0" w:tplc="DBCCDD4E">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CC1774C"/>
    <w:multiLevelType w:val="hybridMultilevel"/>
    <w:tmpl w:val="174AD5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4E7044"/>
    <w:multiLevelType w:val="hybridMultilevel"/>
    <w:tmpl w:val="3C5CF6A6"/>
    <w:lvl w:ilvl="0" w:tplc="F1804282">
      <w:start w:val="1"/>
      <w:numFmt w:val="bullet"/>
      <w:lvlText w:val=""/>
      <w:lvlJc w:val="left"/>
      <w:pPr>
        <w:ind w:left="1080"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9" w15:restartNumberingAfterBreak="0">
    <w:nsid w:val="114D7225"/>
    <w:multiLevelType w:val="hybridMultilevel"/>
    <w:tmpl w:val="2B8E5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554B79"/>
    <w:multiLevelType w:val="hybridMultilevel"/>
    <w:tmpl w:val="49E2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313BA"/>
    <w:multiLevelType w:val="hybridMultilevel"/>
    <w:tmpl w:val="092AE11C"/>
    <w:lvl w:ilvl="0" w:tplc="20A6C07E">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B745518"/>
    <w:multiLevelType w:val="hybridMultilevel"/>
    <w:tmpl w:val="0DD86252"/>
    <w:lvl w:ilvl="0" w:tplc="035072D0">
      <w:start w:val="1"/>
      <w:numFmt w:val="bullet"/>
      <w:lvlText w:val="-"/>
      <w:lvlJc w:val="left"/>
      <w:pPr>
        <w:ind w:left="927" w:hanging="360"/>
      </w:pPr>
      <w:rPr>
        <w:rFonts w:ascii="Calibri" w:eastAsiaTheme="minorHAnsi"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3" w15:restartNumberingAfterBreak="0">
    <w:nsid w:val="1C8A072F"/>
    <w:multiLevelType w:val="hybridMultilevel"/>
    <w:tmpl w:val="174AD5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0401D6"/>
    <w:multiLevelType w:val="hybridMultilevel"/>
    <w:tmpl w:val="34B21B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C515DF"/>
    <w:multiLevelType w:val="hybridMultilevel"/>
    <w:tmpl w:val="E74258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4C7110B"/>
    <w:multiLevelType w:val="hybridMultilevel"/>
    <w:tmpl w:val="2828D940"/>
    <w:lvl w:ilvl="0" w:tplc="FFFFFFFF">
      <w:start w:val="1"/>
      <w:numFmt w:val="decimal"/>
      <w:lvlText w:val="%1."/>
      <w:lvlJc w:val="left"/>
      <w:pPr>
        <w:ind w:left="360" w:hanging="360"/>
      </w:pPr>
      <w:rPr>
        <w:rFonts w:cs="Calibri (Body)"/>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61E05EA"/>
    <w:multiLevelType w:val="hybridMultilevel"/>
    <w:tmpl w:val="6C5A18A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A6E71CC"/>
    <w:multiLevelType w:val="hybridMultilevel"/>
    <w:tmpl w:val="174AD5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2C7003B1"/>
    <w:multiLevelType w:val="multilevel"/>
    <w:tmpl w:val="AE34A3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2CF85E40"/>
    <w:multiLevelType w:val="hybridMultilevel"/>
    <w:tmpl w:val="FE525D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DB41900"/>
    <w:multiLevelType w:val="multilevel"/>
    <w:tmpl w:val="9E2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56486C"/>
    <w:multiLevelType w:val="hybridMultilevel"/>
    <w:tmpl w:val="1FECFB2E"/>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EF658B8"/>
    <w:multiLevelType w:val="hybridMultilevel"/>
    <w:tmpl w:val="EE446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711E40"/>
    <w:multiLevelType w:val="hybridMultilevel"/>
    <w:tmpl w:val="1B1A0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2277D1"/>
    <w:multiLevelType w:val="hybridMultilevel"/>
    <w:tmpl w:val="C01228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52D3E8A"/>
    <w:multiLevelType w:val="hybridMultilevel"/>
    <w:tmpl w:val="192E493A"/>
    <w:lvl w:ilvl="0" w:tplc="9856A68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96B0066"/>
    <w:multiLevelType w:val="hybridMultilevel"/>
    <w:tmpl w:val="174AD5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D4F4F6B"/>
    <w:multiLevelType w:val="hybridMultilevel"/>
    <w:tmpl w:val="1EA027F0"/>
    <w:lvl w:ilvl="0" w:tplc="20A6C07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1341779"/>
    <w:multiLevelType w:val="hybridMultilevel"/>
    <w:tmpl w:val="56CC4BF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41CF6D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2B5643B"/>
    <w:multiLevelType w:val="hybridMultilevel"/>
    <w:tmpl w:val="CA360C78"/>
    <w:lvl w:ilvl="0" w:tplc="20A6C07E">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83D03E7"/>
    <w:multiLevelType w:val="hybridMultilevel"/>
    <w:tmpl w:val="D292C3F6"/>
    <w:lvl w:ilvl="0" w:tplc="20A6C07E">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94C248F"/>
    <w:multiLevelType w:val="hybridMultilevel"/>
    <w:tmpl w:val="56A42E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A0B50F0"/>
    <w:multiLevelType w:val="hybridMultilevel"/>
    <w:tmpl w:val="BFF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46589A"/>
    <w:multiLevelType w:val="hybridMultilevel"/>
    <w:tmpl w:val="99B07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C646690"/>
    <w:multiLevelType w:val="hybridMultilevel"/>
    <w:tmpl w:val="DFAA39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4D0C0C81"/>
    <w:multiLevelType w:val="hybridMultilevel"/>
    <w:tmpl w:val="F8C68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D49248C"/>
    <w:multiLevelType w:val="hybridMultilevel"/>
    <w:tmpl w:val="174AD5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E747645"/>
    <w:multiLevelType w:val="hybridMultilevel"/>
    <w:tmpl w:val="9BE42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F193F97"/>
    <w:multiLevelType w:val="hybridMultilevel"/>
    <w:tmpl w:val="A85C73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4F8A2B25"/>
    <w:multiLevelType w:val="hybridMultilevel"/>
    <w:tmpl w:val="BDF026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557E7B86"/>
    <w:multiLevelType w:val="hybridMultilevel"/>
    <w:tmpl w:val="174AD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C37849"/>
    <w:multiLevelType w:val="multilevel"/>
    <w:tmpl w:val="E1EE29F4"/>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A0D5D89"/>
    <w:multiLevelType w:val="hybridMultilevel"/>
    <w:tmpl w:val="2828D940"/>
    <w:lvl w:ilvl="0" w:tplc="F1A03A8E">
      <w:start w:val="1"/>
      <w:numFmt w:val="decimal"/>
      <w:lvlText w:val="%1."/>
      <w:lvlJc w:val="left"/>
      <w:pPr>
        <w:ind w:left="360" w:hanging="360"/>
      </w:pPr>
      <w:rPr>
        <w:rFonts w:cs="Calibri (Body)"/>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A234818"/>
    <w:multiLevelType w:val="hybridMultilevel"/>
    <w:tmpl w:val="186E771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7" w15:restartNumberingAfterBreak="0">
    <w:nsid w:val="5B45265D"/>
    <w:multiLevelType w:val="hybridMultilevel"/>
    <w:tmpl w:val="DEB2F110"/>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48" w15:restartNumberingAfterBreak="0">
    <w:nsid w:val="5BCE3D0F"/>
    <w:multiLevelType w:val="hybridMultilevel"/>
    <w:tmpl w:val="6F963C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5E292748"/>
    <w:multiLevelType w:val="hybridMultilevel"/>
    <w:tmpl w:val="5BC2850E"/>
    <w:lvl w:ilvl="0" w:tplc="EEF4D07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C45B0E"/>
    <w:multiLevelType w:val="hybridMultilevel"/>
    <w:tmpl w:val="4A4C9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EF93B40"/>
    <w:multiLevelType w:val="hybridMultilevel"/>
    <w:tmpl w:val="6BF2A1A6"/>
    <w:lvl w:ilvl="0" w:tplc="41E43C2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F841DDC"/>
    <w:multiLevelType w:val="hybridMultilevel"/>
    <w:tmpl w:val="6D4EB1B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3" w15:restartNumberingAfterBreak="0">
    <w:nsid w:val="5FA33A10"/>
    <w:multiLevelType w:val="hybridMultilevel"/>
    <w:tmpl w:val="640CAF9A"/>
    <w:lvl w:ilvl="0" w:tplc="DBCCDD4E">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4" w15:restartNumberingAfterBreak="0">
    <w:nsid w:val="63A61EF7"/>
    <w:multiLevelType w:val="hybridMultilevel"/>
    <w:tmpl w:val="3B84AFFE"/>
    <w:name w:val="CPSNumberingScheme"/>
    <w:lvl w:ilvl="0" w:tplc="23A26318">
      <w:start w:val="1"/>
      <w:numFmt w:val="decimal"/>
      <w:lvlText w:val="%1."/>
      <w:lvlJc w:val="right"/>
      <w:pPr>
        <w:ind w:left="500" w:hanging="180"/>
      </w:pPr>
    </w:lvl>
    <w:lvl w:ilvl="1" w:tplc="F33862C4">
      <w:start w:val="1"/>
      <w:numFmt w:val="decimal"/>
      <w:lvlText w:val="%2."/>
      <w:lvlJc w:val="right"/>
      <w:pPr>
        <w:ind w:left="1000" w:hanging="180"/>
      </w:pPr>
    </w:lvl>
    <w:lvl w:ilvl="2" w:tplc="948EAFC4">
      <w:start w:val="1"/>
      <w:numFmt w:val="decimal"/>
      <w:lvlText w:val="%3."/>
      <w:lvlJc w:val="right"/>
      <w:pPr>
        <w:ind w:left="1500" w:hanging="180"/>
      </w:pPr>
    </w:lvl>
    <w:lvl w:ilvl="3" w:tplc="8738E502">
      <w:start w:val="1"/>
      <w:numFmt w:val="decimal"/>
      <w:lvlText w:val="%4."/>
      <w:lvlJc w:val="right"/>
      <w:pPr>
        <w:ind w:left="2000" w:hanging="180"/>
      </w:pPr>
    </w:lvl>
    <w:lvl w:ilvl="4" w:tplc="3F203D70">
      <w:start w:val="1"/>
      <w:numFmt w:val="decimal"/>
      <w:lvlText w:val="%5."/>
      <w:lvlJc w:val="right"/>
      <w:pPr>
        <w:ind w:left="2500" w:hanging="180"/>
      </w:pPr>
    </w:lvl>
    <w:lvl w:ilvl="5" w:tplc="576E8F5E">
      <w:start w:val="1"/>
      <w:numFmt w:val="decimal"/>
      <w:lvlText w:val="%6."/>
      <w:lvlJc w:val="right"/>
      <w:pPr>
        <w:ind w:left="3000" w:hanging="180"/>
      </w:pPr>
    </w:lvl>
    <w:lvl w:ilvl="6" w:tplc="6F56A68E">
      <w:start w:val="1"/>
      <w:numFmt w:val="decimal"/>
      <w:lvlText w:val="%7."/>
      <w:lvlJc w:val="right"/>
      <w:pPr>
        <w:ind w:left="3500" w:hanging="180"/>
      </w:pPr>
    </w:lvl>
    <w:lvl w:ilvl="7" w:tplc="25FEEC52">
      <w:start w:val="1"/>
      <w:numFmt w:val="decimal"/>
      <w:lvlText w:val="%8."/>
      <w:lvlJc w:val="right"/>
      <w:pPr>
        <w:ind w:left="4000" w:hanging="180"/>
      </w:pPr>
    </w:lvl>
    <w:lvl w:ilvl="8" w:tplc="C36E0ED2">
      <w:start w:val="1"/>
      <w:numFmt w:val="decimal"/>
      <w:lvlText w:val="%9."/>
      <w:lvlJc w:val="right"/>
      <w:pPr>
        <w:ind w:left="4500" w:hanging="180"/>
      </w:pPr>
    </w:lvl>
  </w:abstractNum>
  <w:abstractNum w:abstractNumId="55" w15:restartNumberingAfterBreak="0">
    <w:nsid w:val="64A023CC"/>
    <w:multiLevelType w:val="hybridMultilevel"/>
    <w:tmpl w:val="174AD5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68DB6B95"/>
    <w:multiLevelType w:val="multilevel"/>
    <w:tmpl w:val="A66E44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7" w15:restartNumberingAfterBreak="0">
    <w:nsid w:val="6E620221"/>
    <w:multiLevelType w:val="hybridMultilevel"/>
    <w:tmpl w:val="51EC2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F444159"/>
    <w:multiLevelType w:val="hybridMultilevel"/>
    <w:tmpl w:val="99C0D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150659A"/>
    <w:multiLevelType w:val="hybridMultilevel"/>
    <w:tmpl w:val="0DE2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B87057"/>
    <w:multiLevelType w:val="hybridMultilevel"/>
    <w:tmpl w:val="06A07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2843A2"/>
    <w:multiLevelType w:val="hybridMultilevel"/>
    <w:tmpl w:val="9FC85620"/>
    <w:lvl w:ilvl="0" w:tplc="DBCCDD4E">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2" w15:restartNumberingAfterBreak="0">
    <w:nsid w:val="733165C5"/>
    <w:multiLevelType w:val="hybridMultilevel"/>
    <w:tmpl w:val="5C964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34F6863"/>
    <w:multiLevelType w:val="hybridMultilevel"/>
    <w:tmpl w:val="E742589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4" w15:restartNumberingAfterBreak="0">
    <w:nsid w:val="7CFB0233"/>
    <w:multiLevelType w:val="hybridMultilevel"/>
    <w:tmpl w:val="3E18B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6"/>
  </w:num>
  <w:num w:numId="2">
    <w:abstractNumId w:val="56"/>
  </w:num>
  <w:num w:numId="3">
    <w:abstractNumId w:val="56"/>
  </w:num>
  <w:num w:numId="4">
    <w:abstractNumId w:val="44"/>
  </w:num>
  <w:num w:numId="5">
    <w:abstractNumId w:val="54"/>
    <w:lvlOverride w:ilvl="0">
      <w:startOverride w:val="1"/>
      <w:lvl w:ilvl="0" w:tplc="23A26318">
        <w:start w:val="1"/>
        <w:numFmt w:val="bullet"/>
        <w:lvlText w:val=""/>
        <w:lvlJc w:val="right"/>
        <w:pPr>
          <w:ind w:left="500" w:hanging="180"/>
        </w:pPr>
        <w:rPr>
          <w:rFonts w:ascii="Symbol" w:hAnsi="Symbol" w:hint="default"/>
        </w:rPr>
      </w:lvl>
    </w:lvlOverride>
    <w:lvlOverride w:ilvl="1">
      <w:startOverride w:val="1"/>
      <w:lvl w:ilvl="1" w:tplc="F33862C4">
        <w:start w:val="1"/>
        <w:numFmt w:val="decimal"/>
        <w:lvlText w:val="%2."/>
        <w:lvlJc w:val="right"/>
        <w:pPr>
          <w:ind w:left="1000" w:hanging="180"/>
        </w:pPr>
      </w:lvl>
    </w:lvlOverride>
    <w:lvlOverride w:ilvl="2">
      <w:startOverride w:val="1"/>
      <w:lvl w:ilvl="2" w:tplc="948EAFC4">
        <w:start w:val="1"/>
        <w:numFmt w:val="decimal"/>
        <w:lvlText w:val="%3."/>
        <w:lvlJc w:val="right"/>
        <w:pPr>
          <w:ind w:left="1500" w:hanging="180"/>
        </w:pPr>
      </w:lvl>
    </w:lvlOverride>
    <w:lvlOverride w:ilvl="3">
      <w:startOverride w:val="1"/>
      <w:lvl w:ilvl="3" w:tplc="8738E502">
        <w:start w:val="1"/>
        <w:numFmt w:val="decimal"/>
        <w:lvlText w:val="%4."/>
        <w:lvlJc w:val="right"/>
        <w:pPr>
          <w:ind w:left="2000" w:hanging="180"/>
        </w:pPr>
      </w:lvl>
    </w:lvlOverride>
    <w:lvlOverride w:ilvl="4">
      <w:startOverride w:val="1"/>
      <w:lvl w:ilvl="4" w:tplc="3F203D70">
        <w:start w:val="1"/>
        <w:numFmt w:val="decimal"/>
        <w:lvlText w:val="%5."/>
        <w:lvlJc w:val="right"/>
        <w:pPr>
          <w:ind w:left="2500" w:hanging="180"/>
        </w:pPr>
      </w:lvl>
    </w:lvlOverride>
    <w:lvlOverride w:ilvl="5">
      <w:startOverride w:val="1"/>
      <w:lvl w:ilvl="5" w:tplc="576E8F5E">
        <w:start w:val="1"/>
        <w:numFmt w:val="decimal"/>
        <w:lvlText w:val="%6."/>
        <w:lvlJc w:val="right"/>
        <w:pPr>
          <w:ind w:left="3000" w:hanging="180"/>
        </w:pPr>
      </w:lvl>
    </w:lvlOverride>
    <w:lvlOverride w:ilvl="6">
      <w:startOverride w:val="1"/>
      <w:lvl w:ilvl="6" w:tplc="6F56A68E">
        <w:start w:val="1"/>
        <w:numFmt w:val="decimal"/>
        <w:lvlText w:val="%7."/>
        <w:lvlJc w:val="right"/>
        <w:pPr>
          <w:ind w:left="3500" w:hanging="180"/>
        </w:pPr>
      </w:lvl>
    </w:lvlOverride>
    <w:lvlOverride w:ilvl="7">
      <w:startOverride w:val="1"/>
      <w:lvl w:ilvl="7" w:tplc="25FEEC52">
        <w:start w:val="1"/>
        <w:numFmt w:val="decimal"/>
        <w:lvlText w:val="%8."/>
        <w:lvlJc w:val="right"/>
        <w:pPr>
          <w:ind w:left="4000" w:hanging="180"/>
        </w:pPr>
      </w:lvl>
    </w:lvlOverride>
    <w:lvlOverride w:ilvl="8">
      <w:startOverride w:val="1"/>
      <w:lvl w:ilvl="8" w:tplc="C36E0ED2">
        <w:start w:val="1"/>
        <w:numFmt w:val="decimal"/>
        <w:lvlText w:val="%9."/>
        <w:lvlJc w:val="right"/>
        <w:pPr>
          <w:ind w:left="4500" w:hanging="180"/>
        </w:pPr>
      </w:lvl>
    </w:lvlOverride>
  </w:num>
  <w:num w:numId="6">
    <w:abstractNumId w:val="33"/>
  </w:num>
  <w:num w:numId="7">
    <w:abstractNumId w:val="11"/>
  </w:num>
  <w:num w:numId="8">
    <w:abstractNumId w:val="1"/>
  </w:num>
  <w:num w:numId="9">
    <w:abstractNumId w:val="49"/>
  </w:num>
  <w:num w:numId="10">
    <w:abstractNumId w:val="59"/>
  </w:num>
  <w:num w:numId="11">
    <w:abstractNumId w:val="5"/>
  </w:num>
  <w:num w:numId="12">
    <w:abstractNumId w:val="14"/>
  </w:num>
  <w:num w:numId="13">
    <w:abstractNumId w:val="4"/>
  </w:num>
  <w:num w:numId="14">
    <w:abstractNumId w:val="0"/>
  </w:num>
  <w:num w:numId="15">
    <w:abstractNumId w:val="8"/>
  </w:num>
  <w:num w:numId="16">
    <w:abstractNumId w:val="56"/>
  </w:num>
  <w:num w:numId="17">
    <w:abstractNumId w:val="56"/>
  </w:num>
  <w:num w:numId="18">
    <w:abstractNumId w:val="56"/>
  </w:num>
  <w:num w:numId="19">
    <w:abstractNumId w:val="56"/>
  </w:num>
  <w:num w:numId="20">
    <w:abstractNumId w:val="51"/>
  </w:num>
  <w:num w:numId="21">
    <w:abstractNumId w:val="32"/>
  </w:num>
  <w:num w:numId="22">
    <w:abstractNumId w:val="48"/>
  </w:num>
  <w:num w:numId="23">
    <w:abstractNumId w:val="64"/>
  </w:num>
  <w:num w:numId="24">
    <w:abstractNumId w:val="34"/>
  </w:num>
  <w:num w:numId="25">
    <w:abstractNumId w:val="21"/>
  </w:num>
  <w:num w:numId="26">
    <w:abstractNumId w:val="35"/>
  </w:num>
  <w:num w:numId="27">
    <w:abstractNumId w:val="2"/>
  </w:num>
  <w:num w:numId="28">
    <w:abstractNumId w:val="31"/>
  </w:num>
  <w:num w:numId="29">
    <w:abstractNumId w:val="43"/>
  </w:num>
  <w:num w:numId="30">
    <w:abstractNumId w:val="39"/>
  </w:num>
  <w:num w:numId="31">
    <w:abstractNumId w:val="45"/>
  </w:num>
  <w:num w:numId="32">
    <w:abstractNumId w:val="16"/>
  </w:num>
  <w:num w:numId="33">
    <w:abstractNumId w:val="13"/>
  </w:num>
  <w:num w:numId="34">
    <w:abstractNumId w:val="18"/>
  </w:num>
  <w:num w:numId="35">
    <w:abstractNumId w:val="23"/>
  </w:num>
  <w:num w:numId="36">
    <w:abstractNumId w:val="7"/>
  </w:num>
  <w:num w:numId="37">
    <w:abstractNumId w:val="46"/>
  </w:num>
  <w:num w:numId="38">
    <w:abstractNumId w:val="47"/>
  </w:num>
  <w:num w:numId="39">
    <w:abstractNumId w:val="12"/>
  </w:num>
  <w:num w:numId="40">
    <w:abstractNumId w:val="55"/>
  </w:num>
  <w:num w:numId="41">
    <w:abstractNumId w:val="28"/>
  </w:num>
  <w:num w:numId="42">
    <w:abstractNumId w:val="60"/>
  </w:num>
  <w:num w:numId="43">
    <w:abstractNumId w:val="36"/>
  </w:num>
  <w:num w:numId="44">
    <w:abstractNumId w:val="24"/>
  </w:num>
  <w:num w:numId="45">
    <w:abstractNumId w:val="58"/>
  </w:num>
  <w:num w:numId="46">
    <w:abstractNumId w:val="9"/>
  </w:num>
  <w:num w:numId="47">
    <w:abstractNumId w:val="57"/>
  </w:num>
  <w:num w:numId="48">
    <w:abstractNumId w:val="25"/>
  </w:num>
  <w:num w:numId="49">
    <w:abstractNumId w:val="40"/>
  </w:num>
  <w:num w:numId="50">
    <w:abstractNumId w:val="19"/>
  </w:num>
  <w:num w:numId="51">
    <w:abstractNumId w:val="10"/>
  </w:num>
  <w:num w:numId="52">
    <w:abstractNumId w:val="26"/>
  </w:num>
  <w:num w:numId="53">
    <w:abstractNumId w:val="42"/>
  </w:num>
  <w:num w:numId="54">
    <w:abstractNumId w:val="20"/>
  </w:num>
  <w:num w:numId="55">
    <w:abstractNumId w:val="3"/>
  </w:num>
  <w:num w:numId="56">
    <w:abstractNumId w:val="38"/>
  </w:num>
  <w:num w:numId="57">
    <w:abstractNumId w:val="30"/>
  </w:num>
  <w:num w:numId="58">
    <w:abstractNumId w:val="37"/>
  </w:num>
  <w:num w:numId="59">
    <w:abstractNumId w:val="41"/>
  </w:num>
  <w:num w:numId="60">
    <w:abstractNumId w:val="52"/>
  </w:num>
  <w:num w:numId="61">
    <w:abstractNumId w:val="62"/>
  </w:num>
  <w:num w:numId="62">
    <w:abstractNumId w:val="50"/>
  </w:num>
  <w:num w:numId="63">
    <w:abstractNumId w:val="56"/>
  </w:num>
  <w:num w:numId="64">
    <w:abstractNumId w:val="56"/>
  </w:num>
  <w:num w:numId="65">
    <w:abstractNumId w:val="22"/>
  </w:num>
  <w:num w:numId="66">
    <w:abstractNumId w:val="63"/>
  </w:num>
  <w:num w:numId="67">
    <w:abstractNumId w:val="15"/>
  </w:num>
  <w:num w:numId="68">
    <w:abstractNumId w:val="6"/>
  </w:num>
  <w:num w:numId="69">
    <w:abstractNumId w:val="61"/>
  </w:num>
  <w:num w:numId="70">
    <w:abstractNumId w:val="29"/>
  </w:num>
  <w:num w:numId="71">
    <w:abstractNumId w:val="53"/>
  </w:num>
  <w:num w:numId="72">
    <w:abstractNumId w:val="27"/>
  </w:num>
  <w:num w:numId="73">
    <w:abstractNumId w:val="1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
  <w:docVars>
    <w:docVar w:name="DocStatus" w:val="Green"/>
    <w:docVar w:name="LW_CORRIGENDUM" w:val="&lt;UNUSED&gt;"/>
    <w:docVar w:name="LW_COVERPAGE_EXISTS" w:val="True"/>
    <w:docVar w:name="LW_COVERPAGE_GUID" w:val="C0FB0349-0DB0-4D97-9CA9-4195625F053E"/>
    <w:docVar w:name="LW_COVERPAGE_TYPE" w:val="1"/>
    <w:docVar w:name="LW_CROSSREFERENCE" w:val="{SWD(2024) 271 final} - {SWD(2024) 272 final}"/>
    <w:docVar w:name="LW_DocType" w:val="NORMAL"/>
    <w:docVar w:name="LW_EMISSION" w:val="28.11.2024"/>
    <w:docVar w:name="LW_EMISSION_ISODATE" w:val="2024-11-28"/>
    <w:docVar w:name="LW_EMISSION_LOCATION" w:val="BRX"/>
    <w:docVar w:name="LW_EMISSION_PREFIX" w:val="Brussels, "/>
    <w:docVar w:name="LW_EMISSION_SUFFIX" w:val=" "/>
    <w:docVar w:name="LW_ID_DOCTYPE_NONLW" w:val="CP-007"/>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54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Ex-post evaluation of the Euratom Research and Training Programme 2014-2020"/>
    <w:docVar w:name="LW_TYPE.DOC.CP" w:val="REPORT FROM THE COMMISSION TO THE EUROPEAN PARLIAMENT, THE COUNCIL AND THE EUROPEAN ECONOMIC AND SOCIAL COMMITTEE"/>
    <w:docVar w:name="LwApiVersions" w:val="LW4CoDe 1.24.5.0; LW 9.0, Build 20240221"/>
    <w:docVar w:name="Stamp" w:val="\\dossiers.dgt.cec.eu.int\dossiers\RTD\RTD-2017-00035\RTD-2017-00035-00-01-EN-REV-00.201706161527029879177.DOCX"/>
  </w:docVars>
  <w:rsids>
    <w:rsidRoot w:val="00A433F8"/>
    <w:rsid w:val="00002ED4"/>
    <w:rsid w:val="00004A9C"/>
    <w:rsid w:val="00005150"/>
    <w:rsid w:val="000072C9"/>
    <w:rsid w:val="0001523F"/>
    <w:rsid w:val="00020161"/>
    <w:rsid w:val="000301C1"/>
    <w:rsid w:val="0003170A"/>
    <w:rsid w:val="00032CC9"/>
    <w:rsid w:val="000405D6"/>
    <w:rsid w:val="00044218"/>
    <w:rsid w:val="00046822"/>
    <w:rsid w:val="00046A5C"/>
    <w:rsid w:val="00047F97"/>
    <w:rsid w:val="00052310"/>
    <w:rsid w:val="0005358B"/>
    <w:rsid w:val="00054C9D"/>
    <w:rsid w:val="00055FA4"/>
    <w:rsid w:val="00062F2E"/>
    <w:rsid w:val="00072043"/>
    <w:rsid w:val="00075A2F"/>
    <w:rsid w:val="00081EB3"/>
    <w:rsid w:val="000825DD"/>
    <w:rsid w:val="00082DB6"/>
    <w:rsid w:val="000832A6"/>
    <w:rsid w:val="000833E6"/>
    <w:rsid w:val="00083D2E"/>
    <w:rsid w:val="00084357"/>
    <w:rsid w:val="00086117"/>
    <w:rsid w:val="00086843"/>
    <w:rsid w:val="00087F00"/>
    <w:rsid w:val="000932EF"/>
    <w:rsid w:val="00096A88"/>
    <w:rsid w:val="00097678"/>
    <w:rsid w:val="0009795B"/>
    <w:rsid w:val="000A2749"/>
    <w:rsid w:val="000A5BF3"/>
    <w:rsid w:val="000B0127"/>
    <w:rsid w:val="000B0663"/>
    <w:rsid w:val="000B0784"/>
    <w:rsid w:val="000B12D4"/>
    <w:rsid w:val="000B427C"/>
    <w:rsid w:val="000B440F"/>
    <w:rsid w:val="000B46A5"/>
    <w:rsid w:val="000C62C2"/>
    <w:rsid w:val="000C7003"/>
    <w:rsid w:val="000C7160"/>
    <w:rsid w:val="000D135A"/>
    <w:rsid w:val="000D2A52"/>
    <w:rsid w:val="000D435A"/>
    <w:rsid w:val="000D4AFD"/>
    <w:rsid w:val="000E0447"/>
    <w:rsid w:val="000E0F66"/>
    <w:rsid w:val="000E29AF"/>
    <w:rsid w:val="000E64B0"/>
    <w:rsid w:val="000E6804"/>
    <w:rsid w:val="000F23B7"/>
    <w:rsid w:val="000F2B40"/>
    <w:rsid w:val="000F3111"/>
    <w:rsid w:val="000F3737"/>
    <w:rsid w:val="000F3B63"/>
    <w:rsid w:val="000F703C"/>
    <w:rsid w:val="00102C3C"/>
    <w:rsid w:val="00104867"/>
    <w:rsid w:val="0010649F"/>
    <w:rsid w:val="00110BC2"/>
    <w:rsid w:val="00111FEA"/>
    <w:rsid w:val="00113CEB"/>
    <w:rsid w:val="00114248"/>
    <w:rsid w:val="001167F0"/>
    <w:rsid w:val="00120767"/>
    <w:rsid w:val="001216CE"/>
    <w:rsid w:val="00126E88"/>
    <w:rsid w:val="00130541"/>
    <w:rsid w:val="001324BD"/>
    <w:rsid w:val="00132695"/>
    <w:rsid w:val="00134D44"/>
    <w:rsid w:val="0013639D"/>
    <w:rsid w:val="00136CEB"/>
    <w:rsid w:val="001408D3"/>
    <w:rsid w:val="00140CBB"/>
    <w:rsid w:val="0014269E"/>
    <w:rsid w:val="001438D0"/>
    <w:rsid w:val="00152111"/>
    <w:rsid w:val="00154398"/>
    <w:rsid w:val="00154D6F"/>
    <w:rsid w:val="00155721"/>
    <w:rsid w:val="0015749C"/>
    <w:rsid w:val="001626C3"/>
    <w:rsid w:val="00162E7A"/>
    <w:rsid w:val="00166822"/>
    <w:rsid w:val="00166D47"/>
    <w:rsid w:val="00167D04"/>
    <w:rsid w:val="001706C4"/>
    <w:rsid w:val="001729C8"/>
    <w:rsid w:val="00174635"/>
    <w:rsid w:val="001749A6"/>
    <w:rsid w:val="00174C3E"/>
    <w:rsid w:val="00175A2E"/>
    <w:rsid w:val="00175F41"/>
    <w:rsid w:val="00177334"/>
    <w:rsid w:val="0018082B"/>
    <w:rsid w:val="00182C17"/>
    <w:rsid w:val="00184585"/>
    <w:rsid w:val="00191C87"/>
    <w:rsid w:val="00194DCD"/>
    <w:rsid w:val="001A2E71"/>
    <w:rsid w:val="001A3749"/>
    <w:rsid w:val="001A3B6F"/>
    <w:rsid w:val="001A636F"/>
    <w:rsid w:val="001A7075"/>
    <w:rsid w:val="001A7D83"/>
    <w:rsid w:val="001B131B"/>
    <w:rsid w:val="001B282C"/>
    <w:rsid w:val="001B2D86"/>
    <w:rsid w:val="001B42ED"/>
    <w:rsid w:val="001B60FE"/>
    <w:rsid w:val="001B6922"/>
    <w:rsid w:val="001C31B8"/>
    <w:rsid w:val="001C5DB4"/>
    <w:rsid w:val="001C604F"/>
    <w:rsid w:val="001C617C"/>
    <w:rsid w:val="001C76E1"/>
    <w:rsid w:val="001D052C"/>
    <w:rsid w:val="001D18A7"/>
    <w:rsid w:val="001D3751"/>
    <w:rsid w:val="001D3B22"/>
    <w:rsid w:val="001D587E"/>
    <w:rsid w:val="001D5E85"/>
    <w:rsid w:val="001E13C2"/>
    <w:rsid w:val="001E1B2C"/>
    <w:rsid w:val="001E2EB3"/>
    <w:rsid w:val="001E3C9B"/>
    <w:rsid w:val="001E678D"/>
    <w:rsid w:val="001E7839"/>
    <w:rsid w:val="001F3B7B"/>
    <w:rsid w:val="001F789C"/>
    <w:rsid w:val="002001C9"/>
    <w:rsid w:val="00202402"/>
    <w:rsid w:val="00206AE2"/>
    <w:rsid w:val="00206E1C"/>
    <w:rsid w:val="00207993"/>
    <w:rsid w:val="00207A0A"/>
    <w:rsid w:val="00210E37"/>
    <w:rsid w:val="002122BC"/>
    <w:rsid w:val="002130F0"/>
    <w:rsid w:val="00214353"/>
    <w:rsid w:val="002149C4"/>
    <w:rsid w:val="0021504F"/>
    <w:rsid w:val="0021604B"/>
    <w:rsid w:val="00220779"/>
    <w:rsid w:val="002279EF"/>
    <w:rsid w:val="0023079B"/>
    <w:rsid w:val="00232654"/>
    <w:rsid w:val="00233974"/>
    <w:rsid w:val="00234820"/>
    <w:rsid w:val="0023657B"/>
    <w:rsid w:val="00241D59"/>
    <w:rsid w:val="0024237B"/>
    <w:rsid w:val="00247DCD"/>
    <w:rsid w:val="00250B42"/>
    <w:rsid w:val="0025258B"/>
    <w:rsid w:val="00254218"/>
    <w:rsid w:val="002558C2"/>
    <w:rsid w:val="00260A1F"/>
    <w:rsid w:val="002713DF"/>
    <w:rsid w:val="0027291A"/>
    <w:rsid w:val="00273856"/>
    <w:rsid w:val="00280CA4"/>
    <w:rsid w:val="0028265C"/>
    <w:rsid w:val="002833F1"/>
    <w:rsid w:val="002843AA"/>
    <w:rsid w:val="002903AC"/>
    <w:rsid w:val="002907B0"/>
    <w:rsid w:val="0029593E"/>
    <w:rsid w:val="002A62E5"/>
    <w:rsid w:val="002B5267"/>
    <w:rsid w:val="002B5335"/>
    <w:rsid w:val="002C0416"/>
    <w:rsid w:val="002C660B"/>
    <w:rsid w:val="002D00B2"/>
    <w:rsid w:val="002D29E5"/>
    <w:rsid w:val="002D37F1"/>
    <w:rsid w:val="002D3EE3"/>
    <w:rsid w:val="002D407A"/>
    <w:rsid w:val="002E0720"/>
    <w:rsid w:val="002E303F"/>
    <w:rsid w:val="002E5142"/>
    <w:rsid w:val="002E5453"/>
    <w:rsid w:val="002E7326"/>
    <w:rsid w:val="002E7C54"/>
    <w:rsid w:val="002F3145"/>
    <w:rsid w:val="002F5D3B"/>
    <w:rsid w:val="002F7203"/>
    <w:rsid w:val="002F7FEF"/>
    <w:rsid w:val="00302F7E"/>
    <w:rsid w:val="003052CF"/>
    <w:rsid w:val="00305872"/>
    <w:rsid w:val="00307BA6"/>
    <w:rsid w:val="003137F2"/>
    <w:rsid w:val="00314709"/>
    <w:rsid w:val="00315784"/>
    <w:rsid w:val="00320547"/>
    <w:rsid w:val="00320834"/>
    <w:rsid w:val="00334B7F"/>
    <w:rsid w:val="003376AB"/>
    <w:rsid w:val="00337837"/>
    <w:rsid w:val="00337AFB"/>
    <w:rsid w:val="003402F1"/>
    <w:rsid w:val="00340AB0"/>
    <w:rsid w:val="003423DE"/>
    <w:rsid w:val="003431C2"/>
    <w:rsid w:val="00344F7A"/>
    <w:rsid w:val="00346248"/>
    <w:rsid w:val="00347A74"/>
    <w:rsid w:val="00350063"/>
    <w:rsid w:val="00352534"/>
    <w:rsid w:val="003544A0"/>
    <w:rsid w:val="0035597E"/>
    <w:rsid w:val="00357BB0"/>
    <w:rsid w:val="003673D9"/>
    <w:rsid w:val="00367E4F"/>
    <w:rsid w:val="00376AF2"/>
    <w:rsid w:val="00376FE3"/>
    <w:rsid w:val="00380A83"/>
    <w:rsid w:val="00383303"/>
    <w:rsid w:val="00396271"/>
    <w:rsid w:val="00397D36"/>
    <w:rsid w:val="003A0C2A"/>
    <w:rsid w:val="003A1038"/>
    <w:rsid w:val="003A22BA"/>
    <w:rsid w:val="003B3240"/>
    <w:rsid w:val="003B3DE7"/>
    <w:rsid w:val="003C1717"/>
    <w:rsid w:val="003C26C4"/>
    <w:rsid w:val="003C352B"/>
    <w:rsid w:val="003C39AB"/>
    <w:rsid w:val="003C79CB"/>
    <w:rsid w:val="003D6D30"/>
    <w:rsid w:val="003E643F"/>
    <w:rsid w:val="003E7872"/>
    <w:rsid w:val="003F0F69"/>
    <w:rsid w:val="003F11BA"/>
    <w:rsid w:val="003F23D1"/>
    <w:rsid w:val="003F34E5"/>
    <w:rsid w:val="003F399A"/>
    <w:rsid w:val="003F7C07"/>
    <w:rsid w:val="00400819"/>
    <w:rsid w:val="00403E6E"/>
    <w:rsid w:val="00411C13"/>
    <w:rsid w:val="00413ABA"/>
    <w:rsid w:val="00415817"/>
    <w:rsid w:val="004158AE"/>
    <w:rsid w:val="0041670D"/>
    <w:rsid w:val="00417D92"/>
    <w:rsid w:val="00425395"/>
    <w:rsid w:val="004438AF"/>
    <w:rsid w:val="0044452A"/>
    <w:rsid w:val="004447FE"/>
    <w:rsid w:val="004517A8"/>
    <w:rsid w:val="0045280F"/>
    <w:rsid w:val="00453224"/>
    <w:rsid w:val="00453FBD"/>
    <w:rsid w:val="00454AFA"/>
    <w:rsid w:val="004574E4"/>
    <w:rsid w:val="00461020"/>
    <w:rsid w:val="00463698"/>
    <w:rsid w:val="0046556E"/>
    <w:rsid w:val="00467711"/>
    <w:rsid w:val="004706C1"/>
    <w:rsid w:val="00471CCA"/>
    <w:rsid w:val="00472AB9"/>
    <w:rsid w:val="004734D7"/>
    <w:rsid w:val="004748CC"/>
    <w:rsid w:val="004761A6"/>
    <w:rsid w:val="004761F8"/>
    <w:rsid w:val="00476DAE"/>
    <w:rsid w:val="00476DBD"/>
    <w:rsid w:val="00477583"/>
    <w:rsid w:val="00480E78"/>
    <w:rsid w:val="00483207"/>
    <w:rsid w:val="0048589A"/>
    <w:rsid w:val="004907E3"/>
    <w:rsid w:val="00490DB5"/>
    <w:rsid w:val="00490E5A"/>
    <w:rsid w:val="004916AE"/>
    <w:rsid w:val="00494852"/>
    <w:rsid w:val="004951DE"/>
    <w:rsid w:val="00495B4F"/>
    <w:rsid w:val="00495D02"/>
    <w:rsid w:val="0049692C"/>
    <w:rsid w:val="00496F24"/>
    <w:rsid w:val="004974DB"/>
    <w:rsid w:val="0049795C"/>
    <w:rsid w:val="004A037F"/>
    <w:rsid w:val="004A2C34"/>
    <w:rsid w:val="004A6415"/>
    <w:rsid w:val="004B5099"/>
    <w:rsid w:val="004B67AB"/>
    <w:rsid w:val="004B6E83"/>
    <w:rsid w:val="004C2DB1"/>
    <w:rsid w:val="004C2FF9"/>
    <w:rsid w:val="004C4C06"/>
    <w:rsid w:val="004C4CCD"/>
    <w:rsid w:val="004C6E34"/>
    <w:rsid w:val="004C7204"/>
    <w:rsid w:val="004D045F"/>
    <w:rsid w:val="004D214D"/>
    <w:rsid w:val="004D2EE0"/>
    <w:rsid w:val="004D405A"/>
    <w:rsid w:val="004D4664"/>
    <w:rsid w:val="004D46AB"/>
    <w:rsid w:val="004D55C5"/>
    <w:rsid w:val="004D5804"/>
    <w:rsid w:val="004E2ECF"/>
    <w:rsid w:val="004E5AB1"/>
    <w:rsid w:val="004F0371"/>
    <w:rsid w:val="004F3363"/>
    <w:rsid w:val="004F4BA2"/>
    <w:rsid w:val="00500A75"/>
    <w:rsid w:val="00500FDF"/>
    <w:rsid w:val="005020D2"/>
    <w:rsid w:val="00504676"/>
    <w:rsid w:val="00505121"/>
    <w:rsid w:val="0050708B"/>
    <w:rsid w:val="0051200C"/>
    <w:rsid w:val="0051223C"/>
    <w:rsid w:val="00512E41"/>
    <w:rsid w:val="005165C6"/>
    <w:rsid w:val="005209A0"/>
    <w:rsid w:val="00521C87"/>
    <w:rsid w:val="005247E9"/>
    <w:rsid w:val="00525C94"/>
    <w:rsid w:val="00534E75"/>
    <w:rsid w:val="00536DB0"/>
    <w:rsid w:val="00544B00"/>
    <w:rsid w:val="005462F1"/>
    <w:rsid w:val="00547340"/>
    <w:rsid w:val="005474AB"/>
    <w:rsid w:val="00553E38"/>
    <w:rsid w:val="0055413D"/>
    <w:rsid w:val="00555E7B"/>
    <w:rsid w:val="00556139"/>
    <w:rsid w:val="00560A0E"/>
    <w:rsid w:val="00563453"/>
    <w:rsid w:val="005676B2"/>
    <w:rsid w:val="005725CD"/>
    <w:rsid w:val="00574EA3"/>
    <w:rsid w:val="0057565D"/>
    <w:rsid w:val="00576895"/>
    <w:rsid w:val="00576B00"/>
    <w:rsid w:val="0057795C"/>
    <w:rsid w:val="005831FB"/>
    <w:rsid w:val="005840D5"/>
    <w:rsid w:val="00585D8D"/>
    <w:rsid w:val="005865F2"/>
    <w:rsid w:val="005902CA"/>
    <w:rsid w:val="005918CE"/>
    <w:rsid w:val="005923DB"/>
    <w:rsid w:val="00597560"/>
    <w:rsid w:val="005A0893"/>
    <w:rsid w:val="005A303D"/>
    <w:rsid w:val="005B1A23"/>
    <w:rsid w:val="005B3A31"/>
    <w:rsid w:val="005B4766"/>
    <w:rsid w:val="005B53C1"/>
    <w:rsid w:val="005B5924"/>
    <w:rsid w:val="005B712C"/>
    <w:rsid w:val="005D1B25"/>
    <w:rsid w:val="005D2E97"/>
    <w:rsid w:val="005E0FDD"/>
    <w:rsid w:val="005E19D3"/>
    <w:rsid w:val="005F0D10"/>
    <w:rsid w:val="005F2B22"/>
    <w:rsid w:val="005F6C27"/>
    <w:rsid w:val="005F6C5D"/>
    <w:rsid w:val="005F7962"/>
    <w:rsid w:val="006012E8"/>
    <w:rsid w:val="00601694"/>
    <w:rsid w:val="00601741"/>
    <w:rsid w:val="00602615"/>
    <w:rsid w:val="006053D2"/>
    <w:rsid w:val="006071DC"/>
    <w:rsid w:val="00620A82"/>
    <w:rsid w:val="00625F49"/>
    <w:rsid w:val="00626B63"/>
    <w:rsid w:val="0063007A"/>
    <w:rsid w:val="006303FF"/>
    <w:rsid w:val="00630571"/>
    <w:rsid w:val="006327C9"/>
    <w:rsid w:val="0063355E"/>
    <w:rsid w:val="00635448"/>
    <w:rsid w:val="006364D4"/>
    <w:rsid w:val="00637876"/>
    <w:rsid w:val="00641E3D"/>
    <w:rsid w:val="00644638"/>
    <w:rsid w:val="00646436"/>
    <w:rsid w:val="00647D08"/>
    <w:rsid w:val="006620EC"/>
    <w:rsid w:val="006642C8"/>
    <w:rsid w:val="00665A97"/>
    <w:rsid w:val="00667220"/>
    <w:rsid w:val="00667B2D"/>
    <w:rsid w:val="00670A2E"/>
    <w:rsid w:val="00672684"/>
    <w:rsid w:val="00673F27"/>
    <w:rsid w:val="00676610"/>
    <w:rsid w:val="00681D9B"/>
    <w:rsid w:val="00682412"/>
    <w:rsid w:val="0068318F"/>
    <w:rsid w:val="00684BA5"/>
    <w:rsid w:val="00690926"/>
    <w:rsid w:val="00690ABF"/>
    <w:rsid w:val="0069249E"/>
    <w:rsid w:val="0069376F"/>
    <w:rsid w:val="00693BDF"/>
    <w:rsid w:val="006950E5"/>
    <w:rsid w:val="006974AE"/>
    <w:rsid w:val="006976B2"/>
    <w:rsid w:val="006A1ADC"/>
    <w:rsid w:val="006A4519"/>
    <w:rsid w:val="006A6017"/>
    <w:rsid w:val="006A6BB4"/>
    <w:rsid w:val="006B1D6D"/>
    <w:rsid w:val="006B31AE"/>
    <w:rsid w:val="006C0BF6"/>
    <w:rsid w:val="006C389C"/>
    <w:rsid w:val="006C3C9B"/>
    <w:rsid w:val="006C6561"/>
    <w:rsid w:val="006C773E"/>
    <w:rsid w:val="006D296F"/>
    <w:rsid w:val="006D4750"/>
    <w:rsid w:val="006E1510"/>
    <w:rsid w:val="006E2999"/>
    <w:rsid w:val="006E359C"/>
    <w:rsid w:val="006F0E8C"/>
    <w:rsid w:val="006F2F4B"/>
    <w:rsid w:val="006F3770"/>
    <w:rsid w:val="006F3D7C"/>
    <w:rsid w:val="006F3FA8"/>
    <w:rsid w:val="00700A71"/>
    <w:rsid w:val="0070122C"/>
    <w:rsid w:val="00710E39"/>
    <w:rsid w:val="007149FD"/>
    <w:rsid w:val="007208C9"/>
    <w:rsid w:val="0072127C"/>
    <w:rsid w:val="007234D7"/>
    <w:rsid w:val="007235B5"/>
    <w:rsid w:val="007268D7"/>
    <w:rsid w:val="00726FBE"/>
    <w:rsid w:val="0073502F"/>
    <w:rsid w:val="00736BD0"/>
    <w:rsid w:val="00742998"/>
    <w:rsid w:val="00745346"/>
    <w:rsid w:val="00750F66"/>
    <w:rsid w:val="00751153"/>
    <w:rsid w:val="00753C11"/>
    <w:rsid w:val="0075490C"/>
    <w:rsid w:val="007651DE"/>
    <w:rsid w:val="00765CA3"/>
    <w:rsid w:val="00766166"/>
    <w:rsid w:val="00767ECE"/>
    <w:rsid w:val="0077129C"/>
    <w:rsid w:val="00772E8F"/>
    <w:rsid w:val="00775D67"/>
    <w:rsid w:val="00785A0E"/>
    <w:rsid w:val="00794EE7"/>
    <w:rsid w:val="007A6D84"/>
    <w:rsid w:val="007B0AF6"/>
    <w:rsid w:val="007B641F"/>
    <w:rsid w:val="007C0189"/>
    <w:rsid w:val="007C4BD5"/>
    <w:rsid w:val="007D2D88"/>
    <w:rsid w:val="007D355E"/>
    <w:rsid w:val="007D3628"/>
    <w:rsid w:val="007D4086"/>
    <w:rsid w:val="007D6AE7"/>
    <w:rsid w:val="007E1BED"/>
    <w:rsid w:val="007E618F"/>
    <w:rsid w:val="007F0077"/>
    <w:rsid w:val="007F37E7"/>
    <w:rsid w:val="007F4D43"/>
    <w:rsid w:val="007F51B2"/>
    <w:rsid w:val="007F693D"/>
    <w:rsid w:val="007F775E"/>
    <w:rsid w:val="00801365"/>
    <w:rsid w:val="00802D92"/>
    <w:rsid w:val="0080346A"/>
    <w:rsid w:val="00803E1C"/>
    <w:rsid w:val="00804E74"/>
    <w:rsid w:val="00805285"/>
    <w:rsid w:val="00807319"/>
    <w:rsid w:val="008104B8"/>
    <w:rsid w:val="008157E7"/>
    <w:rsid w:val="0082013F"/>
    <w:rsid w:val="00821C27"/>
    <w:rsid w:val="00824703"/>
    <w:rsid w:val="00824E0B"/>
    <w:rsid w:val="00826127"/>
    <w:rsid w:val="00831280"/>
    <w:rsid w:val="00831681"/>
    <w:rsid w:val="00833E70"/>
    <w:rsid w:val="00835868"/>
    <w:rsid w:val="00836E28"/>
    <w:rsid w:val="0084164A"/>
    <w:rsid w:val="00841833"/>
    <w:rsid w:val="00841EB8"/>
    <w:rsid w:val="00847298"/>
    <w:rsid w:val="00852107"/>
    <w:rsid w:val="00854965"/>
    <w:rsid w:val="00867FDC"/>
    <w:rsid w:val="00872586"/>
    <w:rsid w:val="00872CC0"/>
    <w:rsid w:val="008730D6"/>
    <w:rsid w:val="0087320C"/>
    <w:rsid w:val="00873A05"/>
    <w:rsid w:val="008755DA"/>
    <w:rsid w:val="00875859"/>
    <w:rsid w:val="008768C1"/>
    <w:rsid w:val="008778FE"/>
    <w:rsid w:val="008839CD"/>
    <w:rsid w:val="00885FFD"/>
    <w:rsid w:val="00886523"/>
    <w:rsid w:val="008866C3"/>
    <w:rsid w:val="00886AEE"/>
    <w:rsid w:val="0089036D"/>
    <w:rsid w:val="0089055E"/>
    <w:rsid w:val="008960B9"/>
    <w:rsid w:val="00896D85"/>
    <w:rsid w:val="008A14E1"/>
    <w:rsid w:val="008A457F"/>
    <w:rsid w:val="008C1B9F"/>
    <w:rsid w:val="008C1DB5"/>
    <w:rsid w:val="008C5422"/>
    <w:rsid w:val="008D0FED"/>
    <w:rsid w:val="008D155D"/>
    <w:rsid w:val="008D3274"/>
    <w:rsid w:val="008D4848"/>
    <w:rsid w:val="008D7072"/>
    <w:rsid w:val="008D7940"/>
    <w:rsid w:val="008E03A9"/>
    <w:rsid w:val="008E1416"/>
    <w:rsid w:val="008E7F06"/>
    <w:rsid w:val="008F2140"/>
    <w:rsid w:val="008F2274"/>
    <w:rsid w:val="008F4525"/>
    <w:rsid w:val="008F57C5"/>
    <w:rsid w:val="00902DF4"/>
    <w:rsid w:val="009042FB"/>
    <w:rsid w:val="009100AC"/>
    <w:rsid w:val="0091798D"/>
    <w:rsid w:val="00920D0E"/>
    <w:rsid w:val="00921A84"/>
    <w:rsid w:val="009226FE"/>
    <w:rsid w:val="0092311F"/>
    <w:rsid w:val="00924994"/>
    <w:rsid w:val="00933DC6"/>
    <w:rsid w:val="00934CC7"/>
    <w:rsid w:val="00935821"/>
    <w:rsid w:val="00937CAE"/>
    <w:rsid w:val="0094047C"/>
    <w:rsid w:val="0094486B"/>
    <w:rsid w:val="00946E39"/>
    <w:rsid w:val="00947536"/>
    <w:rsid w:val="00950C15"/>
    <w:rsid w:val="00957731"/>
    <w:rsid w:val="00962976"/>
    <w:rsid w:val="00962AF3"/>
    <w:rsid w:val="00962B70"/>
    <w:rsid w:val="00962BE3"/>
    <w:rsid w:val="009663E7"/>
    <w:rsid w:val="00966BBB"/>
    <w:rsid w:val="00966FA6"/>
    <w:rsid w:val="009733C7"/>
    <w:rsid w:val="00973F52"/>
    <w:rsid w:val="00977269"/>
    <w:rsid w:val="0098123F"/>
    <w:rsid w:val="00983BE6"/>
    <w:rsid w:val="00990E7F"/>
    <w:rsid w:val="0099233B"/>
    <w:rsid w:val="00993044"/>
    <w:rsid w:val="00993AFD"/>
    <w:rsid w:val="00995072"/>
    <w:rsid w:val="0099524C"/>
    <w:rsid w:val="0099577E"/>
    <w:rsid w:val="009A24ED"/>
    <w:rsid w:val="009A301B"/>
    <w:rsid w:val="009A39DA"/>
    <w:rsid w:val="009A45AB"/>
    <w:rsid w:val="009A4E01"/>
    <w:rsid w:val="009A4F74"/>
    <w:rsid w:val="009A61DC"/>
    <w:rsid w:val="009A7FEE"/>
    <w:rsid w:val="009B2ADD"/>
    <w:rsid w:val="009B5025"/>
    <w:rsid w:val="009C1455"/>
    <w:rsid w:val="009C16CA"/>
    <w:rsid w:val="009D1286"/>
    <w:rsid w:val="009D18D0"/>
    <w:rsid w:val="009D1E12"/>
    <w:rsid w:val="009D4F59"/>
    <w:rsid w:val="009D79F2"/>
    <w:rsid w:val="009E0405"/>
    <w:rsid w:val="009E072F"/>
    <w:rsid w:val="009E0B10"/>
    <w:rsid w:val="009E1ADD"/>
    <w:rsid w:val="009E4997"/>
    <w:rsid w:val="009F21BD"/>
    <w:rsid w:val="009F23CF"/>
    <w:rsid w:val="009F4F84"/>
    <w:rsid w:val="009F610D"/>
    <w:rsid w:val="009F674E"/>
    <w:rsid w:val="009F6E2D"/>
    <w:rsid w:val="009F7EE8"/>
    <w:rsid w:val="00A02248"/>
    <w:rsid w:val="00A02A99"/>
    <w:rsid w:val="00A05D71"/>
    <w:rsid w:val="00A06DD4"/>
    <w:rsid w:val="00A0762F"/>
    <w:rsid w:val="00A11D5F"/>
    <w:rsid w:val="00A1234C"/>
    <w:rsid w:val="00A1369F"/>
    <w:rsid w:val="00A1670D"/>
    <w:rsid w:val="00A17F8D"/>
    <w:rsid w:val="00A205FD"/>
    <w:rsid w:val="00A21B2D"/>
    <w:rsid w:val="00A227AC"/>
    <w:rsid w:val="00A246A7"/>
    <w:rsid w:val="00A257BE"/>
    <w:rsid w:val="00A275A5"/>
    <w:rsid w:val="00A278F9"/>
    <w:rsid w:val="00A32C04"/>
    <w:rsid w:val="00A335C5"/>
    <w:rsid w:val="00A404D8"/>
    <w:rsid w:val="00A429C9"/>
    <w:rsid w:val="00A433F8"/>
    <w:rsid w:val="00A4360B"/>
    <w:rsid w:val="00A45F2E"/>
    <w:rsid w:val="00A5166E"/>
    <w:rsid w:val="00A53F49"/>
    <w:rsid w:val="00A550B7"/>
    <w:rsid w:val="00A55D9C"/>
    <w:rsid w:val="00A6030B"/>
    <w:rsid w:val="00A6676F"/>
    <w:rsid w:val="00A66C56"/>
    <w:rsid w:val="00A7033C"/>
    <w:rsid w:val="00A77A9E"/>
    <w:rsid w:val="00A84504"/>
    <w:rsid w:val="00A84E99"/>
    <w:rsid w:val="00A97450"/>
    <w:rsid w:val="00AA2B63"/>
    <w:rsid w:val="00AB0AF4"/>
    <w:rsid w:val="00AB4295"/>
    <w:rsid w:val="00AB44E9"/>
    <w:rsid w:val="00AB45AF"/>
    <w:rsid w:val="00AB46BD"/>
    <w:rsid w:val="00AB7040"/>
    <w:rsid w:val="00AC4A44"/>
    <w:rsid w:val="00AC5E40"/>
    <w:rsid w:val="00AC6095"/>
    <w:rsid w:val="00AC63BB"/>
    <w:rsid w:val="00AC74CC"/>
    <w:rsid w:val="00AD196A"/>
    <w:rsid w:val="00AD54E4"/>
    <w:rsid w:val="00AE12D6"/>
    <w:rsid w:val="00AE1A22"/>
    <w:rsid w:val="00AE45F6"/>
    <w:rsid w:val="00AE58BD"/>
    <w:rsid w:val="00AE64F6"/>
    <w:rsid w:val="00AE70BD"/>
    <w:rsid w:val="00AF2248"/>
    <w:rsid w:val="00AF4C46"/>
    <w:rsid w:val="00AF52A7"/>
    <w:rsid w:val="00AF7701"/>
    <w:rsid w:val="00AF77BF"/>
    <w:rsid w:val="00B02BCA"/>
    <w:rsid w:val="00B03AC2"/>
    <w:rsid w:val="00B05A91"/>
    <w:rsid w:val="00B102F3"/>
    <w:rsid w:val="00B116F2"/>
    <w:rsid w:val="00B16CF0"/>
    <w:rsid w:val="00B17D65"/>
    <w:rsid w:val="00B252B1"/>
    <w:rsid w:val="00B300EA"/>
    <w:rsid w:val="00B3436F"/>
    <w:rsid w:val="00B36438"/>
    <w:rsid w:val="00B379A9"/>
    <w:rsid w:val="00B40916"/>
    <w:rsid w:val="00B42348"/>
    <w:rsid w:val="00B42657"/>
    <w:rsid w:val="00B448B9"/>
    <w:rsid w:val="00B453F1"/>
    <w:rsid w:val="00B4657A"/>
    <w:rsid w:val="00B503C3"/>
    <w:rsid w:val="00B51A55"/>
    <w:rsid w:val="00B5240D"/>
    <w:rsid w:val="00B53C0C"/>
    <w:rsid w:val="00B560F0"/>
    <w:rsid w:val="00B623C0"/>
    <w:rsid w:val="00B6404B"/>
    <w:rsid w:val="00B66524"/>
    <w:rsid w:val="00B70242"/>
    <w:rsid w:val="00B74B9D"/>
    <w:rsid w:val="00B760E5"/>
    <w:rsid w:val="00B77B1A"/>
    <w:rsid w:val="00B8083A"/>
    <w:rsid w:val="00B828B9"/>
    <w:rsid w:val="00B82B2C"/>
    <w:rsid w:val="00B84D23"/>
    <w:rsid w:val="00B9240B"/>
    <w:rsid w:val="00B9332E"/>
    <w:rsid w:val="00B9430F"/>
    <w:rsid w:val="00B9566E"/>
    <w:rsid w:val="00B97651"/>
    <w:rsid w:val="00B977EA"/>
    <w:rsid w:val="00BA00B0"/>
    <w:rsid w:val="00BA0939"/>
    <w:rsid w:val="00BA168D"/>
    <w:rsid w:val="00BA3A82"/>
    <w:rsid w:val="00BA63DA"/>
    <w:rsid w:val="00BA682E"/>
    <w:rsid w:val="00BB50A6"/>
    <w:rsid w:val="00BB52AB"/>
    <w:rsid w:val="00BB5497"/>
    <w:rsid w:val="00BC2CAA"/>
    <w:rsid w:val="00BC6AC6"/>
    <w:rsid w:val="00BC6C55"/>
    <w:rsid w:val="00BC788A"/>
    <w:rsid w:val="00BD2C7C"/>
    <w:rsid w:val="00BE0D9D"/>
    <w:rsid w:val="00BE1A06"/>
    <w:rsid w:val="00BE3122"/>
    <w:rsid w:val="00BE6A1B"/>
    <w:rsid w:val="00BF0C00"/>
    <w:rsid w:val="00BF3401"/>
    <w:rsid w:val="00BF43F5"/>
    <w:rsid w:val="00BF5DF9"/>
    <w:rsid w:val="00C00CF7"/>
    <w:rsid w:val="00C01800"/>
    <w:rsid w:val="00C01E59"/>
    <w:rsid w:val="00C04F10"/>
    <w:rsid w:val="00C06787"/>
    <w:rsid w:val="00C07895"/>
    <w:rsid w:val="00C1446A"/>
    <w:rsid w:val="00C166DC"/>
    <w:rsid w:val="00C174C0"/>
    <w:rsid w:val="00C2227A"/>
    <w:rsid w:val="00C24F35"/>
    <w:rsid w:val="00C259A5"/>
    <w:rsid w:val="00C27B4B"/>
    <w:rsid w:val="00C27FBF"/>
    <w:rsid w:val="00C30DBC"/>
    <w:rsid w:val="00C311E6"/>
    <w:rsid w:val="00C40390"/>
    <w:rsid w:val="00C4592F"/>
    <w:rsid w:val="00C4733C"/>
    <w:rsid w:val="00C5358F"/>
    <w:rsid w:val="00C53660"/>
    <w:rsid w:val="00C555A0"/>
    <w:rsid w:val="00C55A19"/>
    <w:rsid w:val="00C575EB"/>
    <w:rsid w:val="00C60CE2"/>
    <w:rsid w:val="00C64F6C"/>
    <w:rsid w:val="00C66D4B"/>
    <w:rsid w:val="00C66F07"/>
    <w:rsid w:val="00C71FF6"/>
    <w:rsid w:val="00C7423D"/>
    <w:rsid w:val="00C831C9"/>
    <w:rsid w:val="00C86840"/>
    <w:rsid w:val="00C9394F"/>
    <w:rsid w:val="00C962EC"/>
    <w:rsid w:val="00C9658D"/>
    <w:rsid w:val="00CA0802"/>
    <w:rsid w:val="00CA110C"/>
    <w:rsid w:val="00CA5036"/>
    <w:rsid w:val="00CA6888"/>
    <w:rsid w:val="00CB129D"/>
    <w:rsid w:val="00CB1549"/>
    <w:rsid w:val="00CB1C66"/>
    <w:rsid w:val="00CB375C"/>
    <w:rsid w:val="00CC63F2"/>
    <w:rsid w:val="00CC7DA3"/>
    <w:rsid w:val="00CD2C0C"/>
    <w:rsid w:val="00CD3711"/>
    <w:rsid w:val="00CD59B8"/>
    <w:rsid w:val="00CD673D"/>
    <w:rsid w:val="00CD775D"/>
    <w:rsid w:val="00CE01C6"/>
    <w:rsid w:val="00CE1562"/>
    <w:rsid w:val="00CF1F21"/>
    <w:rsid w:val="00CF4043"/>
    <w:rsid w:val="00CF6C70"/>
    <w:rsid w:val="00D00DA7"/>
    <w:rsid w:val="00D03D9A"/>
    <w:rsid w:val="00D06492"/>
    <w:rsid w:val="00D067DB"/>
    <w:rsid w:val="00D06E15"/>
    <w:rsid w:val="00D10060"/>
    <w:rsid w:val="00D1318D"/>
    <w:rsid w:val="00D1334E"/>
    <w:rsid w:val="00D14783"/>
    <w:rsid w:val="00D14C25"/>
    <w:rsid w:val="00D157D3"/>
    <w:rsid w:val="00D20757"/>
    <w:rsid w:val="00D22449"/>
    <w:rsid w:val="00D2394E"/>
    <w:rsid w:val="00D24EE2"/>
    <w:rsid w:val="00D25A95"/>
    <w:rsid w:val="00D33D74"/>
    <w:rsid w:val="00D35463"/>
    <w:rsid w:val="00D41D61"/>
    <w:rsid w:val="00D41E86"/>
    <w:rsid w:val="00D45902"/>
    <w:rsid w:val="00D5421A"/>
    <w:rsid w:val="00D5539E"/>
    <w:rsid w:val="00D5674F"/>
    <w:rsid w:val="00D57A33"/>
    <w:rsid w:val="00D60DFA"/>
    <w:rsid w:val="00D66F56"/>
    <w:rsid w:val="00D7210C"/>
    <w:rsid w:val="00D7457E"/>
    <w:rsid w:val="00D7616E"/>
    <w:rsid w:val="00D80BD3"/>
    <w:rsid w:val="00D811D7"/>
    <w:rsid w:val="00D827F2"/>
    <w:rsid w:val="00D82CD5"/>
    <w:rsid w:val="00D86CC5"/>
    <w:rsid w:val="00D9036B"/>
    <w:rsid w:val="00D90AFE"/>
    <w:rsid w:val="00D90EDB"/>
    <w:rsid w:val="00D93470"/>
    <w:rsid w:val="00D94958"/>
    <w:rsid w:val="00D951A4"/>
    <w:rsid w:val="00D96E01"/>
    <w:rsid w:val="00DA0BCD"/>
    <w:rsid w:val="00DA1643"/>
    <w:rsid w:val="00DA5626"/>
    <w:rsid w:val="00DA5638"/>
    <w:rsid w:val="00DA61B1"/>
    <w:rsid w:val="00DB2A9C"/>
    <w:rsid w:val="00DB7914"/>
    <w:rsid w:val="00DC05A1"/>
    <w:rsid w:val="00DD070A"/>
    <w:rsid w:val="00DD128A"/>
    <w:rsid w:val="00DD2009"/>
    <w:rsid w:val="00DD3462"/>
    <w:rsid w:val="00DE3776"/>
    <w:rsid w:val="00DE3C2D"/>
    <w:rsid w:val="00DF071E"/>
    <w:rsid w:val="00E02CEF"/>
    <w:rsid w:val="00E06DDA"/>
    <w:rsid w:val="00E10A6A"/>
    <w:rsid w:val="00E151AB"/>
    <w:rsid w:val="00E17D5D"/>
    <w:rsid w:val="00E21257"/>
    <w:rsid w:val="00E24711"/>
    <w:rsid w:val="00E25894"/>
    <w:rsid w:val="00E27105"/>
    <w:rsid w:val="00E27CD2"/>
    <w:rsid w:val="00E33364"/>
    <w:rsid w:val="00E421D0"/>
    <w:rsid w:val="00E45FA5"/>
    <w:rsid w:val="00E46E4D"/>
    <w:rsid w:val="00E5270C"/>
    <w:rsid w:val="00E567F7"/>
    <w:rsid w:val="00E62451"/>
    <w:rsid w:val="00E64141"/>
    <w:rsid w:val="00E663CA"/>
    <w:rsid w:val="00E66B79"/>
    <w:rsid w:val="00E672D3"/>
    <w:rsid w:val="00E7101F"/>
    <w:rsid w:val="00E762F5"/>
    <w:rsid w:val="00E764A3"/>
    <w:rsid w:val="00E82C70"/>
    <w:rsid w:val="00E85D8D"/>
    <w:rsid w:val="00E86DB0"/>
    <w:rsid w:val="00E96EC5"/>
    <w:rsid w:val="00E96EED"/>
    <w:rsid w:val="00E97E57"/>
    <w:rsid w:val="00EA0257"/>
    <w:rsid w:val="00EA1295"/>
    <w:rsid w:val="00EA6E3E"/>
    <w:rsid w:val="00EB2EC6"/>
    <w:rsid w:val="00EB318A"/>
    <w:rsid w:val="00EC167F"/>
    <w:rsid w:val="00EC3691"/>
    <w:rsid w:val="00ED1464"/>
    <w:rsid w:val="00ED3438"/>
    <w:rsid w:val="00ED5091"/>
    <w:rsid w:val="00ED57CF"/>
    <w:rsid w:val="00ED670C"/>
    <w:rsid w:val="00EE2FB9"/>
    <w:rsid w:val="00EE5034"/>
    <w:rsid w:val="00EE6CCB"/>
    <w:rsid w:val="00EF188F"/>
    <w:rsid w:val="00EF4D22"/>
    <w:rsid w:val="00EF53E8"/>
    <w:rsid w:val="00F00EB2"/>
    <w:rsid w:val="00F04358"/>
    <w:rsid w:val="00F046A9"/>
    <w:rsid w:val="00F05D17"/>
    <w:rsid w:val="00F07144"/>
    <w:rsid w:val="00F12658"/>
    <w:rsid w:val="00F131F1"/>
    <w:rsid w:val="00F1398E"/>
    <w:rsid w:val="00F150F6"/>
    <w:rsid w:val="00F22713"/>
    <w:rsid w:val="00F27277"/>
    <w:rsid w:val="00F27E06"/>
    <w:rsid w:val="00F30783"/>
    <w:rsid w:val="00F35DEF"/>
    <w:rsid w:val="00F40A05"/>
    <w:rsid w:val="00F41F1B"/>
    <w:rsid w:val="00F43615"/>
    <w:rsid w:val="00F46CA9"/>
    <w:rsid w:val="00F5722F"/>
    <w:rsid w:val="00F60032"/>
    <w:rsid w:val="00F62D80"/>
    <w:rsid w:val="00F65391"/>
    <w:rsid w:val="00F657F6"/>
    <w:rsid w:val="00F658D0"/>
    <w:rsid w:val="00F66284"/>
    <w:rsid w:val="00F666CE"/>
    <w:rsid w:val="00F70096"/>
    <w:rsid w:val="00F73E5D"/>
    <w:rsid w:val="00F7415E"/>
    <w:rsid w:val="00F75FBF"/>
    <w:rsid w:val="00F7612C"/>
    <w:rsid w:val="00F80C23"/>
    <w:rsid w:val="00F829C2"/>
    <w:rsid w:val="00F84C2E"/>
    <w:rsid w:val="00F8691B"/>
    <w:rsid w:val="00F90926"/>
    <w:rsid w:val="00F950F2"/>
    <w:rsid w:val="00F96821"/>
    <w:rsid w:val="00FA31AF"/>
    <w:rsid w:val="00FA7BA0"/>
    <w:rsid w:val="00FB6C1A"/>
    <w:rsid w:val="00FB7D17"/>
    <w:rsid w:val="00FC03B4"/>
    <w:rsid w:val="00FC3D16"/>
    <w:rsid w:val="00FD1296"/>
    <w:rsid w:val="00FD25BA"/>
    <w:rsid w:val="00FD38CB"/>
    <w:rsid w:val="00FD6EB8"/>
    <w:rsid w:val="00FD7341"/>
    <w:rsid w:val="00FD7BAA"/>
    <w:rsid w:val="00FE063B"/>
    <w:rsid w:val="00FE1F21"/>
    <w:rsid w:val="00FE218B"/>
    <w:rsid w:val="00FE2E83"/>
    <w:rsid w:val="00FE44C1"/>
    <w:rsid w:val="00FE4CED"/>
    <w:rsid w:val="00FE65AE"/>
    <w:rsid w:val="00FE67F8"/>
    <w:rsid w:val="00FE7BBD"/>
    <w:rsid w:val="00FF1CD6"/>
    <w:rsid w:val="00FF7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68A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804"/>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unhideWhenUsed/>
    <w:rPr>
      <w:color w:val="0000FF"/>
      <w:u w:val="singl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uiPriority w:val="99"/>
    <w:unhideWhenUsed/>
    <w:qFormat/>
    <w:pPr>
      <w:spacing w:after="24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Char Char1,Fußnote Char1,Carattere Char1,fn Char2,Footnotes Char2,Footnote ak Char1,Footnote Text Char1 Char1,Footnote Text Char Char Char1,fn Char Char Char1,footnote text Char Char Char1,Footnotes Char Char Char1,fn Char1 Char"/>
    <w:basedOn w:val="DefaultParagraphFont"/>
    <w:uiPriority w:val="99"/>
    <w:qFormat/>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E FNZ,FR"/>
    <w:link w:val="CharCharChar1"/>
    <w:uiPriority w:val="99"/>
    <w:unhideWhenUsed/>
    <w:qFormat/>
    <w:rPr>
      <w:vertAlign w:val="superscript"/>
    </w:rPr>
  </w:style>
  <w:style w:type="character" w:styleId="CommentReference">
    <w:name w:val="annotation reference"/>
    <w:basedOn w:val="DefaultParagraphFont"/>
    <w:uiPriority w:val="99"/>
    <w:unhideWhenUsed/>
    <w:rPr>
      <w:sz w:val="18"/>
      <w:szCs w:val="18"/>
    </w:rPr>
  </w:style>
  <w:style w:type="paragraph" w:styleId="CommentText">
    <w:name w:val="annotation text"/>
    <w:basedOn w:val="Normal"/>
    <w:link w:val="CommentTextChar"/>
    <w:uiPriority w:val="99"/>
    <w:unhideWhenUsed/>
    <w:pPr>
      <w:spacing w:before="120" w:after="240"/>
      <w:jc w:val="both"/>
    </w:pPr>
    <w:rPr>
      <w:rFonts w:eastAsiaTheme="minorEastAsia"/>
      <w:sz w:val="24"/>
      <w:szCs w:val="24"/>
    </w:rPr>
  </w:style>
  <w:style w:type="character" w:customStyle="1" w:styleId="CommentTextChar">
    <w:name w:val="Comment Text Char"/>
    <w:basedOn w:val="DefaultParagraphFont"/>
    <w:link w:val="CommentText"/>
    <w:uiPriority w:val="99"/>
    <w:rPr>
      <w:rFonts w:eastAsiaTheme="minorEastAsi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CM1">
    <w:name w:val="CM1"/>
    <w:basedOn w:val="Default"/>
    <w:next w:val="Default"/>
    <w:uiPriority w:val="99"/>
    <w:pPr>
      <w:widowControl/>
    </w:pPr>
    <w:rPr>
      <w:rFonts w:ascii="EUAlbertina" w:eastAsiaTheme="minorHAnsi" w:hAnsi="EUAlbertina" w:cstheme="minorBidi"/>
      <w:color w:val="auto"/>
      <w:lang w:val="en-GB"/>
    </w:rPr>
  </w:style>
  <w:style w:type="paragraph" w:customStyle="1" w:styleId="CM3">
    <w:name w:val="CM3"/>
    <w:basedOn w:val="Default"/>
    <w:next w:val="Default"/>
    <w:uiPriority w:val="99"/>
    <w:pPr>
      <w:widowControl/>
    </w:pPr>
    <w:rPr>
      <w:rFonts w:ascii="EUAlbertina" w:eastAsiaTheme="minorHAnsi" w:hAnsi="EUAlbertina" w:cstheme="minorBidi"/>
      <w:color w:val="auto"/>
      <w:lang w:val="en-GB"/>
    </w:rPr>
  </w:style>
  <w:style w:type="paragraph" w:customStyle="1" w:styleId="CM4">
    <w:name w:val="CM4"/>
    <w:basedOn w:val="Default"/>
    <w:next w:val="Default"/>
    <w:uiPriority w:val="99"/>
    <w:pPr>
      <w:widowControl/>
    </w:pPr>
    <w:rPr>
      <w:rFonts w:ascii="EUAlbertina" w:eastAsiaTheme="minorHAnsi" w:hAnsi="EUAlbertina" w:cstheme="minorBidi"/>
      <w:color w:val="auto"/>
      <w:lang w:val="en-GB"/>
    </w:rPr>
  </w:style>
  <w:style w:type="character" w:customStyle="1" w:styleId="apple-converted-space">
    <w:name w:val="apple-converted-space"/>
    <w:basedOn w:val="DefaultParagraphFont"/>
  </w:style>
  <w:style w:type="paragraph" w:customStyle="1" w:styleId="Style1">
    <w:name w:val="Style1"/>
    <w:basedOn w:val="Normal"/>
    <w:link w:val="Style1Char"/>
    <w:qFormat/>
    <w:pPr>
      <w:numPr>
        <w:numId w:val="4"/>
      </w:numPr>
      <w:jc w:val="both"/>
    </w:pPr>
    <w:rPr>
      <w:rFonts w:ascii="EC Square Sans Pro" w:eastAsia="Calibri" w:hAnsi="EC Square Sans Pro" w:cs="Times New Roman"/>
      <w:b/>
      <w:color w:val="2E74B5"/>
      <w:sz w:val="24"/>
      <w:szCs w:val="24"/>
    </w:rPr>
  </w:style>
  <w:style w:type="paragraph" w:customStyle="1" w:styleId="Style2">
    <w:name w:val="Style2"/>
    <w:basedOn w:val="Style1"/>
    <w:qFormat/>
    <w:pPr>
      <w:numPr>
        <w:ilvl w:val="1"/>
      </w:numPr>
      <w:tabs>
        <w:tab w:val="num" w:pos="360"/>
      </w:tabs>
    </w:pPr>
    <w:rPr>
      <w:b w:val="0"/>
    </w:rPr>
  </w:style>
  <w:style w:type="character" w:customStyle="1" w:styleId="Style1Char">
    <w:name w:val="Style1 Char"/>
    <w:link w:val="Style1"/>
    <w:rPr>
      <w:rFonts w:ascii="EC Square Sans Pro" w:eastAsia="Calibri" w:hAnsi="EC Square Sans Pro" w:cs="Times New Roman"/>
      <w:b/>
      <w:color w:val="2E74B5"/>
      <w:sz w:val="24"/>
      <w:szCs w:val="24"/>
    </w:rPr>
  </w:style>
  <w:style w:type="character" w:styleId="BookTitle">
    <w:name w:val="Book Title"/>
    <w:aliases w:val="Recommendation"/>
    <w:autoRedefine/>
    <w:uiPriority w:val="33"/>
    <w:qFormat/>
    <w:rPr>
      <w:rFonts w:ascii="Verdana" w:hAnsi="Verdana" w:cs="Arial"/>
      <w:b/>
      <w:sz w:val="20"/>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Nad,EC"/>
    <w:basedOn w:val="Normal"/>
    <w:link w:val="ListParagraphChar"/>
    <w:uiPriority w:val="34"/>
    <w:qFormat/>
    <w:pPr>
      <w:ind w:left="720"/>
      <w:jc w:val="both"/>
    </w:pPr>
    <w:rPr>
      <w:rFonts w:ascii="Times New Roman" w:eastAsiaTheme="minorEastAsia" w:hAnsi="Times New Roman"/>
      <w:sz w:val="24"/>
      <w:lang w:eastAsia="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Nad Char"/>
    <w:basedOn w:val="DefaultParagraphFont"/>
    <w:link w:val="ListParagraph"/>
    <w:uiPriority w:val="34"/>
    <w:qFormat/>
    <w:rPr>
      <w:rFonts w:ascii="Times New Roman" w:eastAsiaTheme="minorEastAsia" w:hAnsi="Times New Roman"/>
      <w:sz w:val="24"/>
      <w:lang w:eastAsia="en-GB"/>
    </w:rPr>
  </w:style>
  <w:style w:type="paragraph" w:customStyle="1" w:styleId="Body">
    <w:name w:val="Body"/>
    <w:basedOn w:val="Normal"/>
    <w:link w:val="BodyChar"/>
    <w:qFormat/>
    <w:pPr>
      <w:spacing w:before="120" w:after="0"/>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pPr>
      <w:spacing w:before="0" w:after="200" w:line="240" w:lineRule="auto"/>
      <w:jc w:val="left"/>
    </w:pPr>
    <w:rPr>
      <w:rFonts w:eastAsiaTheme="minorHAnsi"/>
      <w:b/>
      <w:bCs/>
      <w:sz w:val="20"/>
      <w:szCs w:val="20"/>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b.,b,F2 Body Text,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bCs w:val="0"/>
      <w:color w:val="365F91" w:themeColor="accent1" w:themeShade="BF"/>
      <w:sz w:val="32"/>
      <w:szCs w:val="2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bCs w:val="0"/>
      <w:color w:val="365F91" w:themeColor="accent1" w:themeShade="BF"/>
      <w:sz w:val="32"/>
      <w:szCs w:val="28"/>
    </w:rPr>
  </w:style>
  <w:style w:type="table" w:styleId="TableGrid">
    <w:name w:val="Table Grid"/>
    <w:basedOn w:val="TableNormal"/>
    <w:uiPriority w:val="39"/>
    <w:unhideWhenUsed/>
    <w:rsid w:val="00C06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7101F"/>
    <w:rPr>
      <w:color w:val="605E5C"/>
      <w:shd w:val="clear" w:color="auto" w:fill="E1DFDD"/>
    </w:rPr>
  </w:style>
  <w:style w:type="paragraph" w:customStyle="1" w:styleId="Disclaimer">
    <w:name w:val="Disclaimer"/>
    <w:basedOn w:val="Normal"/>
    <w:rsid w:val="00A11D5F"/>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2D37F1"/>
    <w:pPr>
      <w:spacing w:after="0"/>
      <w:ind w:left="5103"/>
    </w:pPr>
    <w:rPr>
      <w:rFonts w:ascii="Times New Roman" w:hAnsi="Times New Roman" w:cs="Times New Roman"/>
      <w:sz w:val="28"/>
    </w:rPr>
  </w:style>
  <w:style w:type="paragraph" w:customStyle="1" w:styleId="DateMarking">
    <w:name w:val="DateMarking"/>
    <w:basedOn w:val="Normal"/>
    <w:rsid w:val="002D37F1"/>
    <w:pPr>
      <w:spacing w:after="0"/>
      <w:ind w:left="5103"/>
    </w:pPr>
    <w:rPr>
      <w:rFonts w:ascii="Times New Roman" w:hAnsi="Times New Roman" w:cs="Times New Roman"/>
      <w:i/>
      <w:sz w:val="28"/>
    </w:rPr>
  </w:style>
  <w:style w:type="paragraph" w:customStyle="1" w:styleId="ReleasableTo">
    <w:name w:val="ReleasableTo"/>
    <w:basedOn w:val="Normal"/>
    <w:rsid w:val="002D37F1"/>
    <w:pPr>
      <w:spacing w:after="0"/>
      <w:ind w:left="5103"/>
    </w:pPr>
    <w:rPr>
      <w:rFonts w:ascii="Times New Roman" w:hAnsi="Times New Roman" w:cs="Times New Roman"/>
      <w:i/>
      <w:sz w:val="28"/>
    </w:rPr>
  </w:style>
  <w:style w:type="paragraph" w:customStyle="1" w:styleId="HeaderSensitivityRight">
    <w:name w:val="Header Sensitivity Right"/>
    <w:basedOn w:val="Normal"/>
    <w:rsid w:val="002D37F1"/>
    <w:pPr>
      <w:spacing w:after="120" w:line="240" w:lineRule="auto"/>
      <w:jc w:val="right"/>
    </w:pPr>
    <w:rPr>
      <w:rFonts w:ascii="Times New Roman" w:hAnsi="Times New Roman" w:cs="Times New Roman"/>
      <w:sz w:val="28"/>
    </w:rPr>
  </w:style>
  <w:style w:type="character" w:customStyle="1" w:styleId="Bodytext1">
    <w:name w:val="Body text|1_"/>
    <w:basedOn w:val="DefaultParagraphFont"/>
    <w:link w:val="Bodytext10"/>
    <w:rsid w:val="00425395"/>
  </w:style>
  <w:style w:type="paragraph" w:customStyle="1" w:styleId="Bodytext10">
    <w:name w:val="Body text|1"/>
    <w:basedOn w:val="Normal"/>
    <w:link w:val="Bodytext1"/>
    <w:rsid w:val="00425395"/>
    <w:pPr>
      <w:widowControl w:val="0"/>
      <w:spacing w:after="240" w:line="240" w:lineRule="auto"/>
    </w:pPr>
  </w:style>
  <w:style w:type="character" w:styleId="Strong">
    <w:name w:val="Strong"/>
    <w:basedOn w:val="DefaultParagraphFont"/>
    <w:uiPriority w:val="22"/>
    <w:qFormat/>
    <w:rsid w:val="009A4E01"/>
    <w:rPr>
      <w:b/>
      <w:bCs/>
    </w:rPr>
  </w:style>
  <w:style w:type="paragraph" w:customStyle="1" w:styleId="CharCharChar1">
    <w:name w:val="Char Char Char1"/>
    <w:basedOn w:val="Normal"/>
    <w:link w:val="FootnoteReference"/>
    <w:uiPriority w:val="99"/>
    <w:rsid w:val="00700A71"/>
    <w:pPr>
      <w:spacing w:after="160" w:line="240" w:lineRule="exact"/>
    </w:pPr>
    <w:rPr>
      <w:vertAlign w:val="superscript"/>
    </w:rPr>
  </w:style>
  <w:style w:type="paragraph" w:customStyle="1" w:styleId="ListBullet1">
    <w:name w:val="List Bullet 1"/>
    <w:basedOn w:val="Normal"/>
    <w:uiPriority w:val="1"/>
    <w:rsid w:val="003F34E5"/>
    <w:pPr>
      <w:numPr>
        <w:numId w:val="50"/>
      </w:numPr>
      <w:spacing w:after="240" w:line="240" w:lineRule="auto"/>
      <w:jc w:val="both"/>
    </w:pPr>
    <w:rPr>
      <w:rFonts w:ascii="Times New Roman" w:eastAsia="Times New Roman" w:hAnsi="Times New Roman" w:cs="Times New Roman"/>
      <w:sz w:val="24"/>
      <w:szCs w:val="20"/>
    </w:rPr>
  </w:style>
  <w:style w:type="character" w:customStyle="1" w:styleId="fc6omth">
    <w:name w:val="fc6omth"/>
    <w:basedOn w:val="DefaultParagraphFont"/>
    <w:rsid w:val="008C5422"/>
  </w:style>
  <w:style w:type="paragraph" w:styleId="NormalWeb">
    <w:name w:val="Normal (Web)"/>
    <w:basedOn w:val="Normal"/>
    <w:uiPriority w:val="99"/>
    <w:semiHidden/>
    <w:unhideWhenUsed/>
    <w:rsid w:val="00BA3A82"/>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UnresolvedMention">
    <w:name w:val="Unresolved Mention"/>
    <w:basedOn w:val="DefaultParagraphFont"/>
    <w:uiPriority w:val="99"/>
    <w:semiHidden/>
    <w:unhideWhenUsed/>
    <w:rsid w:val="00355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2102">
      <w:bodyDiv w:val="1"/>
      <w:marLeft w:val="0"/>
      <w:marRight w:val="0"/>
      <w:marTop w:val="0"/>
      <w:marBottom w:val="0"/>
      <w:divBdr>
        <w:top w:val="none" w:sz="0" w:space="0" w:color="auto"/>
        <w:left w:val="none" w:sz="0" w:space="0" w:color="auto"/>
        <w:bottom w:val="none" w:sz="0" w:space="0" w:color="auto"/>
        <w:right w:val="none" w:sz="0" w:space="0" w:color="auto"/>
      </w:divBdr>
    </w:div>
    <w:div w:id="222643291">
      <w:bodyDiv w:val="1"/>
      <w:marLeft w:val="0"/>
      <w:marRight w:val="0"/>
      <w:marTop w:val="0"/>
      <w:marBottom w:val="0"/>
      <w:divBdr>
        <w:top w:val="none" w:sz="0" w:space="0" w:color="auto"/>
        <w:left w:val="none" w:sz="0" w:space="0" w:color="auto"/>
        <w:bottom w:val="none" w:sz="0" w:space="0" w:color="auto"/>
        <w:right w:val="none" w:sz="0" w:space="0" w:color="auto"/>
      </w:divBdr>
    </w:div>
    <w:div w:id="309100157">
      <w:bodyDiv w:val="1"/>
      <w:marLeft w:val="0"/>
      <w:marRight w:val="0"/>
      <w:marTop w:val="0"/>
      <w:marBottom w:val="0"/>
      <w:divBdr>
        <w:top w:val="none" w:sz="0" w:space="0" w:color="auto"/>
        <w:left w:val="none" w:sz="0" w:space="0" w:color="auto"/>
        <w:bottom w:val="none" w:sz="0" w:space="0" w:color="auto"/>
        <w:right w:val="none" w:sz="0" w:space="0" w:color="auto"/>
      </w:divBdr>
    </w:div>
    <w:div w:id="309949096">
      <w:bodyDiv w:val="1"/>
      <w:marLeft w:val="0"/>
      <w:marRight w:val="0"/>
      <w:marTop w:val="0"/>
      <w:marBottom w:val="0"/>
      <w:divBdr>
        <w:top w:val="none" w:sz="0" w:space="0" w:color="auto"/>
        <w:left w:val="none" w:sz="0" w:space="0" w:color="auto"/>
        <w:bottom w:val="none" w:sz="0" w:space="0" w:color="auto"/>
        <w:right w:val="none" w:sz="0" w:space="0" w:color="auto"/>
      </w:divBdr>
    </w:div>
    <w:div w:id="463813748">
      <w:bodyDiv w:val="1"/>
      <w:marLeft w:val="0"/>
      <w:marRight w:val="0"/>
      <w:marTop w:val="0"/>
      <w:marBottom w:val="0"/>
      <w:divBdr>
        <w:top w:val="none" w:sz="0" w:space="0" w:color="auto"/>
        <w:left w:val="none" w:sz="0" w:space="0" w:color="auto"/>
        <w:bottom w:val="none" w:sz="0" w:space="0" w:color="auto"/>
        <w:right w:val="none" w:sz="0" w:space="0" w:color="auto"/>
      </w:divBdr>
    </w:div>
    <w:div w:id="584342942">
      <w:bodyDiv w:val="1"/>
      <w:marLeft w:val="0"/>
      <w:marRight w:val="0"/>
      <w:marTop w:val="0"/>
      <w:marBottom w:val="0"/>
      <w:divBdr>
        <w:top w:val="none" w:sz="0" w:space="0" w:color="auto"/>
        <w:left w:val="none" w:sz="0" w:space="0" w:color="auto"/>
        <w:bottom w:val="none" w:sz="0" w:space="0" w:color="auto"/>
        <w:right w:val="none" w:sz="0" w:space="0" w:color="auto"/>
      </w:divBdr>
    </w:div>
    <w:div w:id="900365604">
      <w:bodyDiv w:val="1"/>
      <w:marLeft w:val="0"/>
      <w:marRight w:val="0"/>
      <w:marTop w:val="0"/>
      <w:marBottom w:val="0"/>
      <w:divBdr>
        <w:top w:val="none" w:sz="0" w:space="0" w:color="auto"/>
        <w:left w:val="none" w:sz="0" w:space="0" w:color="auto"/>
        <w:bottom w:val="none" w:sz="0" w:space="0" w:color="auto"/>
        <w:right w:val="none" w:sz="0" w:space="0" w:color="auto"/>
      </w:divBdr>
    </w:div>
    <w:div w:id="1024139693">
      <w:bodyDiv w:val="1"/>
      <w:marLeft w:val="0"/>
      <w:marRight w:val="0"/>
      <w:marTop w:val="0"/>
      <w:marBottom w:val="0"/>
      <w:divBdr>
        <w:top w:val="none" w:sz="0" w:space="0" w:color="auto"/>
        <w:left w:val="none" w:sz="0" w:space="0" w:color="auto"/>
        <w:bottom w:val="none" w:sz="0" w:space="0" w:color="auto"/>
        <w:right w:val="none" w:sz="0" w:space="0" w:color="auto"/>
      </w:divBdr>
    </w:div>
    <w:div w:id="1135028463">
      <w:bodyDiv w:val="1"/>
      <w:marLeft w:val="0"/>
      <w:marRight w:val="0"/>
      <w:marTop w:val="0"/>
      <w:marBottom w:val="0"/>
      <w:divBdr>
        <w:top w:val="none" w:sz="0" w:space="0" w:color="auto"/>
        <w:left w:val="none" w:sz="0" w:space="0" w:color="auto"/>
        <w:bottom w:val="none" w:sz="0" w:space="0" w:color="auto"/>
        <w:right w:val="none" w:sz="0" w:space="0" w:color="auto"/>
      </w:divBdr>
    </w:div>
    <w:div w:id="1138837394">
      <w:bodyDiv w:val="1"/>
      <w:marLeft w:val="0"/>
      <w:marRight w:val="0"/>
      <w:marTop w:val="0"/>
      <w:marBottom w:val="0"/>
      <w:divBdr>
        <w:top w:val="none" w:sz="0" w:space="0" w:color="auto"/>
        <w:left w:val="none" w:sz="0" w:space="0" w:color="auto"/>
        <w:bottom w:val="none" w:sz="0" w:space="0" w:color="auto"/>
        <w:right w:val="none" w:sz="0" w:space="0" w:color="auto"/>
      </w:divBdr>
    </w:div>
    <w:div w:id="1287347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77774-E5EF-4038-8B70-CDF21059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12798</Words>
  <Characters>72955</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2024-11-04T06:53:00Z</dcterms:created>
  <dcterms:modified xsi:type="dcterms:W3CDTF">2024-11-28T09:33:00Z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2024-07-12T10:17:30Z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80f17e91-21c2-4b57-8440-3d816e70cffe</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9.0, Build 20230317</vt:lpwstr>
  </property>
  <property fmtid="{D5CDD505-2E9C-101B-9397-08002B2CF9AE}" pid="11" name="DocStatus">
    <vt:lpwstr>Green</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CP-007</vt:lpwstr>
  </property>
</Properties>
</file>