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4A580" w14:textId="64C95C4D" w:rsidR="00252239" w:rsidRDefault="00D741AE" w:rsidP="00D741AE">
      <w:pPr>
        <w:pStyle w:val="Pagedecouverture"/>
        <w:rPr>
          <w:noProof/>
        </w:rPr>
      </w:pPr>
      <w:bookmarkStart w:id="0" w:name="LW_BM_COVERPAGE"/>
      <w:r>
        <w:rPr>
          <w:noProof/>
        </w:rPr>
        <w:pict w14:anchorId="2E616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904D12D-0CE9-496D-AD93-F69F638C6611" style="width:455.25pt;height:310.5pt">
            <v:imagedata r:id="rId8" o:title=""/>
          </v:shape>
        </w:pict>
      </w:r>
    </w:p>
    <w:bookmarkEnd w:id="0"/>
    <w:p w14:paraId="381EFA68" w14:textId="77777777" w:rsidR="00252239" w:rsidRDefault="00252239" w:rsidP="00252239">
      <w:pPr>
        <w:rPr>
          <w:noProof/>
        </w:rPr>
        <w:sectPr w:rsidR="00252239" w:rsidSect="00D741A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420F41A0" w14:textId="281EDCAD" w:rsidR="003D5244" w:rsidRPr="00B846B0" w:rsidRDefault="003D5244" w:rsidP="00834CAD">
      <w:pPr>
        <w:spacing w:after="120"/>
        <w:rPr>
          <w:b/>
          <w:noProof/>
          <w:u w:val="single"/>
        </w:rPr>
      </w:pPr>
      <w:bookmarkStart w:id="1" w:name="_GoBack"/>
      <w:bookmarkEnd w:id="1"/>
      <w:r>
        <w:rPr>
          <w:b/>
          <w:noProof/>
          <w:u w:val="single"/>
        </w:rPr>
        <w:lastRenderedPageBreak/>
        <w:t xml:space="preserve">1. Indledning: </w:t>
      </w:r>
    </w:p>
    <w:p w14:paraId="67A136F0" w14:textId="0E103E97" w:rsidR="00607CDD" w:rsidRDefault="003D5244" w:rsidP="00834CAD">
      <w:pPr>
        <w:tabs>
          <w:tab w:val="left" w:pos="7875"/>
        </w:tabs>
        <w:spacing w:after="120"/>
        <w:jc w:val="both"/>
        <w:rPr>
          <w:noProof/>
        </w:rPr>
      </w:pPr>
      <w:r>
        <w:rPr>
          <w:noProof/>
        </w:rPr>
        <w:t xml:space="preserve">Denne årlige oversigt for 2023 over offentligt støttet eksportkreditvirksomhed udarbejdes i henhold til Europa-Parlamentets og Rådets forordning (EU) nr. 1233/2011 af 16. november 2011 om anvendelse af visse retningslinjer for offentligt støttede eksportkreditter. Den omfatter offentligt støttet eksportkreditvirksomhed, der udføres af medlemsstaternes eksportkreditinstitutter (EKI'er), og er baseret på oplysninger fra medlemsstaterne i de årlige aktivitetsrapporter, som de stiller til rådighed for Kommissionen, også i henhold til forordningen. Rapporterne følger en standardiseret model (også kaldet "tjeklistemodellen"), som er aftalt mellem medlemsstaterne, og som er blevet gennemgået og forbedret over tid. Den model, som medlemsstaterne anvender til deres rapporter for 2023, er en ny udgave, som indeholder yderligere oplysninger om klimabeskyttelse i forhold til den tidligere udgave, navnlig en sektorspecifik klimaorienteret gennemgang af offentligt støttet eksportkreditvirksomhed samt mere harmoniseret finansiel rapportering. </w:t>
      </w:r>
    </w:p>
    <w:p w14:paraId="2CA5BEDD" w14:textId="0D316E6A" w:rsidR="00DE281C" w:rsidRPr="00B846B0" w:rsidRDefault="00DE281C" w:rsidP="00710195">
      <w:pPr>
        <w:tabs>
          <w:tab w:val="left" w:pos="7875"/>
        </w:tabs>
        <w:spacing w:after="120"/>
        <w:jc w:val="both"/>
        <w:rPr>
          <w:noProof/>
        </w:rPr>
      </w:pPr>
    </w:p>
    <w:p w14:paraId="67862E1C" w14:textId="3A7B081E" w:rsidR="003D5244" w:rsidRPr="00B846B0" w:rsidRDefault="003D5244" w:rsidP="00834CAD">
      <w:pPr>
        <w:spacing w:after="120"/>
        <w:rPr>
          <w:b/>
          <w:noProof/>
          <w:u w:val="single"/>
        </w:rPr>
      </w:pPr>
      <w:r>
        <w:rPr>
          <w:b/>
          <w:noProof/>
          <w:u w:val="single"/>
        </w:rPr>
        <w:t>2. Årlige aktivitetsrapporter for kalenderåret 2023:</w:t>
      </w:r>
    </w:p>
    <w:p w14:paraId="0A36BF15" w14:textId="1D3405AE" w:rsidR="007B490E" w:rsidRPr="00B846B0" w:rsidRDefault="006B6567" w:rsidP="00834CAD">
      <w:pPr>
        <w:spacing w:after="120"/>
        <w:jc w:val="both"/>
        <w:rPr>
          <w:noProof/>
        </w:rPr>
      </w:pPr>
      <w:r>
        <w:rPr>
          <w:noProof/>
        </w:rPr>
        <w:t xml:space="preserve">Følgende 20 medlemsstater ydede offentligt støttede eksportkreditter i 2023 inden for anvendelsesområdet for arrangementet vedrørende offentligt støttede eksportkreditter ("arrangementet"): Belgien, Danmark, Estland, Finland, Frankrig, Italien, Kroatien, Luxembourg, Nederlandene, Polen, Portugal, Rumænien, Slovenien, Slovakiet, Spanien, Sverige, Tjekkiet, Tyskland, Ungarn og Østrig. Alle indsendte en årlig aktivitetsrapport for 2023. </w:t>
      </w:r>
    </w:p>
    <w:p w14:paraId="29080AFA" w14:textId="79E9A766" w:rsidR="006B6567" w:rsidRDefault="00727F2A" w:rsidP="00834CAD">
      <w:pPr>
        <w:spacing w:after="120"/>
        <w:jc w:val="both"/>
        <w:rPr>
          <w:noProof/>
        </w:rPr>
      </w:pPr>
      <w:r>
        <w:rPr>
          <w:noProof/>
        </w:rPr>
        <w:t>De resterende medlemsstater, Bulgarien, Cypern, Grækenland, Irland, Letland, Litauen og Malta, bekræftede, at de ikke ydede offentligt støttede eksportkreditter i rapporteringsåret.</w:t>
      </w:r>
    </w:p>
    <w:p w14:paraId="2D76F54B" w14:textId="77777777" w:rsidR="002F480D" w:rsidRPr="00B846B0" w:rsidRDefault="002F480D" w:rsidP="00834CAD">
      <w:pPr>
        <w:spacing w:after="120"/>
        <w:jc w:val="both"/>
        <w:rPr>
          <w:noProof/>
        </w:rPr>
      </w:pPr>
    </w:p>
    <w:p w14:paraId="18DDBA5C" w14:textId="77777777" w:rsidR="003D5244" w:rsidRPr="00B846B0" w:rsidRDefault="003D5244" w:rsidP="00834CAD">
      <w:pPr>
        <w:spacing w:after="120"/>
        <w:rPr>
          <w:b/>
          <w:noProof/>
          <w:u w:val="single"/>
        </w:rPr>
      </w:pPr>
      <w:r>
        <w:rPr>
          <w:b/>
          <w:noProof/>
          <w:u w:val="single"/>
        </w:rPr>
        <w:t>3. Analyse af de årlige aktivitetsrapporter:</w:t>
      </w:r>
    </w:p>
    <w:p w14:paraId="4D042133" w14:textId="77777777" w:rsidR="003D5244" w:rsidRPr="00B846B0" w:rsidRDefault="003D5244" w:rsidP="00834CAD">
      <w:pPr>
        <w:pStyle w:val="ListParagraph"/>
        <w:numPr>
          <w:ilvl w:val="0"/>
          <w:numId w:val="1"/>
        </w:numPr>
        <w:spacing w:after="120"/>
        <w:contextualSpacing w:val="0"/>
        <w:jc w:val="both"/>
        <w:rPr>
          <w:b/>
          <w:noProof/>
        </w:rPr>
      </w:pPr>
      <w:r>
        <w:rPr>
          <w:b/>
          <w:noProof/>
        </w:rPr>
        <w:t>Generelle oplysninger:</w:t>
      </w:r>
    </w:p>
    <w:p w14:paraId="1B17EA16" w14:textId="6C7F8CA9" w:rsidR="00553D1B" w:rsidRPr="00B846B0" w:rsidRDefault="00EF1468" w:rsidP="00834CAD">
      <w:pPr>
        <w:spacing w:after="120"/>
        <w:jc w:val="both"/>
        <w:rPr>
          <w:noProof/>
        </w:rPr>
      </w:pPr>
      <w:r>
        <w:rPr>
          <w:noProof/>
        </w:rPr>
        <w:t>I 2023 var de 20 medlemsstater, der ydede offentligt støttede eksportkreditter, alle "pure cover"-udbydere, dvs. udbydere af eksportkreditter i form af garantier og/eller forsikringsprodukter. 13 af disse medlemsstater (Belgien, Danmark, Finland, Frankrig, Italien, Kroatien, Polen, Slovakiet, Spanien, Sverige, Tjekkiet, Tyskland og Ungarn) ydede desuden offentlig finansieringsstøtte, dvs. direkte finansiering, refinansiering af kommercielle lån til eksporttransaktioner eller rentestøtte. Et lille antal medlemsstater (Polen, Spanien, Ungarn og Østrig) oplyser, at de yder bunden bistand, som er en form for eksportkreditter på lempelige vilkår, der er reguleret inden for rammerne af OECD-arrangementet.</w:t>
      </w:r>
    </w:p>
    <w:p w14:paraId="2D31FC57" w14:textId="639F0B66" w:rsidR="00AC5F2C" w:rsidRPr="00727F2A" w:rsidRDefault="00A52BD9" w:rsidP="00834CAD">
      <w:pPr>
        <w:spacing w:after="120"/>
        <w:jc w:val="both"/>
        <w:rPr>
          <w:noProof/>
        </w:rPr>
      </w:pPr>
      <w:r>
        <w:rPr>
          <w:noProof/>
        </w:rPr>
        <w:t>Arrangementet vedrørende offentligt støttede eksportkreditter</w:t>
      </w:r>
      <w:r>
        <w:rPr>
          <w:rStyle w:val="FootnoteReference"/>
          <w:noProof/>
        </w:rPr>
        <w:footnoteReference w:id="2"/>
      </w:r>
      <w:r>
        <w:rPr>
          <w:noProof/>
        </w:rPr>
        <w:t xml:space="preserve"> og OECD's tre henstillinger om god forvaltningspraksis</w:t>
      </w:r>
      <w:r>
        <w:rPr>
          <w:rStyle w:val="FootnoteReference"/>
          <w:noProof/>
        </w:rPr>
        <w:footnoteReference w:id="3"/>
      </w:r>
      <w:r>
        <w:rPr>
          <w:noProof/>
        </w:rPr>
        <w:t xml:space="preserve"> sikrer harmonisering af praksis i hele OECD-medlemskabet og inden for EU. Inden for disse rammer udformer regeringerne dog deres egne politikker. De fleste eksportkreditinstitutter har yderligere regler end dem i OECD's retningslinjer, f.eks. om nationalt og lokalt indhold, og der er indført strengere standarder, herunder for at afspejle deres egne nationale politikker og internationale forpligtelser såsom Ækvatorprincipperne (en ramme for risikostyring for finansielle institutioner til at identificere, vurdere og styre miljømæssige og sociale risici i forbindelse med finansiering af projekter, der er knyttet til Den Internationale Finansieringsinstitution under Verdensbankgruppen). En række EKI'er vælger at tilbyde programmer, der er skræddersyet i forhold til bestemte sektorer eller bestemte mål. Dette kan afspejle de særlige forhold, der gør sig gældende for særskilte sektoraftaler i arrangementet, coassurancestrukturer eller strategiske retningslinjer.</w:t>
      </w:r>
    </w:p>
    <w:p w14:paraId="4EBAA497" w14:textId="196D1A27" w:rsidR="00AC5F2C" w:rsidRPr="00727F2A" w:rsidRDefault="00EF4337" w:rsidP="00834CAD">
      <w:pPr>
        <w:spacing w:after="120"/>
        <w:jc w:val="both"/>
        <w:rPr>
          <w:noProof/>
        </w:rPr>
      </w:pPr>
      <w:r>
        <w:rPr>
          <w:noProof/>
        </w:rPr>
        <w:t>Eksportkreditinstitutternes organisatoriske struktur og styring med hensyn til ydelse af støtte varierer fra medlemsstat til medlemsstat. Offentligt støttede eksportkreditter forvaltes af 26 organer i medlemsstaterne, enten offentlige organer eller private virksomheder, i henhold til et offentligt mandat og under statsligt tilsyn. De er opført på listen i bilag 1. Medlemsstater, der både yder dækning og finansiering, har sædvanligvis en særskilt, specialiseret institution, der tager sig af finansiering, undertiden kaldet en EXIM-bank (kort for "eksport-import").</w:t>
      </w:r>
    </w:p>
    <w:p w14:paraId="070F3B4F" w14:textId="77777777" w:rsidR="004A0610" w:rsidRPr="00727F2A" w:rsidRDefault="00443CDB" w:rsidP="00834CAD">
      <w:pPr>
        <w:pStyle w:val="ListParagraph"/>
        <w:numPr>
          <w:ilvl w:val="0"/>
          <w:numId w:val="1"/>
        </w:numPr>
        <w:spacing w:after="120"/>
        <w:contextualSpacing w:val="0"/>
        <w:jc w:val="both"/>
        <w:rPr>
          <w:b/>
          <w:noProof/>
        </w:rPr>
      </w:pPr>
      <w:r>
        <w:rPr>
          <w:b/>
          <w:noProof/>
        </w:rPr>
        <w:t>Omfanget af offentlig støtte:</w:t>
      </w:r>
    </w:p>
    <w:p w14:paraId="65E4262E" w14:textId="721A6F67" w:rsidR="00443CDB" w:rsidRPr="00727F2A" w:rsidRDefault="00443CDB" w:rsidP="00834CAD">
      <w:pPr>
        <w:spacing w:after="120"/>
        <w:jc w:val="both"/>
        <w:rPr>
          <w:noProof/>
        </w:rPr>
      </w:pPr>
      <w:r>
        <w:rPr>
          <w:noProof/>
        </w:rPr>
        <w:t xml:space="preserve">De årlige aktivitetsrapporter indeholder relevante finansielle oplysninger om offentlig støtte fra EKI'er i overensstemmelse med medlemsstaternes respektive nationale lovgivningsmæssige rammer og organisatoriske struktur. Kommissionen har ingen bemærkninger til de finansielle aspekter af de årlige aktivitetsrapporter for 2023. </w:t>
      </w:r>
    </w:p>
    <w:p w14:paraId="2F324F87" w14:textId="7B30B50E" w:rsidR="003D5244" w:rsidRPr="00727F2A" w:rsidRDefault="004B3274" w:rsidP="00834CAD">
      <w:pPr>
        <w:spacing w:after="120"/>
        <w:jc w:val="both"/>
        <w:rPr>
          <w:noProof/>
        </w:rPr>
      </w:pPr>
      <w:r>
        <w:rPr>
          <w:noProof/>
        </w:rPr>
        <w:t>For så vidt angår offentlig støtte i form af "pure cover" viser nedenstående tabel den samlede nominelle risikoeksponering pr. 31. december 2023 for de største udbydere i 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510"/>
      </w:tblGrid>
      <w:tr w:rsidR="00930F6D" w:rsidRPr="00727F2A" w14:paraId="634CAFC5" w14:textId="77777777" w:rsidTr="002414DC">
        <w:tc>
          <w:tcPr>
            <w:tcW w:w="9288" w:type="dxa"/>
            <w:gridSpan w:val="2"/>
            <w:shd w:val="clear" w:color="auto" w:fill="1F497D" w:themeFill="text2"/>
          </w:tcPr>
          <w:p w14:paraId="7F43A5B5" w14:textId="21F7F004" w:rsidR="003D5244" w:rsidRPr="00727F2A" w:rsidRDefault="003D5244" w:rsidP="00834CAD">
            <w:pPr>
              <w:spacing w:after="60"/>
              <w:jc w:val="center"/>
              <w:rPr>
                <w:b/>
                <w:noProof/>
                <w:color w:val="FFFFFF" w:themeColor="background1"/>
              </w:rPr>
            </w:pPr>
            <w:r>
              <w:rPr>
                <w:b/>
                <w:noProof/>
                <w:color w:val="FFFFFF" w:themeColor="background1"/>
              </w:rPr>
              <w:t>Tabel 1.  EU's og medlemsstaternes samlede offentlige støtteporteføljer i form af "pure cover" i 2023 (mio. EUR)</w:t>
            </w:r>
          </w:p>
          <w:p w14:paraId="6139039E" w14:textId="444863C9" w:rsidR="003D5244" w:rsidRPr="00727F2A" w:rsidRDefault="003D5244" w:rsidP="00834CAD">
            <w:pPr>
              <w:spacing w:after="60"/>
              <w:jc w:val="center"/>
              <w:rPr>
                <w:b/>
                <w:noProof/>
                <w:color w:val="FF0000"/>
                <w:sz w:val="20"/>
                <w:szCs w:val="20"/>
              </w:rPr>
            </w:pPr>
            <w:r>
              <w:rPr>
                <w:b/>
                <w:noProof/>
                <w:color w:val="FFFFFF" w:themeColor="background1"/>
                <w:sz w:val="20"/>
              </w:rPr>
              <w:t>De største bidragydere i EU set i forhold til den samlede nominelle risikoeksponering</w:t>
            </w:r>
          </w:p>
        </w:tc>
      </w:tr>
      <w:tr w:rsidR="004970B9" w:rsidRPr="00727F2A" w14:paraId="6E544A3D" w14:textId="77777777" w:rsidTr="008277BF">
        <w:tc>
          <w:tcPr>
            <w:tcW w:w="5778" w:type="dxa"/>
            <w:shd w:val="clear" w:color="auto" w:fill="BFBFBF" w:themeFill="background1" w:themeFillShade="BF"/>
            <w:vAlign w:val="center"/>
          </w:tcPr>
          <w:p w14:paraId="0FFFFD93" w14:textId="0FB27890" w:rsidR="004970B9" w:rsidRPr="00727F2A" w:rsidRDefault="004970B9" w:rsidP="00834CAD">
            <w:pPr>
              <w:spacing w:after="60"/>
              <w:ind w:left="1440"/>
              <w:rPr>
                <w:i/>
                <w:noProof/>
              </w:rPr>
            </w:pPr>
            <w:r>
              <w:rPr>
                <w:i/>
                <w:noProof/>
                <w:color w:val="000000"/>
              </w:rPr>
              <w:t>Samlet "pure cover"-eksponering i EU</w:t>
            </w:r>
          </w:p>
        </w:tc>
        <w:tc>
          <w:tcPr>
            <w:tcW w:w="3510" w:type="dxa"/>
            <w:shd w:val="clear" w:color="auto" w:fill="BFBFBF" w:themeFill="background1" w:themeFillShade="BF"/>
            <w:vAlign w:val="center"/>
          </w:tcPr>
          <w:p w14:paraId="6AAF9E2E" w14:textId="3413BB00" w:rsidR="004970B9" w:rsidRPr="00727F2A" w:rsidRDefault="006A2E0A" w:rsidP="00834CAD">
            <w:pPr>
              <w:spacing w:after="60"/>
              <w:jc w:val="center"/>
              <w:rPr>
                <w:i/>
                <w:noProof/>
              </w:rPr>
            </w:pPr>
            <w:r>
              <w:rPr>
                <w:i/>
                <w:noProof/>
                <w:color w:val="000000"/>
              </w:rPr>
              <w:t>372 082</w:t>
            </w:r>
          </w:p>
        </w:tc>
      </w:tr>
      <w:tr w:rsidR="004970B9" w:rsidRPr="00727F2A" w14:paraId="718B9037" w14:textId="77777777" w:rsidTr="008277BF">
        <w:tc>
          <w:tcPr>
            <w:tcW w:w="5778" w:type="dxa"/>
            <w:shd w:val="clear" w:color="auto" w:fill="auto"/>
          </w:tcPr>
          <w:p w14:paraId="32B0E5D8" w14:textId="77777777" w:rsidR="004970B9" w:rsidRPr="00727F2A" w:rsidRDefault="004970B9" w:rsidP="00834CAD">
            <w:pPr>
              <w:spacing w:after="60"/>
              <w:ind w:left="1440"/>
              <w:rPr>
                <w:noProof/>
              </w:rPr>
            </w:pPr>
            <w:r>
              <w:rPr>
                <w:noProof/>
              </w:rPr>
              <w:t>Tyskland</w:t>
            </w:r>
          </w:p>
        </w:tc>
        <w:tc>
          <w:tcPr>
            <w:tcW w:w="3510" w:type="dxa"/>
            <w:shd w:val="clear" w:color="auto" w:fill="auto"/>
          </w:tcPr>
          <w:p w14:paraId="476E67A9" w14:textId="73F9B594" w:rsidR="004970B9" w:rsidRPr="00727F2A" w:rsidRDefault="006A2E0A" w:rsidP="00834CAD">
            <w:pPr>
              <w:spacing w:after="60"/>
              <w:jc w:val="center"/>
              <w:rPr>
                <w:noProof/>
              </w:rPr>
            </w:pPr>
            <w:r>
              <w:rPr>
                <w:noProof/>
              </w:rPr>
              <w:t>99 583</w:t>
            </w:r>
          </w:p>
        </w:tc>
      </w:tr>
      <w:tr w:rsidR="004970B9" w:rsidRPr="00727F2A" w14:paraId="05676EF3" w14:textId="77777777" w:rsidTr="008277BF">
        <w:tc>
          <w:tcPr>
            <w:tcW w:w="5778" w:type="dxa"/>
            <w:shd w:val="clear" w:color="auto" w:fill="auto"/>
          </w:tcPr>
          <w:p w14:paraId="1228754F" w14:textId="301B1E3E" w:rsidR="004970B9" w:rsidRPr="00727F2A" w:rsidRDefault="005C5E09" w:rsidP="00834CAD">
            <w:pPr>
              <w:spacing w:after="60"/>
              <w:ind w:left="1440"/>
              <w:rPr>
                <w:noProof/>
              </w:rPr>
            </w:pPr>
            <w:r>
              <w:rPr>
                <w:noProof/>
              </w:rPr>
              <w:t>Italien</w:t>
            </w:r>
          </w:p>
        </w:tc>
        <w:tc>
          <w:tcPr>
            <w:tcW w:w="3510" w:type="dxa"/>
            <w:shd w:val="clear" w:color="auto" w:fill="auto"/>
          </w:tcPr>
          <w:p w14:paraId="35291DC2" w14:textId="4DB7F303" w:rsidR="004970B9" w:rsidRPr="00727F2A" w:rsidRDefault="006A2E0A" w:rsidP="00834CAD">
            <w:pPr>
              <w:spacing w:after="60"/>
              <w:jc w:val="center"/>
              <w:rPr>
                <w:noProof/>
              </w:rPr>
            </w:pPr>
            <w:r>
              <w:rPr>
                <w:noProof/>
              </w:rPr>
              <w:t xml:space="preserve"> 81 220</w:t>
            </w:r>
          </w:p>
        </w:tc>
      </w:tr>
      <w:tr w:rsidR="004970B9" w:rsidRPr="00727F2A" w14:paraId="2A462CF3" w14:textId="77777777" w:rsidTr="008277BF">
        <w:tc>
          <w:tcPr>
            <w:tcW w:w="5778" w:type="dxa"/>
            <w:shd w:val="clear" w:color="auto" w:fill="auto"/>
          </w:tcPr>
          <w:p w14:paraId="6C182117" w14:textId="64118FF1" w:rsidR="004970B9" w:rsidRPr="00727F2A" w:rsidRDefault="005C5E09" w:rsidP="00834CAD">
            <w:pPr>
              <w:spacing w:after="60"/>
              <w:ind w:left="1440"/>
              <w:rPr>
                <w:noProof/>
              </w:rPr>
            </w:pPr>
            <w:r>
              <w:rPr>
                <w:noProof/>
              </w:rPr>
              <w:t>Frankrig</w:t>
            </w:r>
          </w:p>
        </w:tc>
        <w:tc>
          <w:tcPr>
            <w:tcW w:w="3510" w:type="dxa"/>
            <w:shd w:val="clear" w:color="auto" w:fill="auto"/>
          </w:tcPr>
          <w:p w14:paraId="74BA4DC3" w14:textId="24F2AADC" w:rsidR="004970B9" w:rsidRPr="00727F2A" w:rsidRDefault="006A2E0A" w:rsidP="00834CAD">
            <w:pPr>
              <w:spacing w:after="60"/>
              <w:jc w:val="center"/>
              <w:rPr>
                <w:noProof/>
              </w:rPr>
            </w:pPr>
            <w:r>
              <w:rPr>
                <w:noProof/>
              </w:rPr>
              <w:t>70 327</w:t>
            </w:r>
          </w:p>
        </w:tc>
      </w:tr>
      <w:tr w:rsidR="004970B9" w:rsidRPr="00727F2A" w14:paraId="51B6E9EB" w14:textId="77777777" w:rsidTr="008277BF">
        <w:tc>
          <w:tcPr>
            <w:tcW w:w="5778" w:type="dxa"/>
            <w:shd w:val="clear" w:color="auto" w:fill="auto"/>
          </w:tcPr>
          <w:p w14:paraId="61372A89" w14:textId="072AC8B1" w:rsidR="004970B9" w:rsidRPr="00727F2A" w:rsidRDefault="005C5E09" w:rsidP="00834CAD">
            <w:pPr>
              <w:spacing w:after="60"/>
              <w:ind w:left="1440"/>
              <w:rPr>
                <w:noProof/>
              </w:rPr>
            </w:pPr>
            <w:r>
              <w:rPr>
                <w:noProof/>
              </w:rPr>
              <w:t>Sverige</w:t>
            </w:r>
          </w:p>
        </w:tc>
        <w:tc>
          <w:tcPr>
            <w:tcW w:w="3510" w:type="dxa"/>
            <w:shd w:val="clear" w:color="auto" w:fill="auto"/>
          </w:tcPr>
          <w:p w14:paraId="1C67B5D2" w14:textId="0C917B90" w:rsidR="004970B9" w:rsidRPr="00727F2A" w:rsidRDefault="006A2E0A" w:rsidP="00834CAD">
            <w:pPr>
              <w:spacing w:after="60"/>
              <w:jc w:val="center"/>
              <w:rPr>
                <w:noProof/>
              </w:rPr>
            </w:pPr>
            <w:r>
              <w:rPr>
                <w:noProof/>
              </w:rPr>
              <w:t>32 100</w:t>
            </w:r>
          </w:p>
        </w:tc>
      </w:tr>
      <w:tr w:rsidR="004970B9" w:rsidRPr="00727F2A" w14:paraId="2FF113CD" w14:textId="77777777" w:rsidTr="008277BF">
        <w:tc>
          <w:tcPr>
            <w:tcW w:w="5778" w:type="dxa"/>
            <w:shd w:val="clear" w:color="auto" w:fill="auto"/>
          </w:tcPr>
          <w:p w14:paraId="7138B1C9" w14:textId="3B754611" w:rsidR="004970B9" w:rsidRPr="00727F2A" w:rsidRDefault="005C5E09" w:rsidP="00834CAD">
            <w:pPr>
              <w:spacing w:after="60"/>
              <w:ind w:left="1440"/>
              <w:rPr>
                <w:b/>
                <w:noProof/>
              </w:rPr>
            </w:pPr>
            <w:r>
              <w:rPr>
                <w:noProof/>
              </w:rPr>
              <w:t>Nederlandene</w:t>
            </w:r>
          </w:p>
        </w:tc>
        <w:tc>
          <w:tcPr>
            <w:tcW w:w="3510" w:type="dxa"/>
            <w:shd w:val="clear" w:color="auto" w:fill="auto"/>
          </w:tcPr>
          <w:p w14:paraId="27096EEC" w14:textId="443DFB49" w:rsidR="004970B9" w:rsidRPr="00727F2A" w:rsidRDefault="006A2E0A" w:rsidP="00834CAD">
            <w:pPr>
              <w:spacing w:after="60"/>
              <w:jc w:val="center"/>
              <w:rPr>
                <w:b/>
                <w:noProof/>
              </w:rPr>
            </w:pPr>
            <w:r>
              <w:rPr>
                <w:noProof/>
              </w:rPr>
              <w:t>26 856</w:t>
            </w:r>
          </w:p>
        </w:tc>
      </w:tr>
    </w:tbl>
    <w:p w14:paraId="39E591E8" w14:textId="18DDED4C" w:rsidR="00443CDB" w:rsidRPr="00727F2A" w:rsidRDefault="004B3274" w:rsidP="00834CAD">
      <w:pPr>
        <w:spacing w:before="120" w:after="120"/>
        <w:jc w:val="both"/>
        <w:rPr>
          <w:noProof/>
        </w:rPr>
      </w:pPr>
      <w:r>
        <w:rPr>
          <w:noProof/>
        </w:rPr>
        <w:t>For så vidt angår offentlig finansieringsstøtte indeholder nedenstående tabel den indberettede nominelle værdi af den offentligt støttede låneportefølje pr. 31. december 2023 for de større udbydere i 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510"/>
      </w:tblGrid>
      <w:tr w:rsidR="00443CDB" w:rsidRPr="00727F2A" w14:paraId="3CE4B678" w14:textId="77777777" w:rsidTr="003C736D">
        <w:tc>
          <w:tcPr>
            <w:tcW w:w="9288" w:type="dxa"/>
            <w:gridSpan w:val="2"/>
            <w:shd w:val="clear" w:color="auto" w:fill="1F497D" w:themeFill="text2"/>
          </w:tcPr>
          <w:p w14:paraId="294F41C7" w14:textId="68DA54DD" w:rsidR="00443CDB" w:rsidRPr="00727F2A" w:rsidRDefault="00C52FFF" w:rsidP="00834CAD">
            <w:pPr>
              <w:spacing w:after="60"/>
              <w:jc w:val="center"/>
              <w:rPr>
                <w:b/>
                <w:noProof/>
                <w:color w:val="FFFFFF" w:themeColor="background1"/>
              </w:rPr>
            </w:pPr>
            <w:r>
              <w:rPr>
                <w:b/>
                <w:noProof/>
                <w:color w:val="FFFFFF" w:themeColor="background1"/>
              </w:rPr>
              <w:t>Tabel 2. EU's og medlemsstaternes samlede offentlige støtteportefølje i form af offentlig finansieringsstøtte i 2023 (mio. EUR)</w:t>
            </w:r>
          </w:p>
          <w:p w14:paraId="609B3247" w14:textId="77777777" w:rsidR="00443CDB" w:rsidRPr="00727F2A" w:rsidRDefault="00443CDB" w:rsidP="00834CAD">
            <w:pPr>
              <w:spacing w:after="60"/>
              <w:jc w:val="center"/>
              <w:rPr>
                <w:b/>
                <w:noProof/>
                <w:color w:val="FFFFFF" w:themeColor="background1"/>
                <w:sz w:val="20"/>
                <w:szCs w:val="20"/>
              </w:rPr>
            </w:pPr>
            <w:r>
              <w:rPr>
                <w:b/>
                <w:noProof/>
                <w:color w:val="FFFFFF" w:themeColor="background1"/>
                <w:sz w:val="20"/>
              </w:rPr>
              <w:t xml:space="preserve">De største EU-bidragydere i henhold til den nominelle værdi af den offentligt støttede låneportefølje </w:t>
            </w:r>
          </w:p>
        </w:tc>
      </w:tr>
      <w:tr w:rsidR="004970B9" w:rsidRPr="00727F2A" w14:paraId="792719E9" w14:textId="77777777" w:rsidTr="008277BF">
        <w:tc>
          <w:tcPr>
            <w:tcW w:w="5778" w:type="dxa"/>
            <w:shd w:val="clear" w:color="auto" w:fill="BFBFBF" w:themeFill="background1" w:themeFillShade="BF"/>
            <w:vAlign w:val="center"/>
          </w:tcPr>
          <w:p w14:paraId="2D38E9EB" w14:textId="13C36087" w:rsidR="004970B9" w:rsidRPr="00727F2A" w:rsidRDefault="004970B9" w:rsidP="00834CAD">
            <w:pPr>
              <w:spacing w:after="60"/>
              <w:ind w:left="1440"/>
              <w:rPr>
                <w:noProof/>
              </w:rPr>
            </w:pPr>
            <w:r>
              <w:rPr>
                <w:i/>
                <w:noProof/>
                <w:color w:val="000000"/>
              </w:rPr>
              <w:t>Samlet låneportefølje i EU</w:t>
            </w:r>
          </w:p>
        </w:tc>
        <w:tc>
          <w:tcPr>
            <w:tcW w:w="3510" w:type="dxa"/>
            <w:shd w:val="clear" w:color="auto" w:fill="BFBFBF" w:themeFill="background1" w:themeFillShade="BF"/>
            <w:vAlign w:val="center"/>
          </w:tcPr>
          <w:p w14:paraId="7B72AB6B" w14:textId="1AF68172" w:rsidR="004970B9" w:rsidRPr="00727F2A" w:rsidRDefault="004970B9" w:rsidP="00834CAD">
            <w:pPr>
              <w:spacing w:after="60"/>
              <w:jc w:val="center"/>
              <w:rPr>
                <w:noProof/>
              </w:rPr>
            </w:pPr>
            <w:r>
              <w:rPr>
                <w:i/>
                <w:noProof/>
                <w:color w:val="000000"/>
              </w:rPr>
              <w:t xml:space="preserve"> 101 388</w:t>
            </w:r>
          </w:p>
        </w:tc>
      </w:tr>
      <w:tr w:rsidR="004970B9" w:rsidRPr="00727F2A" w14:paraId="24215961" w14:textId="77777777" w:rsidTr="004970B9">
        <w:tc>
          <w:tcPr>
            <w:tcW w:w="5778" w:type="dxa"/>
            <w:shd w:val="clear" w:color="auto" w:fill="auto"/>
          </w:tcPr>
          <w:p w14:paraId="6C19EB2A" w14:textId="77777777" w:rsidR="004970B9" w:rsidRPr="00727F2A" w:rsidRDefault="004970B9" w:rsidP="00834CAD">
            <w:pPr>
              <w:spacing w:after="60"/>
              <w:ind w:left="1440"/>
              <w:rPr>
                <w:noProof/>
              </w:rPr>
            </w:pPr>
            <w:r>
              <w:rPr>
                <w:noProof/>
              </w:rPr>
              <w:t>Italien</w:t>
            </w:r>
          </w:p>
        </w:tc>
        <w:tc>
          <w:tcPr>
            <w:tcW w:w="3510" w:type="dxa"/>
            <w:shd w:val="clear" w:color="auto" w:fill="auto"/>
          </w:tcPr>
          <w:p w14:paraId="395F9D46" w14:textId="7DD0C01C" w:rsidR="004970B9" w:rsidRPr="00727F2A" w:rsidRDefault="004970B9" w:rsidP="00834CAD">
            <w:pPr>
              <w:spacing w:after="60"/>
              <w:jc w:val="center"/>
              <w:rPr>
                <w:noProof/>
              </w:rPr>
            </w:pPr>
            <w:r>
              <w:rPr>
                <w:noProof/>
              </w:rPr>
              <w:t xml:space="preserve"> 40 840</w:t>
            </w:r>
          </w:p>
        </w:tc>
      </w:tr>
      <w:tr w:rsidR="004970B9" w:rsidRPr="00727F2A" w14:paraId="037C324C" w14:textId="77777777" w:rsidTr="004970B9">
        <w:tc>
          <w:tcPr>
            <w:tcW w:w="5778" w:type="dxa"/>
            <w:shd w:val="clear" w:color="auto" w:fill="auto"/>
          </w:tcPr>
          <w:p w14:paraId="2E6E94A3" w14:textId="4C67003C" w:rsidR="004970B9" w:rsidRPr="00727F2A" w:rsidRDefault="00DB7DB6" w:rsidP="00834CAD">
            <w:pPr>
              <w:spacing w:after="60"/>
              <w:ind w:left="1440"/>
              <w:rPr>
                <w:noProof/>
              </w:rPr>
            </w:pPr>
            <w:r>
              <w:rPr>
                <w:noProof/>
              </w:rPr>
              <w:t>Frankrig</w:t>
            </w:r>
          </w:p>
        </w:tc>
        <w:tc>
          <w:tcPr>
            <w:tcW w:w="3510" w:type="dxa"/>
            <w:shd w:val="clear" w:color="auto" w:fill="auto"/>
          </w:tcPr>
          <w:p w14:paraId="6349061B" w14:textId="14648329" w:rsidR="004970B9" w:rsidRPr="00727F2A" w:rsidRDefault="004970B9" w:rsidP="00834CAD">
            <w:pPr>
              <w:spacing w:after="60"/>
              <w:jc w:val="center"/>
              <w:rPr>
                <w:noProof/>
              </w:rPr>
            </w:pPr>
            <w:r>
              <w:rPr>
                <w:noProof/>
              </w:rPr>
              <w:t xml:space="preserve"> 16 913</w:t>
            </w:r>
          </w:p>
        </w:tc>
      </w:tr>
      <w:tr w:rsidR="004970B9" w:rsidRPr="00727F2A" w14:paraId="15B170C7" w14:textId="77777777" w:rsidTr="004970B9">
        <w:tc>
          <w:tcPr>
            <w:tcW w:w="5778" w:type="dxa"/>
            <w:shd w:val="clear" w:color="auto" w:fill="auto"/>
          </w:tcPr>
          <w:p w14:paraId="4EA24415" w14:textId="2680E6A0" w:rsidR="004970B9" w:rsidRPr="00727F2A" w:rsidRDefault="00DB7DB6" w:rsidP="00834CAD">
            <w:pPr>
              <w:spacing w:after="60"/>
              <w:ind w:left="1440"/>
              <w:rPr>
                <w:noProof/>
              </w:rPr>
            </w:pPr>
            <w:r>
              <w:rPr>
                <w:noProof/>
              </w:rPr>
              <w:t>Tyskland</w:t>
            </w:r>
          </w:p>
        </w:tc>
        <w:tc>
          <w:tcPr>
            <w:tcW w:w="3510" w:type="dxa"/>
            <w:shd w:val="clear" w:color="auto" w:fill="auto"/>
          </w:tcPr>
          <w:p w14:paraId="421AB57E" w14:textId="4B8EF5EA" w:rsidR="004970B9" w:rsidRPr="00727F2A" w:rsidRDefault="004970B9" w:rsidP="00834CAD">
            <w:pPr>
              <w:spacing w:after="60"/>
              <w:jc w:val="center"/>
              <w:rPr>
                <w:noProof/>
              </w:rPr>
            </w:pPr>
            <w:r>
              <w:rPr>
                <w:noProof/>
              </w:rPr>
              <w:t xml:space="preserve"> 15 571</w:t>
            </w:r>
          </w:p>
        </w:tc>
      </w:tr>
      <w:tr w:rsidR="004970B9" w:rsidRPr="00727F2A" w14:paraId="744CD2A0" w14:textId="77777777" w:rsidTr="004970B9">
        <w:tc>
          <w:tcPr>
            <w:tcW w:w="5778" w:type="dxa"/>
            <w:shd w:val="clear" w:color="auto" w:fill="auto"/>
          </w:tcPr>
          <w:p w14:paraId="53403924" w14:textId="4DA6445B" w:rsidR="004970B9" w:rsidRPr="00727F2A" w:rsidRDefault="00336395" w:rsidP="00834CAD">
            <w:pPr>
              <w:spacing w:after="60"/>
              <w:ind w:left="1440"/>
              <w:rPr>
                <w:noProof/>
              </w:rPr>
            </w:pPr>
            <w:r>
              <w:rPr>
                <w:noProof/>
              </w:rPr>
              <w:t>Sverige</w:t>
            </w:r>
          </w:p>
        </w:tc>
        <w:tc>
          <w:tcPr>
            <w:tcW w:w="3510" w:type="dxa"/>
            <w:shd w:val="clear" w:color="auto" w:fill="auto"/>
          </w:tcPr>
          <w:p w14:paraId="61DCF26B" w14:textId="3A1C4006" w:rsidR="004970B9" w:rsidRPr="00727F2A" w:rsidRDefault="004970B9" w:rsidP="00834CAD">
            <w:pPr>
              <w:spacing w:after="60"/>
              <w:jc w:val="center"/>
              <w:rPr>
                <w:noProof/>
              </w:rPr>
            </w:pPr>
            <w:r>
              <w:rPr>
                <w:noProof/>
              </w:rPr>
              <w:t xml:space="preserve"> 9 124</w:t>
            </w:r>
          </w:p>
        </w:tc>
      </w:tr>
      <w:tr w:rsidR="004970B9" w:rsidRPr="00727F2A" w14:paraId="622D0B0B" w14:textId="77777777" w:rsidTr="004970B9">
        <w:tc>
          <w:tcPr>
            <w:tcW w:w="5778" w:type="dxa"/>
            <w:shd w:val="clear" w:color="auto" w:fill="auto"/>
          </w:tcPr>
          <w:p w14:paraId="42394993" w14:textId="7E9924C2" w:rsidR="004970B9" w:rsidRPr="00727F2A" w:rsidRDefault="00336395" w:rsidP="00834CAD">
            <w:pPr>
              <w:spacing w:after="60"/>
              <w:ind w:left="1440"/>
              <w:rPr>
                <w:b/>
                <w:i/>
                <w:noProof/>
              </w:rPr>
            </w:pPr>
            <w:r>
              <w:rPr>
                <w:noProof/>
              </w:rPr>
              <w:t>Finland</w:t>
            </w:r>
          </w:p>
        </w:tc>
        <w:tc>
          <w:tcPr>
            <w:tcW w:w="3510" w:type="dxa"/>
            <w:shd w:val="clear" w:color="auto" w:fill="auto"/>
          </w:tcPr>
          <w:p w14:paraId="2AC85336" w14:textId="68D0ECFC" w:rsidR="004970B9" w:rsidRPr="00727F2A" w:rsidRDefault="004970B9" w:rsidP="00834CAD">
            <w:pPr>
              <w:spacing w:after="60"/>
              <w:jc w:val="center"/>
              <w:rPr>
                <w:b/>
                <w:i/>
                <w:noProof/>
              </w:rPr>
            </w:pPr>
            <w:r>
              <w:rPr>
                <w:noProof/>
              </w:rPr>
              <w:t xml:space="preserve"> 7 456</w:t>
            </w:r>
          </w:p>
        </w:tc>
      </w:tr>
    </w:tbl>
    <w:p w14:paraId="235A174F" w14:textId="4866BD32" w:rsidR="003D5244" w:rsidRDefault="00B26453" w:rsidP="00834CAD">
      <w:pPr>
        <w:spacing w:before="120" w:after="120"/>
        <w:jc w:val="both"/>
        <w:rPr>
          <w:noProof/>
        </w:rPr>
      </w:pPr>
      <w:r>
        <w:rPr>
          <w:noProof/>
        </w:rPr>
        <w:t>Det er nyttigt at bemærke, at en kumulering af tallene i tabel 1 og 2 ikke vil give et nøjagtigt billede af den samlede værdi af støtten til eksporttransaktioner, da en medlemsstat kan støtte den samme eksporttransaktion med både direkte finansiering og "pure cover". Desuden dækker disse tabeller alle produkter fra eksportkreditinstitutter, eksportkreditdækning og støtte, der finansieres i henhold til OECD-arrangementet, samt anden eksportdækning og støtte, der ydes af medlemsstaterne, herunder f.eks. kortfristede eksportkreditter.</w:t>
      </w:r>
    </w:p>
    <w:p w14:paraId="387EFAD7" w14:textId="31AA7AE2" w:rsidR="007E2D6B" w:rsidRPr="00727F2A" w:rsidRDefault="007E2D6B" w:rsidP="007E2D6B">
      <w:pPr>
        <w:spacing w:after="120"/>
        <w:jc w:val="both"/>
        <w:rPr>
          <w:noProof/>
        </w:rPr>
      </w:pPr>
      <w:r>
        <w:rPr>
          <w:noProof/>
        </w:rPr>
        <w:t>For at repræsentere strømmen af offentlig støtte henviser nedenstående tabel kun til værdien af de transaktioner, der støttes af nye tilsagn om eksportkredit, der støttes i henhold til arrangementet, i kalenderåret 2023 for de større leverandører i 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2736"/>
        <w:gridCol w:w="2106"/>
      </w:tblGrid>
      <w:tr w:rsidR="00337347" w:rsidRPr="00727F2A" w14:paraId="31578E34" w14:textId="77777777" w:rsidTr="00CE5B02">
        <w:tc>
          <w:tcPr>
            <w:tcW w:w="9288" w:type="dxa"/>
            <w:gridSpan w:val="3"/>
            <w:shd w:val="clear" w:color="auto" w:fill="1F497D" w:themeFill="text2"/>
          </w:tcPr>
          <w:p w14:paraId="56907BF2" w14:textId="7438F63B" w:rsidR="00337347" w:rsidRPr="00727F2A" w:rsidRDefault="00337347">
            <w:pPr>
              <w:spacing w:after="60"/>
              <w:jc w:val="center"/>
              <w:rPr>
                <w:b/>
                <w:noProof/>
                <w:color w:val="FFFFFF" w:themeColor="background1"/>
              </w:rPr>
            </w:pPr>
            <w:r>
              <w:rPr>
                <w:b/>
                <w:noProof/>
                <w:color w:val="FFFFFF" w:themeColor="background1"/>
              </w:rPr>
              <w:t>Tabel 3. Nye tilsagn fra EU's medlemsstaternes side anmeldt til OECD i løbet af 2023 (mio. EUR)</w:t>
            </w:r>
          </w:p>
          <w:p w14:paraId="7FEFE600" w14:textId="3662DAA8" w:rsidR="00337347" w:rsidRPr="00727F2A" w:rsidRDefault="00337347">
            <w:pPr>
              <w:spacing w:after="60"/>
              <w:jc w:val="center"/>
              <w:rPr>
                <w:b/>
                <w:noProof/>
                <w:color w:val="FF0000"/>
                <w:sz w:val="20"/>
                <w:szCs w:val="20"/>
              </w:rPr>
            </w:pPr>
            <w:r>
              <w:rPr>
                <w:b/>
                <w:noProof/>
                <w:color w:val="FFFFFF" w:themeColor="background1"/>
                <w:sz w:val="20"/>
              </w:rPr>
              <w:t xml:space="preserve">Største EU-bidragydere af OECD-eksportkreditter </w:t>
            </w:r>
          </w:p>
        </w:tc>
      </w:tr>
      <w:tr w:rsidR="00D561E2" w:rsidRPr="00727F2A" w14:paraId="06D1E908" w14:textId="77777777" w:rsidTr="00CE5B02">
        <w:tc>
          <w:tcPr>
            <w:tcW w:w="5070" w:type="dxa"/>
            <w:shd w:val="clear" w:color="auto" w:fill="BFBFBF" w:themeFill="background1" w:themeFillShade="BF"/>
            <w:vAlign w:val="center"/>
          </w:tcPr>
          <w:p w14:paraId="6BAAC43B" w14:textId="77777777" w:rsidR="00D561E2" w:rsidRPr="00727F2A" w:rsidRDefault="00D561E2">
            <w:pPr>
              <w:spacing w:after="60"/>
              <w:ind w:left="1440"/>
              <w:rPr>
                <w:bCs/>
                <w:i/>
                <w:noProof/>
                <w:color w:val="000000"/>
              </w:rPr>
            </w:pPr>
          </w:p>
        </w:tc>
        <w:tc>
          <w:tcPr>
            <w:tcW w:w="1984" w:type="dxa"/>
            <w:shd w:val="clear" w:color="auto" w:fill="BFBFBF" w:themeFill="background1" w:themeFillShade="BF"/>
            <w:vAlign w:val="center"/>
          </w:tcPr>
          <w:p w14:paraId="45B31D80" w14:textId="2E82D3A4" w:rsidR="00D561E2" w:rsidRPr="00727F2A" w:rsidRDefault="00D561E2">
            <w:pPr>
              <w:spacing w:after="60"/>
              <w:jc w:val="center"/>
              <w:rPr>
                <w:noProof/>
              </w:rPr>
            </w:pPr>
            <w:r>
              <w:rPr>
                <w:noProof/>
              </w:rPr>
              <w:t>Samlet antal eksportkredittransaktioner</w:t>
            </w:r>
          </w:p>
        </w:tc>
        <w:tc>
          <w:tcPr>
            <w:tcW w:w="2234" w:type="dxa"/>
            <w:shd w:val="clear" w:color="auto" w:fill="BFBFBF" w:themeFill="background1" w:themeFillShade="BF"/>
            <w:vAlign w:val="center"/>
          </w:tcPr>
          <w:p w14:paraId="11370545" w14:textId="1D322B02" w:rsidR="00D561E2" w:rsidRDefault="00D561E2">
            <w:pPr>
              <w:spacing w:after="60"/>
              <w:jc w:val="center"/>
              <w:rPr>
                <w:bCs/>
                <w:i/>
                <w:noProof/>
                <w:color w:val="000000"/>
              </w:rPr>
            </w:pPr>
            <w:r>
              <w:rPr>
                <w:noProof/>
              </w:rPr>
              <w:t xml:space="preserve">Samlet kreditværdi af projekter, der støttes med eksportkredit </w:t>
            </w:r>
          </w:p>
        </w:tc>
      </w:tr>
      <w:tr w:rsidR="00D561E2" w:rsidRPr="00727F2A" w14:paraId="471E0C82" w14:textId="77777777" w:rsidTr="00CE5B02">
        <w:tc>
          <w:tcPr>
            <w:tcW w:w="5070" w:type="dxa"/>
            <w:shd w:val="clear" w:color="auto" w:fill="BFBFBF" w:themeFill="background1" w:themeFillShade="BF"/>
            <w:vAlign w:val="center"/>
          </w:tcPr>
          <w:p w14:paraId="06F732A4" w14:textId="3ADFCD6E" w:rsidR="00D561E2" w:rsidRPr="00727F2A" w:rsidRDefault="00D561E2" w:rsidP="00CE5B02">
            <w:pPr>
              <w:spacing w:after="60"/>
              <w:rPr>
                <w:i/>
                <w:noProof/>
              </w:rPr>
            </w:pPr>
            <w:r>
              <w:rPr>
                <w:i/>
                <w:noProof/>
                <w:color w:val="000000"/>
              </w:rPr>
              <w:t>Samlede nye forpligtelser anmeldt i EU</w:t>
            </w:r>
          </w:p>
        </w:tc>
        <w:tc>
          <w:tcPr>
            <w:tcW w:w="1984" w:type="dxa"/>
            <w:shd w:val="clear" w:color="auto" w:fill="BFBFBF" w:themeFill="background1" w:themeFillShade="BF"/>
            <w:vAlign w:val="center"/>
          </w:tcPr>
          <w:p w14:paraId="6770541B" w14:textId="48CE5473" w:rsidR="00D561E2" w:rsidRPr="00727F2A" w:rsidRDefault="00D561E2">
            <w:pPr>
              <w:spacing w:after="60"/>
              <w:jc w:val="center"/>
              <w:rPr>
                <w:i/>
                <w:noProof/>
              </w:rPr>
            </w:pPr>
            <w:r>
              <w:rPr>
                <w:i/>
                <w:noProof/>
              </w:rPr>
              <w:t>1 341</w:t>
            </w:r>
          </w:p>
        </w:tc>
        <w:tc>
          <w:tcPr>
            <w:tcW w:w="2234" w:type="dxa"/>
            <w:shd w:val="clear" w:color="auto" w:fill="BFBFBF" w:themeFill="background1" w:themeFillShade="BF"/>
            <w:vAlign w:val="center"/>
          </w:tcPr>
          <w:p w14:paraId="545E7792" w14:textId="5D3F9F37" w:rsidR="00D561E2" w:rsidRPr="00727F2A" w:rsidRDefault="00FD2187">
            <w:pPr>
              <w:spacing w:after="60"/>
              <w:jc w:val="center"/>
              <w:rPr>
                <w:i/>
                <w:noProof/>
              </w:rPr>
            </w:pPr>
            <w:r>
              <w:rPr>
                <w:i/>
                <w:noProof/>
              </w:rPr>
              <w:t>31 224</w:t>
            </w:r>
          </w:p>
        </w:tc>
      </w:tr>
      <w:tr w:rsidR="00D561E2" w:rsidRPr="00727F2A" w14:paraId="31E689DE" w14:textId="77777777" w:rsidTr="00CE5B02">
        <w:tc>
          <w:tcPr>
            <w:tcW w:w="5070" w:type="dxa"/>
            <w:shd w:val="clear" w:color="auto" w:fill="auto"/>
          </w:tcPr>
          <w:p w14:paraId="5415A3D3" w14:textId="633E8E70" w:rsidR="00D561E2" w:rsidRPr="00727F2A" w:rsidRDefault="00D561E2" w:rsidP="00CE5B02">
            <w:pPr>
              <w:spacing w:after="60"/>
              <w:rPr>
                <w:noProof/>
              </w:rPr>
            </w:pPr>
            <w:r>
              <w:rPr>
                <w:noProof/>
              </w:rPr>
              <w:t>Italien</w:t>
            </w:r>
          </w:p>
        </w:tc>
        <w:tc>
          <w:tcPr>
            <w:tcW w:w="1984" w:type="dxa"/>
            <w:shd w:val="clear" w:color="auto" w:fill="auto"/>
          </w:tcPr>
          <w:p w14:paraId="5C1E4999" w14:textId="5C557765" w:rsidR="00D561E2" w:rsidRPr="00727F2A" w:rsidRDefault="00D561E2">
            <w:pPr>
              <w:spacing w:after="60"/>
              <w:jc w:val="center"/>
              <w:rPr>
                <w:noProof/>
              </w:rPr>
            </w:pPr>
            <w:r>
              <w:rPr>
                <w:noProof/>
              </w:rPr>
              <w:t>277</w:t>
            </w:r>
          </w:p>
        </w:tc>
        <w:tc>
          <w:tcPr>
            <w:tcW w:w="2234" w:type="dxa"/>
            <w:shd w:val="clear" w:color="auto" w:fill="auto"/>
          </w:tcPr>
          <w:p w14:paraId="5D3AC00D" w14:textId="7C98B4B3" w:rsidR="00D561E2" w:rsidRPr="00727F2A" w:rsidRDefault="00D561E2">
            <w:pPr>
              <w:spacing w:after="60"/>
              <w:jc w:val="center"/>
              <w:rPr>
                <w:noProof/>
              </w:rPr>
            </w:pPr>
            <w:r>
              <w:rPr>
                <w:noProof/>
              </w:rPr>
              <w:t>10 092</w:t>
            </w:r>
          </w:p>
        </w:tc>
      </w:tr>
      <w:tr w:rsidR="00D561E2" w:rsidRPr="00727F2A" w14:paraId="58BD0CF3" w14:textId="77777777" w:rsidTr="00CE5B02">
        <w:tc>
          <w:tcPr>
            <w:tcW w:w="5070" w:type="dxa"/>
            <w:shd w:val="clear" w:color="auto" w:fill="auto"/>
          </w:tcPr>
          <w:p w14:paraId="0B7F96DA" w14:textId="36072426" w:rsidR="00D561E2" w:rsidRPr="00727F2A" w:rsidRDefault="00FD2187" w:rsidP="00CE5B02">
            <w:pPr>
              <w:spacing w:after="60"/>
              <w:rPr>
                <w:noProof/>
              </w:rPr>
            </w:pPr>
            <w:r>
              <w:rPr>
                <w:noProof/>
              </w:rPr>
              <w:t>Tyskland</w:t>
            </w:r>
          </w:p>
        </w:tc>
        <w:tc>
          <w:tcPr>
            <w:tcW w:w="1984" w:type="dxa"/>
            <w:shd w:val="clear" w:color="auto" w:fill="auto"/>
          </w:tcPr>
          <w:p w14:paraId="026BE9A8" w14:textId="58D4DCCB" w:rsidR="00D561E2" w:rsidRPr="00727F2A" w:rsidRDefault="00FD2187" w:rsidP="00D561E2">
            <w:pPr>
              <w:spacing w:after="60"/>
              <w:jc w:val="center"/>
              <w:rPr>
                <w:noProof/>
              </w:rPr>
            </w:pPr>
            <w:r>
              <w:rPr>
                <w:noProof/>
              </w:rPr>
              <w:t>249</w:t>
            </w:r>
          </w:p>
        </w:tc>
        <w:tc>
          <w:tcPr>
            <w:tcW w:w="2234" w:type="dxa"/>
            <w:shd w:val="clear" w:color="auto" w:fill="auto"/>
          </w:tcPr>
          <w:p w14:paraId="38CAD794" w14:textId="7AAD44C6" w:rsidR="00D561E2" w:rsidRPr="00727F2A" w:rsidRDefault="00FD2187" w:rsidP="00D561E2">
            <w:pPr>
              <w:spacing w:after="60"/>
              <w:jc w:val="center"/>
              <w:rPr>
                <w:noProof/>
              </w:rPr>
            </w:pPr>
            <w:r>
              <w:rPr>
                <w:noProof/>
              </w:rPr>
              <w:t>9 903</w:t>
            </w:r>
          </w:p>
        </w:tc>
      </w:tr>
      <w:tr w:rsidR="00FD2187" w:rsidRPr="00727F2A" w14:paraId="65827607" w14:textId="77777777" w:rsidTr="00CE5B02">
        <w:tc>
          <w:tcPr>
            <w:tcW w:w="5070" w:type="dxa"/>
            <w:shd w:val="clear" w:color="auto" w:fill="auto"/>
          </w:tcPr>
          <w:p w14:paraId="67A6AB5A" w14:textId="3A13E2A5" w:rsidR="00FD2187" w:rsidRPr="00CE5B02" w:rsidRDefault="00FD2187" w:rsidP="00CE5B02">
            <w:pPr>
              <w:spacing w:after="60"/>
              <w:rPr>
                <w:noProof/>
              </w:rPr>
            </w:pPr>
            <w:r>
              <w:rPr>
                <w:noProof/>
              </w:rPr>
              <w:t>Danmark</w:t>
            </w:r>
          </w:p>
        </w:tc>
        <w:tc>
          <w:tcPr>
            <w:tcW w:w="1984" w:type="dxa"/>
            <w:shd w:val="clear" w:color="auto" w:fill="auto"/>
          </w:tcPr>
          <w:p w14:paraId="358EE6F6" w14:textId="7227D72B" w:rsidR="00FD2187" w:rsidRPr="00CE5B02" w:rsidRDefault="00FD2187" w:rsidP="00FD2187">
            <w:pPr>
              <w:spacing w:after="60"/>
              <w:jc w:val="center"/>
              <w:rPr>
                <w:noProof/>
              </w:rPr>
            </w:pPr>
            <w:r>
              <w:rPr>
                <w:noProof/>
              </w:rPr>
              <w:t>32</w:t>
            </w:r>
          </w:p>
        </w:tc>
        <w:tc>
          <w:tcPr>
            <w:tcW w:w="2234" w:type="dxa"/>
            <w:shd w:val="clear" w:color="auto" w:fill="auto"/>
          </w:tcPr>
          <w:p w14:paraId="00089D2D" w14:textId="476453A4" w:rsidR="00FD2187" w:rsidRPr="00CE5B02" w:rsidRDefault="00FD2187" w:rsidP="00FD2187">
            <w:pPr>
              <w:spacing w:after="60"/>
              <w:jc w:val="center"/>
              <w:rPr>
                <w:noProof/>
              </w:rPr>
            </w:pPr>
            <w:r>
              <w:rPr>
                <w:noProof/>
              </w:rPr>
              <w:t>2 890</w:t>
            </w:r>
          </w:p>
        </w:tc>
      </w:tr>
      <w:tr w:rsidR="00D561E2" w:rsidRPr="00727F2A" w14:paraId="5FE8660D" w14:textId="77777777" w:rsidTr="00D561E2">
        <w:tc>
          <w:tcPr>
            <w:tcW w:w="5070" w:type="dxa"/>
            <w:shd w:val="clear" w:color="auto" w:fill="auto"/>
          </w:tcPr>
          <w:p w14:paraId="7B2AF34D" w14:textId="6F9F89B0" w:rsidR="00D561E2" w:rsidRDefault="00FD2187" w:rsidP="00D561E2">
            <w:pPr>
              <w:spacing w:after="60"/>
              <w:rPr>
                <w:noProof/>
              </w:rPr>
            </w:pPr>
            <w:r>
              <w:rPr>
                <w:noProof/>
              </w:rPr>
              <w:t>Sverige</w:t>
            </w:r>
          </w:p>
        </w:tc>
        <w:tc>
          <w:tcPr>
            <w:tcW w:w="1984" w:type="dxa"/>
            <w:shd w:val="clear" w:color="auto" w:fill="auto"/>
          </w:tcPr>
          <w:p w14:paraId="39C4C783" w14:textId="682F4B18" w:rsidR="00D561E2" w:rsidRPr="00D561E2" w:rsidRDefault="005F0965" w:rsidP="00D561E2">
            <w:pPr>
              <w:spacing w:after="60"/>
              <w:jc w:val="center"/>
              <w:rPr>
                <w:noProof/>
              </w:rPr>
            </w:pPr>
            <w:r>
              <w:rPr>
                <w:noProof/>
              </w:rPr>
              <w:t>325</w:t>
            </w:r>
          </w:p>
        </w:tc>
        <w:tc>
          <w:tcPr>
            <w:tcW w:w="2234" w:type="dxa"/>
            <w:shd w:val="clear" w:color="auto" w:fill="auto"/>
          </w:tcPr>
          <w:p w14:paraId="4D26ADDA" w14:textId="351D9950" w:rsidR="00D561E2" w:rsidRPr="00D561E2" w:rsidRDefault="005F0965" w:rsidP="00D561E2">
            <w:pPr>
              <w:spacing w:after="60"/>
              <w:jc w:val="center"/>
              <w:rPr>
                <w:noProof/>
              </w:rPr>
            </w:pPr>
            <w:r>
              <w:rPr>
                <w:noProof/>
              </w:rPr>
              <w:t>2 885</w:t>
            </w:r>
          </w:p>
        </w:tc>
      </w:tr>
      <w:tr w:rsidR="00801ACA" w:rsidRPr="00727F2A" w14:paraId="2BC0F15A" w14:textId="77777777" w:rsidTr="00D561E2">
        <w:tc>
          <w:tcPr>
            <w:tcW w:w="5070" w:type="dxa"/>
            <w:shd w:val="clear" w:color="auto" w:fill="auto"/>
          </w:tcPr>
          <w:p w14:paraId="7A24F28B" w14:textId="7713770E" w:rsidR="00801ACA" w:rsidRDefault="00801ACA" w:rsidP="00D561E2">
            <w:pPr>
              <w:spacing w:after="60"/>
              <w:rPr>
                <w:noProof/>
              </w:rPr>
            </w:pPr>
            <w:r>
              <w:rPr>
                <w:noProof/>
              </w:rPr>
              <w:t>Frankrig</w:t>
            </w:r>
          </w:p>
        </w:tc>
        <w:tc>
          <w:tcPr>
            <w:tcW w:w="1984" w:type="dxa"/>
            <w:shd w:val="clear" w:color="auto" w:fill="auto"/>
          </w:tcPr>
          <w:p w14:paraId="7679A6B8" w14:textId="31118C84" w:rsidR="00801ACA" w:rsidRDefault="00801ACA" w:rsidP="00D561E2">
            <w:pPr>
              <w:spacing w:after="60"/>
              <w:jc w:val="center"/>
              <w:rPr>
                <w:noProof/>
              </w:rPr>
            </w:pPr>
            <w:r>
              <w:rPr>
                <w:noProof/>
              </w:rPr>
              <w:t>34</w:t>
            </w:r>
          </w:p>
        </w:tc>
        <w:tc>
          <w:tcPr>
            <w:tcW w:w="2234" w:type="dxa"/>
            <w:shd w:val="clear" w:color="auto" w:fill="auto"/>
          </w:tcPr>
          <w:p w14:paraId="33FDD429" w14:textId="179D6503" w:rsidR="00801ACA" w:rsidRDefault="00801ACA" w:rsidP="00D561E2">
            <w:pPr>
              <w:spacing w:after="60"/>
              <w:jc w:val="center"/>
              <w:rPr>
                <w:noProof/>
              </w:rPr>
            </w:pPr>
            <w:r>
              <w:rPr>
                <w:noProof/>
              </w:rPr>
              <w:t>1 825</w:t>
            </w:r>
          </w:p>
        </w:tc>
      </w:tr>
    </w:tbl>
    <w:p w14:paraId="2744384E" w14:textId="77777777" w:rsidR="007E2D6B" w:rsidRPr="006A31FB" w:rsidRDefault="007E2D6B" w:rsidP="00834CAD">
      <w:pPr>
        <w:spacing w:before="120" w:after="120"/>
        <w:jc w:val="both"/>
        <w:rPr>
          <w:noProof/>
        </w:rPr>
      </w:pPr>
    </w:p>
    <w:p w14:paraId="64F51540" w14:textId="77777777" w:rsidR="00FB68EF" w:rsidRPr="00727F2A" w:rsidRDefault="00FB68EF" w:rsidP="00834CAD">
      <w:pPr>
        <w:pStyle w:val="ListParagraph"/>
        <w:numPr>
          <w:ilvl w:val="0"/>
          <w:numId w:val="1"/>
        </w:numPr>
        <w:spacing w:after="120"/>
        <w:contextualSpacing w:val="0"/>
        <w:jc w:val="both"/>
        <w:rPr>
          <w:b/>
          <w:noProof/>
          <w:u w:val="single"/>
        </w:rPr>
      </w:pPr>
      <w:r>
        <w:rPr>
          <w:b/>
          <w:noProof/>
        </w:rPr>
        <w:t>Hensyntagen til klimaændringsmålene:</w:t>
      </w:r>
    </w:p>
    <w:p w14:paraId="6363689C" w14:textId="33CD52D0" w:rsidR="00715B33" w:rsidRDefault="008D069E" w:rsidP="00302F1D">
      <w:pPr>
        <w:jc w:val="both"/>
        <w:rPr>
          <w:noProof/>
        </w:rPr>
      </w:pPr>
      <w:r>
        <w:rPr>
          <w:noProof/>
        </w:rPr>
        <w:t>Den 15. marts 2022 skitserede medlemsstaterne i Rådet for Den Europæiske Unions konklusioner om eksportkreditter</w:t>
      </w:r>
      <w:r>
        <w:rPr>
          <w:rStyle w:val="FootnoteReference"/>
          <w:noProof/>
        </w:rPr>
        <w:footnoteReference w:id="4"/>
      </w:r>
      <w:r>
        <w:rPr>
          <w:noProof/>
        </w:rPr>
        <w:t xml:space="preserve"> en "EU-klimapagt for eksportfinansiering", som omfattede en række forpligtelser. Blandt disse gav medlemsstaterne udtryk for deres "vilje til at berige deres årlige rapportering" i forbindelse med denne årlige gennemgang "med en klimaorienteret gennemgang af deres respektive offentligt støttede eksportkreditvirksomhed, sektor for sektor". Den nye udgave af den tjeklisteskabelon, der er i brug for 2023, beskriver metodologien for dette, og dette afsnit gør brug af den berigede rapportering fra medlemsstaterne. </w:t>
      </w:r>
    </w:p>
    <w:p w14:paraId="37222E85" w14:textId="77777777" w:rsidR="00302F1D" w:rsidRDefault="00302F1D" w:rsidP="0026049C">
      <w:pPr>
        <w:jc w:val="both"/>
        <w:rPr>
          <w:noProof/>
        </w:rPr>
      </w:pPr>
    </w:p>
    <w:p w14:paraId="7995304B" w14:textId="33546C5F" w:rsidR="00886A65" w:rsidRDefault="00715B33" w:rsidP="00302F1D">
      <w:pPr>
        <w:jc w:val="both"/>
        <w:rPr>
          <w:noProof/>
        </w:rPr>
      </w:pPr>
      <w:r>
        <w:rPr>
          <w:noProof/>
        </w:rPr>
        <w:t xml:space="preserve">Et af elementerne er Rådets tilsagn, i samme konklusioner, om, at medlemsstaterne inden udgangen af 2023 i deres nationale politikker ville fastsætte "deres egne videnskabeligt baserede frister for afskaffelse af offentligt støttede eksportkreditter til projekter i den fossile energisektor, medmindre der er tale om begrænsede og klart definerede omstændigheder, der er forenelige med grænsen for den globale opvarmning på 1,5 °C og målene i Parisaftalen". I deres årlige aktivitetsrapporter rapporterede 14 medlemsstater (Belgien, Danmark, Finland, Frankrig, Italien, Luxembourg, Nederlandene, Rumænien, Slovakiet, Slovenien, Spanien, Sverige, Tyskland og Østrig), at de havde offentliggjort en sådan politik senest den 31. december 2023. Grækenland, Polen, Portugal og Tjekkiet rapporterede, at de var ved at gøre det. De øvrige medlemsstater har enten erklæret, at de ikke har nogen interesse i sektoren for energi fra fossile brændstoffer, eller at de ikke yder offentligt støttede eksportkreditter. </w:t>
      </w:r>
    </w:p>
    <w:p w14:paraId="51E643BB" w14:textId="77777777" w:rsidR="00261A11" w:rsidRDefault="00261A11" w:rsidP="0026049C">
      <w:pPr>
        <w:jc w:val="both"/>
        <w:rPr>
          <w:noProof/>
        </w:rPr>
      </w:pPr>
    </w:p>
    <w:p w14:paraId="46C13D0E" w14:textId="404CC93B" w:rsidR="00DB3A4D" w:rsidRDefault="00652D16" w:rsidP="0044090D">
      <w:pPr>
        <w:spacing w:after="120"/>
        <w:jc w:val="both"/>
        <w:rPr>
          <w:noProof/>
        </w:rPr>
      </w:pPr>
      <w:r>
        <w:rPr>
          <w:noProof/>
        </w:rPr>
        <w:t>Med hensyn til kulsektoren har enhver støtte til projekter vedrørende kulfyrede kraftværker med uformindsket CO</w:t>
      </w:r>
      <w:r>
        <w:rPr>
          <w:noProof/>
          <w:vertAlign w:val="subscript"/>
        </w:rPr>
        <w:t>2</w:t>
      </w:r>
      <w:r>
        <w:rPr>
          <w:noProof/>
        </w:rPr>
        <w:t>-udledning været forbudt siden 2021 i henhold til arrangementet med undtagelse af projekter, der reducerer forurening eller installerer CO</w:t>
      </w:r>
      <w:r>
        <w:rPr>
          <w:noProof/>
          <w:vertAlign w:val="subscript"/>
        </w:rPr>
        <w:t>2</w:t>
      </w:r>
      <w:r>
        <w:rPr>
          <w:noProof/>
        </w:rPr>
        <w:t xml:space="preserve">-emissionsreduktionssystemer, hvilket hverken fører til en forlængelse af kraftværkets nyttelevetid eller en kapacitetsforøgelse. De fleste medlemsstater har i deres klimarelaterede politikker indført en strengere politik for udfasning af kul end arrangementets forbud, herunder ingen finansiering i hele værdikæden. I 2023 indberettede europæiske eksportkreditinstitutter ingen transaktioner vedrørende projekter inden for kulenergisektoren (som omfatter udnyttelse, produktion, transport, lagring i forbindelse med distributionsinfrastruktur, raffinering, distribution og elproduktion). </w:t>
      </w:r>
    </w:p>
    <w:p w14:paraId="70985B61" w14:textId="7C6FD801" w:rsidR="00886A65" w:rsidRPr="0026049C" w:rsidRDefault="0061410C" w:rsidP="536D04D0">
      <w:pPr>
        <w:spacing w:after="120" w:line="259" w:lineRule="auto"/>
        <w:jc w:val="both"/>
        <w:rPr>
          <w:rFonts w:eastAsia="Times New Roman"/>
          <w:noProof/>
        </w:rPr>
      </w:pPr>
      <w:r>
        <w:rPr>
          <w:noProof/>
        </w:rPr>
        <w:t xml:space="preserve">Med hensyn til oliesektoren har de 14 medlemsstater pr. 31. december 2023 fastsat forskellige frister for at bringe støtten til ophør. 10 medlemsstater forpligtede sig til ikke længere at støtte disse projekter efter den 31. december 2023 (Belgien, Danmark, Finland, Frankrig, Italien, Luxembourg, Nederlandene, Spanien, Sverige og Tyskland). De resterende medlemsstater fastholdt muligheden for at finansiere sådanne transaktioner med en slutdato frem til 2030, selv om ingen af disse anmeldte olierelaterede transaktioner i disse sektorer i 2023. </w:t>
      </w:r>
    </w:p>
    <w:p w14:paraId="7424E976" w14:textId="58368095" w:rsidR="00D63DBD" w:rsidRPr="0026049C" w:rsidRDefault="00376598" w:rsidP="00D63DBD">
      <w:pPr>
        <w:spacing w:after="120" w:line="259" w:lineRule="auto"/>
        <w:jc w:val="both"/>
        <w:rPr>
          <w:rFonts w:eastAsia="Times New Roman"/>
          <w:noProof/>
        </w:rPr>
      </w:pPr>
      <w:r>
        <w:rPr>
          <w:noProof/>
        </w:rPr>
        <w:t xml:space="preserve">I gassektoren gav de samme 10 medlemsstater, igen pr. 31. december 2023, klare tilsagn om at ophøre med finansiering af kraftværks- og værdikædeprojekter. Nogle eksportkreditinstitutter (Danmark, Finland, Nederlandene og Tyskland) fastholder dog muligheden for at yde støtte under begrænsede omstændigheder, f.eks. ved at reducere elproduktionen, udvikle de fattigste lande eller lande, hvor naturgas er en del af en overgangsløsning, der er i overensstemmelse med vejen mod 1,5 °C. I ét tilfælde omfatter medlemsstatens retningslinje kun elproduktion. De resterende medlemsstater fastholdt, for så vidt angår olie, muligheden for at finansiere sådanne transaktioner med en slutdato frem til 2030, selv om ingen af disse anmeldte olierelaterede transaktioner i disse sektorer i 2023. </w:t>
      </w:r>
    </w:p>
    <w:p w14:paraId="060D41E5" w14:textId="0F03AA8A" w:rsidR="00FD402B" w:rsidRDefault="00FD402B" w:rsidP="0044090D">
      <w:pPr>
        <w:spacing w:after="120"/>
        <w:jc w:val="both"/>
        <w:rPr>
          <w:noProof/>
        </w:rPr>
      </w:pPr>
      <w:r>
        <w:rPr>
          <w:noProof/>
        </w:rPr>
        <w:t>I praksis blev der anmeldt fire eksportkreditstøttede transaktioner i olie- og gassektoren af eksportkreditinstitutter i EU i 2023 med en samlet kreditværdi på 1 104 mio. EUR:</w:t>
      </w:r>
    </w:p>
    <w:p w14:paraId="4B05B22F" w14:textId="77777777" w:rsidR="00912719" w:rsidRDefault="00912719" w:rsidP="0044090D">
      <w:pPr>
        <w:spacing w:after="120"/>
        <w:jc w:val="both"/>
        <w:rPr>
          <w:noProof/>
        </w:rPr>
      </w:pPr>
    </w:p>
    <w:tbl>
      <w:tblPr>
        <w:tblStyle w:val="TableGrid0"/>
        <w:tblW w:w="0" w:type="auto"/>
        <w:tblLook w:val="04A0" w:firstRow="1" w:lastRow="0" w:firstColumn="1" w:lastColumn="0" w:noHBand="0" w:noVBand="1"/>
      </w:tblPr>
      <w:tblGrid>
        <w:gridCol w:w="470"/>
        <w:gridCol w:w="2914"/>
        <w:gridCol w:w="2051"/>
        <w:gridCol w:w="3815"/>
      </w:tblGrid>
      <w:tr w:rsidR="0020162A" w14:paraId="774395B4" w14:textId="77777777" w:rsidTr="00A100AD">
        <w:trPr>
          <w:trHeight w:val="602"/>
        </w:trPr>
        <w:tc>
          <w:tcPr>
            <w:tcW w:w="470" w:type="dxa"/>
            <w:shd w:val="clear" w:color="auto" w:fill="1F497D" w:themeFill="text2"/>
          </w:tcPr>
          <w:p w14:paraId="6959B73D" w14:textId="77777777" w:rsidR="0020162A" w:rsidRPr="00CE5B02" w:rsidRDefault="0020162A" w:rsidP="00CE5B02">
            <w:pPr>
              <w:spacing w:after="60"/>
              <w:jc w:val="center"/>
              <w:rPr>
                <w:b/>
                <w:noProof/>
                <w:color w:val="FFFFFF" w:themeColor="background1"/>
              </w:rPr>
            </w:pPr>
          </w:p>
        </w:tc>
        <w:tc>
          <w:tcPr>
            <w:tcW w:w="2914" w:type="dxa"/>
            <w:shd w:val="clear" w:color="auto" w:fill="1F497D" w:themeFill="text2"/>
          </w:tcPr>
          <w:p w14:paraId="24920148" w14:textId="17C4861D" w:rsidR="0020162A" w:rsidRPr="00CE5B02" w:rsidRDefault="0020162A" w:rsidP="00CE5B02">
            <w:pPr>
              <w:spacing w:after="60"/>
              <w:jc w:val="center"/>
              <w:rPr>
                <w:b/>
                <w:noProof/>
                <w:color w:val="FFFFFF" w:themeColor="background1"/>
              </w:rPr>
            </w:pPr>
            <w:r>
              <w:rPr>
                <w:b/>
                <w:noProof/>
                <w:color w:val="FFFFFF" w:themeColor="background1"/>
              </w:rPr>
              <w:t>Bistandsydende medlemsstat</w:t>
            </w:r>
          </w:p>
        </w:tc>
        <w:tc>
          <w:tcPr>
            <w:tcW w:w="2051" w:type="dxa"/>
            <w:shd w:val="clear" w:color="auto" w:fill="1F497D" w:themeFill="text2"/>
          </w:tcPr>
          <w:p w14:paraId="336C9E8E" w14:textId="2AE8653E" w:rsidR="0020162A" w:rsidRPr="00CE5B02" w:rsidRDefault="0020162A" w:rsidP="00CE5B02">
            <w:pPr>
              <w:spacing w:after="60"/>
              <w:jc w:val="center"/>
              <w:rPr>
                <w:b/>
                <w:noProof/>
                <w:color w:val="FFFFFF" w:themeColor="background1"/>
              </w:rPr>
            </w:pPr>
            <w:r>
              <w:rPr>
                <w:b/>
                <w:noProof/>
                <w:color w:val="FFFFFF" w:themeColor="background1"/>
              </w:rPr>
              <w:t>Transaktionens værdi</w:t>
            </w:r>
          </w:p>
        </w:tc>
        <w:tc>
          <w:tcPr>
            <w:tcW w:w="3815" w:type="dxa"/>
            <w:shd w:val="clear" w:color="auto" w:fill="1F497D" w:themeFill="text2"/>
          </w:tcPr>
          <w:p w14:paraId="690B72E4" w14:textId="21721ED2" w:rsidR="0020162A" w:rsidRPr="00CE5B02" w:rsidRDefault="0020162A" w:rsidP="00CE5B02">
            <w:pPr>
              <w:spacing w:after="60"/>
              <w:jc w:val="center"/>
              <w:rPr>
                <w:b/>
                <w:noProof/>
                <w:color w:val="FFFFFF" w:themeColor="background1"/>
              </w:rPr>
            </w:pPr>
            <w:r>
              <w:rPr>
                <w:b/>
                <w:noProof/>
                <w:color w:val="FFFFFF" w:themeColor="background1"/>
              </w:rPr>
              <w:t>Projekttype</w:t>
            </w:r>
          </w:p>
        </w:tc>
      </w:tr>
      <w:tr w:rsidR="0020162A" w14:paraId="0FB920C2" w14:textId="77777777" w:rsidTr="00A100AD">
        <w:trPr>
          <w:trHeight w:val="677"/>
        </w:trPr>
        <w:tc>
          <w:tcPr>
            <w:tcW w:w="470" w:type="dxa"/>
          </w:tcPr>
          <w:p w14:paraId="510D3F7E" w14:textId="57CE7BCD" w:rsidR="0020162A" w:rsidRDefault="0020162A" w:rsidP="0020162A">
            <w:pPr>
              <w:spacing w:after="120"/>
              <w:rPr>
                <w:noProof/>
              </w:rPr>
            </w:pPr>
            <w:r>
              <w:rPr>
                <w:noProof/>
              </w:rPr>
              <w:t>1.</w:t>
            </w:r>
          </w:p>
        </w:tc>
        <w:tc>
          <w:tcPr>
            <w:tcW w:w="2914" w:type="dxa"/>
          </w:tcPr>
          <w:p w14:paraId="52AA5DEC" w14:textId="78B19E27" w:rsidR="0020162A" w:rsidRDefault="0020162A" w:rsidP="00CE5B02">
            <w:pPr>
              <w:spacing w:after="120"/>
              <w:rPr>
                <w:noProof/>
              </w:rPr>
            </w:pPr>
            <w:r>
              <w:rPr>
                <w:noProof/>
              </w:rPr>
              <w:t>Danmark</w:t>
            </w:r>
          </w:p>
        </w:tc>
        <w:tc>
          <w:tcPr>
            <w:tcW w:w="2051" w:type="dxa"/>
          </w:tcPr>
          <w:p w14:paraId="35D2525A" w14:textId="3178BC99" w:rsidR="0020162A" w:rsidRDefault="0020162A" w:rsidP="00CE5B02">
            <w:pPr>
              <w:spacing w:after="120"/>
              <w:rPr>
                <w:noProof/>
              </w:rPr>
            </w:pPr>
            <w:r>
              <w:rPr>
                <w:noProof/>
              </w:rPr>
              <w:t>45 mio. EUR</w:t>
            </w:r>
          </w:p>
        </w:tc>
        <w:tc>
          <w:tcPr>
            <w:tcW w:w="3815" w:type="dxa"/>
          </w:tcPr>
          <w:p w14:paraId="60AE09C1" w14:textId="130C3C30" w:rsidR="0020162A" w:rsidRDefault="0020162A" w:rsidP="00CE5B02">
            <w:pPr>
              <w:spacing w:after="120"/>
              <w:rPr>
                <w:noProof/>
              </w:rPr>
            </w:pPr>
            <w:r>
              <w:rPr>
                <w:noProof/>
              </w:rPr>
              <w:t>Et anlæg til lagring og aftapning af gas til madlavning</w:t>
            </w:r>
          </w:p>
        </w:tc>
      </w:tr>
      <w:tr w:rsidR="0020162A" w14:paraId="77CD445C" w14:textId="77777777" w:rsidTr="00A100AD">
        <w:trPr>
          <w:trHeight w:val="391"/>
        </w:trPr>
        <w:tc>
          <w:tcPr>
            <w:tcW w:w="470" w:type="dxa"/>
          </w:tcPr>
          <w:p w14:paraId="6DA1B232" w14:textId="2E1EBC61" w:rsidR="0020162A" w:rsidRDefault="0020162A" w:rsidP="0020162A">
            <w:pPr>
              <w:spacing w:after="120"/>
              <w:rPr>
                <w:noProof/>
              </w:rPr>
            </w:pPr>
            <w:r>
              <w:rPr>
                <w:noProof/>
              </w:rPr>
              <w:t>2.</w:t>
            </w:r>
          </w:p>
        </w:tc>
        <w:tc>
          <w:tcPr>
            <w:tcW w:w="2914" w:type="dxa"/>
          </w:tcPr>
          <w:p w14:paraId="1B8DAD80" w14:textId="2E7C3248" w:rsidR="0020162A" w:rsidRDefault="0020162A" w:rsidP="00CE5B02">
            <w:pPr>
              <w:spacing w:after="120"/>
              <w:rPr>
                <w:noProof/>
              </w:rPr>
            </w:pPr>
            <w:r>
              <w:rPr>
                <w:noProof/>
              </w:rPr>
              <w:t>Italien</w:t>
            </w:r>
          </w:p>
        </w:tc>
        <w:tc>
          <w:tcPr>
            <w:tcW w:w="2051" w:type="dxa"/>
          </w:tcPr>
          <w:p w14:paraId="7E59A38B" w14:textId="55F875A0" w:rsidR="0020162A" w:rsidRPr="00CE5B02" w:rsidRDefault="0020162A" w:rsidP="00CE5B02">
            <w:pPr>
              <w:rPr>
                <w:noProof/>
                <w:color w:val="000000"/>
              </w:rPr>
            </w:pPr>
            <w:r>
              <w:rPr>
                <w:noProof/>
                <w:color w:val="000000"/>
              </w:rPr>
              <w:t>219,1 mio. EUR</w:t>
            </w:r>
          </w:p>
        </w:tc>
        <w:tc>
          <w:tcPr>
            <w:tcW w:w="3815" w:type="dxa"/>
          </w:tcPr>
          <w:p w14:paraId="4FE3F8D1" w14:textId="11A1640D" w:rsidR="0020162A" w:rsidRDefault="0020162A" w:rsidP="00CE5B02">
            <w:pPr>
              <w:spacing w:after="120"/>
              <w:rPr>
                <w:noProof/>
              </w:rPr>
            </w:pPr>
            <w:r>
              <w:rPr>
                <w:noProof/>
              </w:rPr>
              <w:t>Et olieraffinaderi</w:t>
            </w:r>
          </w:p>
        </w:tc>
      </w:tr>
      <w:tr w:rsidR="0020162A" w14:paraId="6DDB2599" w14:textId="77777777" w:rsidTr="00A100AD">
        <w:trPr>
          <w:trHeight w:val="948"/>
        </w:trPr>
        <w:tc>
          <w:tcPr>
            <w:tcW w:w="470" w:type="dxa"/>
          </w:tcPr>
          <w:p w14:paraId="35E040BF" w14:textId="6CC7A9D3" w:rsidR="0020162A" w:rsidRDefault="0020162A" w:rsidP="0020162A">
            <w:pPr>
              <w:spacing w:after="120"/>
              <w:rPr>
                <w:noProof/>
              </w:rPr>
            </w:pPr>
            <w:r>
              <w:rPr>
                <w:noProof/>
              </w:rPr>
              <w:t>3.</w:t>
            </w:r>
          </w:p>
        </w:tc>
        <w:tc>
          <w:tcPr>
            <w:tcW w:w="2914" w:type="dxa"/>
          </w:tcPr>
          <w:p w14:paraId="2701B43D" w14:textId="58DD1E4C" w:rsidR="0020162A" w:rsidRDefault="0020162A" w:rsidP="00CE5B02">
            <w:pPr>
              <w:spacing w:after="120"/>
              <w:rPr>
                <w:noProof/>
              </w:rPr>
            </w:pPr>
            <w:r>
              <w:rPr>
                <w:noProof/>
              </w:rPr>
              <w:t>Tyskland</w:t>
            </w:r>
          </w:p>
        </w:tc>
        <w:tc>
          <w:tcPr>
            <w:tcW w:w="2051" w:type="dxa"/>
          </w:tcPr>
          <w:p w14:paraId="63F86BAC" w14:textId="7A91CDB2" w:rsidR="0020162A" w:rsidRDefault="0020162A" w:rsidP="0026049C">
            <w:pPr>
              <w:rPr>
                <w:noProof/>
              </w:rPr>
            </w:pPr>
            <w:r>
              <w:rPr>
                <w:noProof/>
                <w:color w:val="000000"/>
              </w:rPr>
              <w:t>282,6 mio. EUR</w:t>
            </w:r>
          </w:p>
        </w:tc>
        <w:tc>
          <w:tcPr>
            <w:tcW w:w="3815" w:type="dxa"/>
          </w:tcPr>
          <w:p w14:paraId="4C477EE0" w14:textId="313F8546" w:rsidR="0020162A" w:rsidRDefault="0057022A" w:rsidP="00CE5B02">
            <w:pPr>
              <w:spacing w:after="120"/>
              <w:rPr>
                <w:noProof/>
              </w:rPr>
            </w:pPr>
            <w:r>
              <w:rPr>
                <w:noProof/>
              </w:rPr>
              <w:t xml:space="preserve">Modernisering af et gasfyret kraftværk </w:t>
            </w:r>
          </w:p>
        </w:tc>
      </w:tr>
      <w:tr w:rsidR="0020162A" w14:paraId="698175D2" w14:textId="77777777" w:rsidTr="00A100AD">
        <w:trPr>
          <w:trHeight w:val="1099"/>
        </w:trPr>
        <w:tc>
          <w:tcPr>
            <w:tcW w:w="470" w:type="dxa"/>
          </w:tcPr>
          <w:p w14:paraId="5A1D75DC" w14:textId="7F19C9B8" w:rsidR="0020162A" w:rsidRDefault="0020162A" w:rsidP="0020162A">
            <w:pPr>
              <w:spacing w:after="120"/>
              <w:rPr>
                <w:noProof/>
              </w:rPr>
            </w:pPr>
            <w:r>
              <w:rPr>
                <w:noProof/>
              </w:rPr>
              <w:t>4.</w:t>
            </w:r>
          </w:p>
        </w:tc>
        <w:tc>
          <w:tcPr>
            <w:tcW w:w="2914" w:type="dxa"/>
          </w:tcPr>
          <w:p w14:paraId="4A88A539" w14:textId="24974421" w:rsidR="0020162A" w:rsidRDefault="0020162A" w:rsidP="00CE5B02">
            <w:pPr>
              <w:spacing w:after="120"/>
              <w:rPr>
                <w:noProof/>
              </w:rPr>
            </w:pPr>
            <w:r>
              <w:rPr>
                <w:noProof/>
              </w:rPr>
              <w:t>Italien og Nederlandene</w:t>
            </w:r>
          </w:p>
        </w:tc>
        <w:tc>
          <w:tcPr>
            <w:tcW w:w="2051" w:type="dxa"/>
          </w:tcPr>
          <w:p w14:paraId="228BBA01" w14:textId="6FC50504" w:rsidR="0020162A" w:rsidRPr="00CE5B02" w:rsidRDefault="0020162A" w:rsidP="00CE5B02">
            <w:pPr>
              <w:rPr>
                <w:noProof/>
                <w:color w:val="000000"/>
              </w:rPr>
            </w:pPr>
            <w:r>
              <w:rPr>
                <w:noProof/>
                <w:color w:val="000000"/>
              </w:rPr>
              <w:t>364,7 mio. EUR (Italien) + 193,2 mio. EUR (Nederlandene)</w:t>
            </w:r>
          </w:p>
        </w:tc>
        <w:tc>
          <w:tcPr>
            <w:tcW w:w="3815" w:type="dxa"/>
          </w:tcPr>
          <w:p w14:paraId="656B895C" w14:textId="2AEA2053" w:rsidR="0020162A" w:rsidRDefault="0057022A" w:rsidP="00CE5B02">
            <w:pPr>
              <w:spacing w:after="120"/>
              <w:rPr>
                <w:noProof/>
              </w:rPr>
            </w:pPr>
            <w:r>
              <w:rPr>
                <w:noProof/>
              </w:rPr>
              <w:t>Et opstrømsolieprojekt</w:t>
            </w:r>
          </w:p>
        </w:tc>
      </w:tr>
    </w:tbl>
    <w:p w14:paraId="7EC6FF53" w14:textId="77777777" w:rsidR="00912719" w:rsidRDefault="00912719" w:rsidP="0044090D">
      <w:pPr>
        <w:spacing w:after="120"/>
        <w:jc w:val="both"/>
        <w:rPr>
          <w:noProof/>
        </w:rPr>
      </w:pPr>
    </w:p>
    <w:p w14:paraId="7A3E19FC" w14:textId="2263FCD8" w:rsidR="00652D16" w:rsidRPr="0044090D" w:rsidRDefault="00E45027" w:rsidP="00132658">
      <w:pPr>
        <w:spacing w:after="120"/>
        <w:jc w:val="both"/>
        <w:rPr>
          <w:noProof/>
        </w:rPr>
      </w:pPr>
      <w:r>
        <w:rPr>
          <w:noProof/>
        </w:rPr>
        <w:t>Med hensyn til den første transaktion rapporterede medlemsstaten, at støtten blev ydet i overensstemmelse med en undtagelse i dens politik for "ren madlavning". I ESG-vurderingen konkluderedes det, at alternativerne ville føre til mere CO</w:t>
      </w:r>
      <w:r>
        <w:rPr>
          <w:noProof/>
          <w:vertAlign w:val="subscript"/>
        </w:rPr>
        <w:t>2</w:t>
      </w:r>
      <w:r>
        <w:rPr>
          <w:noProof/>
        </w:rPr>
        <w:t xml:space="preserve">-forurening. Med hensyn til de tre resterende transaktioner blev disse udstedt af tre forskellige medlemsstater, før deres klimaforpligtelser trådte i kraft. Fra den 1. januar 2024 ville disse tre transaktioner ikke længere være tilladt. For alle transaktioner bemærkede de rapporterende medlemsstater, at de gennemførte en due diligence-procedure svarende til den, de anvendte til andre sociale og andre miljømæssige virkninger. </w:t>
      </w:r>
    </w:p>
    <w:p w14:paraId="4E0C3A98" w14:textId="10EAC731" w:rsidR="003F18AA" w:rsidRDefault="00B628F5" w:rsidP="00834CAD">
      <w:pPr>
        <w:spacing w:after="120"/>
        <w:jc w:val="both"/>
        <w:rPr>
          <w:noProof/>
        </w:rPr>
      </w:pPr>
      <w:r>
        <w:rPr>
          <w:noProof/>
        </w:rPr>
        <w:t>Ud over disse begrænsninger for sektoren for fossile brændstoffer har medlemsstaternes eksportkreditinstitutter vedtaget incitamentsprogrammer for klimavenlige transaktioner ud over de længere maksimale løbetider, der er tilladt i henhold til arrangementets sektoraftale om klimaændringer.</w:t>
      </w:r>
      <w:bookmarkStart w:id="2" w:name="_Hlk181785279"/>
      <w:r>
        <w:rPr>
          <w:noProof/>
        </w:rPr>
        <w:t xml:space="preserve"> Nogle eksportkreditinstitutter tilbyder f.eks. mere fleksible nationale indholdsregler, bl.a. et større maksimalt lånebeløb, et større dækningsforhold, en minimumspræmiesats, der anvendes som standard, eller tilbagebetaling af studieudgifter i forbindelse med klimavenlige transaktioner. </w:t>
      </w:r>
      <w:bookmarkEnd w:id="2"/>
    </w:p>
    <w:p w14:paraId="036EBDE1" w14:textId="5347BAFC" w:rsidR="00912719" w:rsidRDefault="00CE0E1E" w:rsidP="00834CAD">
      <w:pPr>
        <w:spacing w:after="120"/>
        <w:jc w:val="both"/>
        <w:rPr>
          <w:noProof/>
        </w:rPr>
      </w:pPr>
      <w:r>
        <w:rPr>
          <w:noProof/>
        </w:rPr>
        <w:t xml:space="preserve">Nærmere bestemt er 36 projekter blevet finansieret i 2023 i sektorerne for modvirkning af og tilpasning til klimaændringer som defineret i sektoraftalen om klimaændringer af fem forskellige lande til et samlet beløb på 7 256 mio. EUR (næsten syv gange mere end den kreditværdi, der er ydet til projekter vedrørende fossile brændstoffer). De fleste af disse projekter vedrørte vedvarende energi (31 transaktioner til en kreditværdi på 6 925 mio. EUR). </w:t>
      </w:r>
    </w:p>
    <w:p w14:paraId="131DB752" w14:textId="41E5AE43" w:rsidR="00912719" w:rsidRPr="00727F2A" w:rsidRDefault="00912719" w:rsidP="003C736D">
      <w:pPr>
        <w:pStyle w:val="ListParagraph"/>
        <w:numPr>
          <w:ilvl w:val="0"/>
          <w:numId w:val="1"/>
        </w:numPr>
        <w:spacing w:after="120"/>
        <w:contextualSpacing w:val="0"/>
        <w:jc w:val="both"/>
        <w:rPr>
          <w:b/>
          <w:noProof/>
          <w:u w:val="single"/>
        </w:rPr>
      </w:pPr>
      <w:r>
        <w:rPr>
          <w:b/>
          <w:noProof/>
        </w:rPr>
        <w:t>Behandling af andre miljørisici:</w:t>
      </w:r>
    </w:p>
    <w:p w14:paraId="760E6EAC" w14:textId="77777777" w:rsidR="00912719" w:rsidRPr="00727F2A" w:rsidRDefault="00912719" w:rsidP="00912719">
      <w:pPr>
        <w:spacing w:after="120"/>
        <w:jc w:val="both"/>
        <w:rPr>
          <w:noProof/>
        </w:rPr>
      </w:pPr>
      <w:r>
        <w:rPr>
          <w:noProof/>
        </w:rPr>
        <w:t xml:space="preserve">OECD's henstilling om fælles tilgange til offentligt støttede eksportkreditter og miljømæssig og social due diligence fastsætter fælles principper for gennemførelse af miljømæssig og social due diligence. Alle EU's medlemsstater tilslutter sig henstillingen, i henhold til hvilken de identificerer og håndterer de potentielle virkninger og risici, der er forbundet med ansøgninger om offentlig støtte. Nævnte henstilling bygger på veletablerede standarder såsom Den Internationale Finansieringsinstitutions standarder for miljømæssige og sociale resultater, Verdensbankgruppens retningslinjer for miljø, sundhed og sikkerhed, Verdensbankens beskyttelsespolitikker og Verdensbankens miljømæssige og sociale standarder. Henstillingen omfatter centrale miljøspørgsmål, såsom emissioner til luften, herunder drivhusgasemissioner, ressourceeffektivitet, affaldshåndtering, støj og vibrationer, håndtering af farlige materialer, indvirkning på økosystemer, beskyttelse af biodiversitet og betydelig udnyttelse af naturressourcer. Den omfatter også krav om kriseberedskab og -indsats, således at projektejerne kan reagere på uheld og krisesituationer på en hensigtsmæssig måde for at forebygge og afbøde miljømæssige virkninger. </w:t>
      </w:r>
    </w:p>
    <w:p w14:paraId="22B8AAEE" w14:textId="165151A2" w:rsidR="00912719" w:rsidRPr="00727F2A" w:rsidRDefault="00912719" w:rsidP="00912719">
      <w:pPr>
        <w:spacing w:after="120"/>
        <w:jc w:val="both"/>
        <w:rPr>
          <w:noProof/>
        </w:rPr>
      </w:pPr>
      <w:r>
        <w:rPr>
          <w:noProof/>
        </w:rPr>
        <w:t xml:space="preserve">Derfor er EU's eksportkreditinstitutters due diligencepolitikker og risikovurderingsprocedurer hovedsagelig baseret på henstillingen, selv om den spiller en ikke-eksklusiv rolle, og politikkerne er baseret på andre standarder og gældende EU-ret. Alle medlemsstater, der yder offentligt støttede eksportkreditetter, rapporterer om overensstemmelse med henstillingens miljømæssige dimension, og at den er en integreret del af deres due diligence- og risikostyringssystemer og af deres beslutningsproces. Procedurerne for forudgående vurdering afhænger af typen, størrelsen og kategorien af en given ansøgning om officielt støttet eksportkredit. Risiciene identificeres, klassificeres og evalueres og kan have konsekvenser for berettigelsen til støtte. Alle EKI'er i EU bekræftede, at de screenede samtlige ansøgninger om offentligt støttede eksportkreditter med henblik på at fastslå, om der skulle foretages en miljøgennemgang. </w:t>
      </w:r>
    </w:p>
    <w:p w14:paraId="21823C69" w14:textId="02F51F3D" w:rsidR="00912719" w:rsidRDefault="00912719" w:rsidP="00912719">
      <w:pPr>
        <w:spacing w:after="120"/>
        <w:jc w:val="both"/>
        <w:rPr>
          <w:noProof/>
        </w:rPr>
      </w:pPr>
      <w:r>
        <w:rPr>
          <w:noProof/>
        </w:rPr>
        <w:t>I henhold til henstillingen skal EKI'er klassificere disse ansøgninger, afhængigt af den potentielle negative miljøpåvirkning, i tre risikokategorier: høj (kategori A), middel (kategori B) eller lav (kategori C). Mange medlemsstater rapporterer, at de anvender henstillingen bredere end dens anvendelsesområde. Dette omfatter klassificering af alle transaktioner, herunder transaktioner, hvor de yder støtte til en andel med en værdi på under 10 mio. SDR, som i princippet ikke ville blive medtaget i screeningsfasen. Medlemsstaterne rapporterer, at der blev gennemført en miljømæssig og social konsekvensanalyse (ESIA) i overensstemmelse med henstillingens artikel 18 for alle kategori A-ansøgninger, for hvilke et EKI havde indgået en endelig forpligtelse. For så vidt angår kategori B-ansøgninger rapporterer medlemsstaterne, at ansøgerne altid har fremlagt tilstrækkelige oplysninger om projektets relevante miljøvirkninger i overensstemmelse med henstillingens artikel 19. Inden der blev truffet afgørelse om at yde støtte til kategori A- eller B-projekter, rapporterede alle eksportkreditinstitutter, der finansierede sådanne projekter, at de altid evaluerede oplysningerne fra screeningen og gennemgangen af transaktionerne via en due diligence-rapport, der blev udarbejdet af enten et internt uafhængigt organ eller en ekstern konsulent, hvis positive udtalelse er et krav for udstedelse. Relevante oplysninger blev modtaget gennem ESIA-rapporter, men blev også indsamlet takket være EKI'ernes ansøgningsskemaer og spørgeskemaer, skrivebordsundersøgelser, besøg på stedet, undersøgelser udført af eksterne konsulenter og direkte kontakter med ansøgerne.</w:t>
      </w:r>
    </w:p>
    <w:p w14:paraId="4878DB3B" w14:textId="1C545AB8" w:rsidR="00652D16" w:rsidRDefault="00912719" w:rsidP="00912719">
      <w:pPr>
        <w:spacing w:after="120"/>
        <w:jc w:val="both"/>
        <w:rPr>
          <w:noProof/>
        </w:rPr>
      </w:pPr>
      <w:r>
        <w:rPr>
          <w:noProof/>
        </w:rPr>
        <w:t>Medlemsstaterne rapporterede ikke om situationer med vedvarende manglende overholdelse, selv om der kan forekomme mindre tilfælde af manglende overholdelse, f.eks. overskridelse af frister for indsendelse af oplysninger eller rapporter. Situationer med manglende overholdelse løses i samarbejde med projekternes sponsorer og til tider med støtte fra medlemsstatens ambassade ved at udforme korrigerende og afbødende foranstaltninger, der overvåges over tid, eller ved at suspendere støtten eller nægte godtgørelse, selv om sidstnævnte værktøjer ikke blev anvendt i rapporteringsperioden.</w:t>
      </w:r>
    </w:p>
    <w:p w14:paraId="087690BE" w14:textId="77777777" w:rsidR="00FB68EF" w:rsidRPr="00727F2A" w:rsidRDefault="00FB68EF" w:rsidP="003C736D">
      <w:pPr>
        <w:pStyle w:val="ListParagraph"/>
        <w:numPr>
          <w:ilvl w:val="0"/>
          <w:numId w:val="1"/>
        </w:numPr>
        <w:spacing w:after="120"/>
        <w:contextualSpacing w:val="0"/>
        <w:jc w:val="both"/>
        <w:rPr>
          <w:b/>
          <w:noProof/>
          <w:u w:val="single"/>
        </w:rPr>
      </w:pPr>
      <w:r>
        <w:rPr>
          <w:b/>
          <w:noProof/>
        </w:rPr>
        <w:t>Due diligence på det sociale område og i forbindelse med menneskerettigheder:</w:t>
      </w:r>
    </w:p>
    <w:p w14:paraId="4B1EECB9" w14:textId="39DF979A" w:rsidR="00FC7798" w:rsidRPr="00727F2A" w:rsidRDefault="0082635D" w:rsidP="00834CAD">
      <w:pPr>
        <w:spacing w:after="120"/>
        <w:jc w:val="both"/>
        <w:rPr>
          <w:noProof/>
        </w:rPr>
      </w:pPr>
      <w:r>
        <w:rPr>
          <w:noProof/>
        </w:rPr>
        <w:t>Ud over den miljømæssige dimension har der siden 2012 i OECD's henstilling været fastsat fælles principper for gennemførelse af social due diligence. Henstillingen dækker vigtige potentielle projektrelaterede sociale virkninger, herunder for beskæftigelses- og arbejdsvilkår (f.eks. retfærdig behandling, forskelsbehandling, foreningsfrihed, kollektive forhandlinger, arbejdstageres indkvartering), sundhed og sikkerhed i lokalsamfundet (f.eks. eksponering for sygdom i lokalsamfundet, brug af sikkerhedspersonale), erhvervelse af jord og ufrivillig genbosættelse (f.eks. fysisk fordrivelse, økonomisk fordrivelse), passende samarbejde med berørte samfund (f.eks. informeret hørings- og deltagelsesproces, klagemekanisme), oprindelige folk (f.eks. fri, forudgående og informeret samtykke) og kulturarv. Den dækker også centrale projektrelaterede indvirkninger på menneskerettighederne, herunder tvangsarbejde, børnearbejde, kønsspørgsmål og livstruende arbejdsmiljøsituationer. Der lægges særlig vægt på sårbare grupper.</w:t>
      </w:r>
    </w:p>
    <w:p w14:paraId="0F422D20" w14:textId="23E40BC0" w:rsidR="008D2693" w:rsidRPr="00727F2A" w:rsidRDefault="0082635D" w:rsidP="00834CAD">
      <w:pPr>
        <w:spacing w:after="120"/>
        <w:jc w:val="both"/>
        <w:rPr>
          <w:noProof/>
        </w:rPr>
      </w:pPr>
      <w:r>
        <w:rPr>
          <w:noProof/>
        </w:rPr>
        <w:t>Den rapporterede due diligence-praksis fra EU's eksportkreditinstitutter svarer til den, der gælder for miljørisici. Alle 20 rapporterende medlemsstater, der yder offentlig støtte, angiver, at de overholder den sociale dimension og menneskerettighedsdimensionen i OECD's henstilling om fælles tilgange, og at den udgør en integreret del af deres beslutningstagning, due diligence og risikostyringssystemer. Alle bekræftede, at de har screenet samtlige ansøgninger med henblik på at fastslå, om der bør foretages en gennemgang af sociale forhold og menneskerettigheder. De rapporterede, at der blev gennemført en miljømæssig og social konsekvensanalyse for alle kategori A-ansøgninger. For så vidt angår kategori B-ansøgninger rapporterede de, at ansøgerne altid fremlagde tilstrækkelige oplysninger til, at der kunne foretages en vurdering af projektets relevante virkninger. Inden der blev truffet beslutning om at yde offentlig støtte til kategori A- eller B-projekter med en potentiel negativ indvirkning på sociale forhold og menneskerettigheder, evaluerede EKI'erne altid oplysningerne fra screeningen og gennemgangen på samme måde som for miljømæssige risici.</w:t>
      </w:r>
    </w:p>
    <w:p w14:paraId="5D4CDD1A" w14:textId="4DD956B5" w:rsidR="00EB1F64" w:rsidRPr="003D1502" w:rsidRDefault="00B846B0" w:rsidP="00834CAD">
      <w:pPr>
        <w:spacing w:after="120"/>
        <w:jc w:val="both"/>
        <w:rPr>
          <w:noProof/>
        </w:rPr>
      </w:pPr>
      <w:r>
        <w:rPr>
          <w:noProof/>
        </w:rPr>
        <w:t>Medlemsstaterne rapporterede ikke om situationer med vedvarende manglende overholdelse i 2023 i deres due diligence-procedurer på det sociale område og i forbindelse med menneskerettigheder. En af EKI'erne rapporterede, at den havde oplevet situationer med afvigelser fra aftalte foranstaltninger og internationale standarder i overvågningsfasen for visse transaktioner, og at den havde truffet foranstaltninger fra sag til sag.</w:t>
      </w:r>
    </w:p>
    <w:p w14:paraId="7E12824D" w14:textId="44701394" w:rsidR="006C5330" w:rsidRDefault="001C7C50" w:rsidP="00834CAD">
      <w:pPr>
        <w:spacing w:after="120"/>
        <w:jc w:val="both"/>
        <w:rPr>
          <w:noProof/>
        </w:rPr>
      </w:pPr>
      <w:r>
        <w:rPr>
          <w:noProof/>
        </w:rPr>
        <w:t>Alle eksportkreditinstitutter undtagen to har enten en deltagelsesbaseret høringsproces eller en klagemekanisme for de berørte samfund. I alle tilfælde anmodes projektsponsorer om at indføre mekanismer uden inddragelse af EKI'er Medlemsstaterne rapporterede ikke nogen klager til Kommissionen i deres årlige aktivitetsrapporter for 2023.</w:t>
      </w:r>
    </w:p>
    <w:p w14:paraId="1AABFF51" w14:textId="77777777" w:rsidR="006C5330" w:rsidRDefault="006C5330">
      <w:pPr>
        <w:rPr>
          <w:noProof/>
        </w:rPr>
      </w:pPr>
      <w:r>
        <w:rPr>
          <w:noProof/>
        </w:rPr>
        <w:br w:type="page"/>
      </w:r>
    </w:p>
    <w:p w14:paraId="0976C525" w14:textId="65695129" w:rsidR="00EA6072" w:rsidRPr="003D1502" w:rsidRDefault="00FB68EF" w:rsidP="003C736D">
      <w:pPr>
        <w:pStyle w:val="ListParagraph"/>
        <w:numPr>
          <w:ilvl w:val="0"/>
          <w:numId w:val="1"/>
        </w:numPr>
        <w:spacing w:after="120"/>
        <w:contextualSpacing w:val="0"/>
        <w:jc w:val="both"/>
        <w:rPr>
          <w:b/>
          <w:noProof/>
        </w:rPr>
      </w:pPr>
      <w:r>
        <w:rPr>
          <w:b/>
          <w:noProof/>
        </w:rPr>
        <w:t>Foranstaltninger til bekæmpelse af bestikkelse:</w:t>
      </w:r>
    </w:p>
    <w:p w14:paraId="0920EA05" w14:textId="1EE569D4" w:rsidR="00DC154F" w:rsidRPr="00727F2A" w:rsidRDefault="00C87C9A" w:rsidP="00834CAD">
      <w:pPr>
        <w:spacing w:after="120"/>
        <w:jc w:val="both"/>
        <w:rPr>
          <w:noProof/>
        </w:rPr>
      </w:pPr>
      <w:r>
        <w:rPr>
          <w:noProof/>
        </w:rPr>
        <w:t>Alle medlemsstater, der yder offentligt støttede eksportkreditter, rapporterer om overensstemmelse med OECD's henstilling om bestikkelse og offentligt støttede eksportkreditter. Denne henstilling indeholder foranstaltninger til screening, gennemførelse af due diligence, evaluering og beslutning vedrørende støtteberettigelse med henblik på at afskrække fra bestikkelse i forbindelse med offentligt støttede eksportkreditter. Det betyder navnlig, at det skal kontrolleres, hvorvidt parter, der er involveret i transaktioner, er opført på udelukkelseslisterne for de multilaterale finansielle institutioner.</w:t>
      </w:r>
    </w:p>
    <w:p w14:paraId="04318D3A" w14:textId="77777777" w:rsidR="008D2693" w:rsidRPr="00727F2A" w:rsidRDefault="008D2693" w:rsidP="003C736D">
      <w:pPr>
        <w:pStyle w:val="ListParagraph"/>
        <w:numPr>
          <w:ilvl w:val="0"/>
          <w:numId w:val="1"/>
        </w:numPr>
        <w:spacing w:after="120"/>
        <w:contextualSpacing w:val="0"/>
        <w:jc w:val="both"/>
        <w:rPr>
          <w:b/>
          <w:noProof/>
        </w:rPr>
      </w:pPr>
      <w:r>
        <w:rPr>
          <w:b/>
          <w:noProof/>
        </w:rPr>
        <w:t>Bæredygtig udlånspraksis:</w:t>
      </w:r>
    </w:p>
    <w:p w14:paraId="7A35A753" w14:textId="62199E64" w:rsidR="00DC154F" w:rsidRDefault="008D2693" w:rsidP="00834CAD">
      <w:pPr>
        <w:spacing w:after="120"/>
        <w:jc w:val="both"/>
        <w:rPr>
          <w:noProof/>
        </w:rPr>
      </w:pPr>
      <w:r>
        <w:rPr>
          <w:noProof/>
        </w:rPr>
        <w:t>Alle medlemsstater, der yder offentligt støttede eksportkreditter, rapporterer om overensstemmelse med OECD's henstilling om bæredygtig udlånspraksis og offentligt støttede eksportkreditter. Henstillingen har til formål at sikre, at finansieringen af udviklingsbehovene i lavindkomstlande mobiliseres, uden at disse lande opbygger uforholdsmæssigt stor gæld i fremtiden. Overholdelsen af henstillingen går hånd i hånd med en nøje overholdelse af Verdensbankens og Den Internationale Valutafonds (IMF's) politikker om gældsgrænser for lån, der ikke er på lempelige vilkår, og for så vidt angår bæredygtig långivning. I henhold til henstillingen er de deltagende parter også blevet enige om vigtige gennemsigtighedsforanstaltninger, der omfatter oplysninger til Verdensbanken og IMF. I de fleste tilfælde er gældsholdbarhedsvurderinger en del af de overordnede landerisikovurderinger, der påvirker EKI'ernes politikker.</w:t>
      </w:r>
    </w:p>
    <w:p w14:paraId="6D819865" w14:textId="77777777" w:rsidR="003D5244" w:rsidRPr="00727F2A" w:rsidRDefault="003D5244" w:rsidP="003C736D">
      <w:pPr>
        <w:pStyle w:val="ListParagraph"/>
        <w:numPr>
          <w:ilvl w:val="0"/>
          <w:numId w:val="1"/>
        </w:numPr>
        <w:spacing w:after="120"/>
        <w:contextualSpacing w:val="0"/>
        <w:jc w:val="both"/>
        <w:rPr>
          <w:b/>
          <w:noProof/>
        </w:rPr>
      </w:pPr>
      <w:r>
        <w:rPr>
          <w:b/>
          <w:noProof/>
        </w:rPr>
        <w:t>Andre oplysninger i de årlige aktivitetsrapporter:</w:t>
      </w:r>
    </w:p>
    <w:p w14:paraId="29073FBA" w14:textId="4A5B73D7" w:rsidR="003C7EFF" w:rsidRPr="00727F2A" w:rsidRDefault="003C7EFF" w:rsidP="00834CAD">
      <w:pPr>
        <w:spacing w:after="120"/>
        <w:jc w:val="both"/>
        <w:rPr>
          <w:noProof/>
        </w:rPr>
      </w:pPr>
      <w:r>
        <w:rPr>
          <w:noProof/>
        </w:rPr>
        <w:t xml:space="preserve">Medlemsstaterne rapporterer, at de sørger for, at deres EKI'er fungerer så gennemsigtigt som muligt, samtidig med at fortroligheden i forbindelse med forretningsfølsomme oplysninger respekteres. I henhold til OECD's henstilling om fælles tilgange er den harmoniserede procedure i hele EU at offentliggøre detaljerede oplysninger om projekter, der kan have negative miljømæssige eller sociale virkninger. EKI'erne offentliggjorde altid alle de oplysninger, der kræves i henhold til henstillingens artikel 39 og 41, dvs. relevante forudgående oplysninger om kategori A-projekter, herunder miljømæssige og sociale konsekvensanalyser og efterfølgende oplysninger for alle støttede kategori A- og B-projekter, via særlige sider på deres websteder, som der henvises til i bilag 2. </w:t>
      </w:r>
    </w:p>
    <w:p w14:paraId="313AF736" w14:textId="7D4EAA14" w:rsidR="003A3A75" w:rsidRDefault="00183F0E" w:rsidP="00834CAD">
      <w:pPr>
        <w:spacing w:after="120"/>
        <w:jc w:val="both"/>
        <w:rPr>
          <w:noProof/>
        </w:rPr>
      </w:pPr>
      <w:r>
        <w:rPr>
          <w:noProof/>
        </w:rPr>
        <w:t>Mange EKI'er i EU har en politik om virksomhedernes sociale ansvar, hvilket typisk ikke kun omfatter interne bestræbelser, men også en tæt dialog med EKI'ets kunder. I den forbindelse evaluerer EKI'erne i stigende grad deres egen praksis og udarbejder planer for at mindske deres egen miljøpåvirkning, herunder skøn over CO</w:t>
      </w:r>
      <w:r>
        <w:rPr>
          <w:noProof/>
          <w:vertAlign w:val="subscript"/>
        </w:rPr>
        <w:t>2</w:t>
      </w:r>
      <w:r>
        <w:rPr>
          <w:noProof/>
        </w:rPr>
        <w:t>-fodaftrykket.</w:t>
      </w:r>
    </w:p>
    <w:p w14:paraId="2313B1AF" w14:textId="77777777" w:rsidR="00DC154F" w:rsidRPr="00727F2A" w:rsidRDefault="00DC154F" w:rsidP="00834CAD">
      <w:pPr>
        <w:spacing w:after="120"/>
        <w:jc w:val="both"/>
        <w:rPr>
          <w:noProof/>
        </w:rPr>
      </w:pPr>
    </w:p>
    <w:p w14:paraId="4DFAF9C9" w14:textId="77777777" w:rsidR="003D5244" w:rsidRPr="00727F2A" w:rsidRDefault="00FB68EF" w:rsidP="00834CAD">
      <w:pPr>
        <w:spacing w:after="120"/>
        <w:rPr>
          <w:rFonts w:eastAsia="Calibri"/>
          <w:b/>
          <w:noProof/>
          <w:szCs w:val="22"/>
          <w:u w:val="single"/>
        </w:rPr>
      </w:pPr>
      <w:r>
        <w:rPr>
          <w:b/>
          <w:noProof/>
          <w:u w:val="single"/>
        </w:rPr>
        <w:t>4. EKI'ernes overholdelse af EU's mål og forpligtelser:</w:t>
      </w:r>
    </w:p>
    <w:p w14:paraId="7F463DB9" w14:textId="6E6BC379" w:rsidR="003D5244" w:rsidRPr="00727F2A" w:rsidRDefault="0082635D" w:rsidP="00834CAD">
      <w:pPr>
        <w:spacing w:after="120"/>
        <w:jc w:val="both"/>
        <w:rPr>
          <w:rFonts w:eastAsia="Calibri"/>
          <w:noProof/>
          <w:szCs w:val="22"/>
        </w:rPr>
      </w:pPr>
      <w:r>
        <w:rPr>
          <w:noProof/>
        </w:rPr>
        <w:t xml:space="preserve">Artikel 3 i traktaten om Den Europæiske Union (TEU) indeholder en liste over Den Europæiske Unions generelle mål. I artikel 21 fastsættes principperne og målene for Unionens optræden udadtil. Ifølge artikel 3, stk. 5, i TEU bidrager Den Europæiske Union i sine forbindelser med den øvrige verden til "[...] bæredygtig udvikling af jorden, solidaritet og gensidig respekt folkene imellem, fri og fair handel, udryddelse af fattigdom og beskyttelse af menneskerettighederne, især børns rettigheder, samt nøje overholdelse og udvikling af folkeretten, herunder overholdelse af principperne i De Forenede Nationers pagt". For så vidt angår EU's fælles handelspolitik, henvises der til principperne og målene for Unionens optræden udadtil i artikel 206 og i artikel 207, stk. 1, i traktaten om Den Europæiske Unions funktionsmåde. </w:t>
      </w:r>
    </w:p>
    <w:p w14:paraId="4D12A40B" w14:textId="77777777" w:rsidR="00A542E8" w:rsidRDefault="00A542E8" w:rsidP="00A542E8">
      <w:pPr>
        <w:spacing w:after="120"/>
        <w:jc w:val="both"/>
        <w:rPr>
          <w:noProof/>
        </w:rPr>
      </w:pPr>
      <w:r>
        <w:rPr>
          <w:noProof/>
        </w:rPr>
        <w:t xml:space="preserve">Europa-Parlamentet har opfordret Kommissionen til at fremsætte en erklæring om, hvorvidt medlemsstaterne overholder EU's mål og forpligtelser, når der ydes offentligt støttede eksportkreditter. Kommissionen har udarbejdet sin årlige oversigt i overensstemmelse med forordning (EU) nr. 1233/2011. Kommissionens oversigt er således baseret på de årlige aktivitetsrapporter, som medlemsstaterne har indsendt, og kan ikke betragtes som udtømmende. </w:t>
      </w:r>
    </w:p>
    <w:p w14:paraId="0467873D" w14:textId="2CBF2C16" w:rsidR="00EA6072" w:rsidRPr="00727F2A" w:rsidRDefault="00EA6072" w:rsidP="0171ED82">
      <w:pPr>
        <w:spacing w:after="120" w:line="259" w:lineRule="auto"/>
        <w:jc w:val="both"/>
        <w:rPr>
          <w:rFonts w:eastAsia="Calibri"/>
          <w:noProof/>
        </w:rPr>
      </w:pPr>
      <w:r>
        <w:rPr>
          <w:noProof/>
        </w:rPr>
        <w:t xml:space="preserve">Kommissionen mener, at de foreliggende oplysninger giver dokumentation for, at den offentligt støttede eksportkreditvirksomhed i EU er i overensstemmelse med artikel 3 og 21 i TEU. </w:t>
      </w:r>
      <w:bookmarkStart w:id="3" w:name="_Hlk157613054"/>
      <w:r>
        <w:rPr>
          <w:noProof/>
        </w:rPr>
        <w:t xml:space="preserve">OECD's henstillinger udgør en ramme for forvaltningen af medlemsstaternes eksportkreditprogrammer. Medlemsstaterne fastlægger også deres egne politikker på grundlag af disse henstillinger og i overensstemmelse med EU's mål. </w:t>
      </w:r>
      <w:bookmarkEnd w:id="3"/>
      <w:r>
        <w:rPr>
          <w:noProof/>
        </w:rPr>
        <w:t>Medlemsstaterne er ved at indføre en række politikker til støtte for klimaomstillingen og reduktion af støtten til projekter vedrørende fossile brændstoffer, samtidig med at støtten til projekter, der støtter omstillingen, øges. Kommissionen støtter naturligvis yderligere fremskridt på dette område, herunder en yderligere styrkelse af medlemsstaternes forpligtelser med hensyn til udfasning af fossile brændstoffer. Med hensyn til overholdelsen af internationale forpligtelser og forpligtelser i henhold til EU's konkurrencelovgivning har der ikke været nogen tvister i Verdenshandelsorganisationen vedrørende eksportkreditvirksomhed i en EU-medlemsstat i 2023, og Kommissionen har ikke modtaget nogen klager vedrørende potentielle overtrædelser af EU's bestemmelser, som involverer EKI'er i EU.</w:t>
      </w:r>
    </w:p>
    <w:sectPr w:rsidR="00EA6072" w:rsidRPr="00727F2A" w:rsidSect="0025223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6BD61" w14:textId="77777777" w:rsidR="00895C46" w:rsidRDefault="00895C46" w:rsidP="003D5244">
      <w:r>
        <w:separator/>
      </w:r>
    </w:p>
  </w:endnote>
  <w:endnote w:type="continuationSeparator" w:id="0">
    <w:p w14:paraId="3FBD65E6" w14:textId="77777777" w:rsidR="00895C46" w:rsidRDefault="00895C46" w:rsidP="003D5244">
      <w:r>
        <w:continuationSeparator/>
      </w:r>
    </w:p>
  </w:endnote>
  <w:endnote w:type="continuationNotice" w:id="1">
    <w:p w14:paraId="39FCA0DC" w14:textId="77777777" w:rsidR="00895C46" w:rsidRDefault="00895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Cond Pro">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595B" w14:textId="4B800E2B" w:rsidR="00D741AE" w:rsidRPr="00D741AE" w:rsidRDefault="00D741AE" w:rsidP="00D741AE">
    <w:pPr>
      <w:pStyle w:val="FooterCoverPage"/>
      <w:rPr>
        <w:rFonts w:ascii="Arial" w:hAnsi="Arial" w:cs="Arial"/>
        <w:b/>
        <w:sz w:val="48"/>
      </w:rPr>
    </w:pPr>
    <w:r w:rsidRPr="00D741AE">
      <w:rPr>
        <w:rFonts w:ascii="Arial" w:hAnsi="Arial" w:cs="Arial"/>
        <w:b/>
        <w:sz w:val="48"/>
      </w:rPr>
      <w:t>DA</w:t>
    </w:r>
    <w:r w:rsidRPr="00D741AE">
      <w:rPr>
        <w:rFonts w:ascii="Arial" w:hAnsi="Arial" w:cs="Arial"/>
        <w:b/>
        <w:sz w:val="48"/>
      </w:rPr>
      <w:tab/>
    </w:r>
    <w:r w:rsidRPr="00D741AE">
      <w:rPr>
        <w:rFonts w:ascii="Arial" w:hAnsi="Arial" w:cs="Arial"/>
        <w:b/>
        <w:sz w:val="48"/>
      </w:rPr>
      <w:tab/>
    </w:r>
    <w:r w:rsidRPr="00D741AE">
      <w:tab/>
    </w:r>
    <w:r w:rsidRPr="00D741AE">
      <w:rPr>
        <w:rFonts w:ascii="Arial" w:hAnsi="Arial" w:cs="Arial"/>
        <w:b/>
        <w:sz w:val="48"/>
      </w:rPr>
      <w:t>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26B8" w14:textId="09161B96" w:rsidR="00D741AE" w:rsidRPr="00D741AE" w:rsidRDefault="00D741AE" w:rsidP="00D741AE">
    <w:pPr>
      <w:pStyle w:val="FooterCoverPage"/>
      <w:rPr>
        <w:rFonts w:ascii="Arial" w:hAnsi="Arial" w:cs="Arial"/>
        <w:b/>
        <w:sz w:val="48"/>
      </w:rPr>
    </w:pPr>
    <w:r w:rsidRPr="00D741AE">
      <w:rPr>
        <w:rFonts w:ascii="Arial" w:hAnsi="Arial" w:cs="Arial"/>
        <w:b/>
        <w:sz w:val="48"/>
      </w:rPr>
      <w:t>DA</w:t>
    </w:r>
    <w:r w:rsidRPr="00D741AE">
      <w:rPr>
        <w:rFonts w:ascii="Arial" w:hAnsi="Arial" w:cs="Arial"/>
        <w:b/>
        <w:sz w:val="48"/>
      </w:rPr>
      <w:tab/>
    </w:r>
    <w:r w:rsidRPr="00D741AE">
      <w:rPr>
        <w:rFonts w:ascii="Arial" w:hAnsi="Arial" w:cs="Arial"/>
        <w:b/>
        <w:sz w:val="48"/>
      </w:rPr>
      <w:tab/>
    </w:r>
    <w:r w:rsidRPr="00D741AE">
      <w:tab/>
    </w:r>
    <w:r w:rsidRPr="00D741AE">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3D76" w14:textId="77777777" w:rsidR="00D741AE" w:rsidRPr="00D741AE" w:rsidRDefault="00D741AE" w:rsidP="00D741A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E17E1" w14:textId="77777777" w:rsidR="00252239" w:rsidRDefault="002522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858487"/>
      <w:docPartObj>
        <w:docPartGallery w:val="Page Numbers (Bottom of Page)"/>
        <w:docPartUnique/>
      </w:docPartObj>
    </w:sdtPr>
    <w:sdtEndPr>
      <w:rPr>
        <w:noProof/>
      </w:rPr>
    </w:sdtEndPr>
    <w:sdtContent>
      <w:p w14:paraId="3D5DE23C" w14:textId="00EBC739" w:rsidR="00252239" w:rsidRDefault="00252239">
        <w:pPr>
          <w:pStyle w:val="Footer"/>
          <w:jc w:val="center"/>
        </w:pPr>
        <w:r>
          <w:fldChar w:fldCharType="begin"/>
        </w:r>
        <w:r>
          <w:instrText xml:space="preserve"> PAGE   \* MERGEFORMAT </w:instrText>
        </w:r>
        <w:r>
          <w:fldChar w:fldCharType="separate"/>
        </w:r>
        <w:r w:rsidR="00D741AE">
          <w:rPr>
            <w:noProof/>
          </w:rPr>
          <w:t>1</w:t>
        </w:r>
        <w:r>
          <w:fldChar w:fldCharType="end"/>
        </w:r>
      </w:p>
    </w:sdtContent>
  </w:sdt>
  <w:p w14:paraId="55BCDE74" w14:textId="77777777" w:rsidR="00252239" w:rsidRDefault="002522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3F3B1" w14:textId="77777777" w:rsidR="00252239" w:rsidRDefault="00252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3A50C" w14:textId="77777777" w:rsidR="00895C46" w:rsidRDefault="00895C46" w:rsidP="003D5244">
      <w:r>
        <w:separator/>
      </w:r>
    </w:p>
  </w:footnote>
  <w:footnote w:type="continuationSeparator" w:id="0">
    <w:p w14:paraId="5E923009" w14:textId="77777777" w:rsidR="00895C46" w:rsidRDefault="00895C46" w:rsidP="003D5244">
      <w:r>
        <w:continuationSeparator/>
      </w:r>
    </w:p>
  </w:footnote>
  <w:footnote w:type="continuationNotice" w:id="1">
    <w:p w14:paraId="0922D96D" w14:textId="77777777" w:rsidR="00895C46" w:rsidRDefault="00895C46"/>
  </w:footnote>
  <w:footnote w:id="2">
    <w:p w14:paraId="1538D1B7" w14:textId="159CCA48" w:rsidR="004C51CF" w:rsidRPr="009C2D7F" w:rsidRDefault="004C51CF">
      <w:pPr>
        <w:pStyle w:val="FootnoteText"/>
      </w:pPr>
      <w:r>
        <w:rPr>
          <w:rStyle w:val="FootnoteReference"/>
        </w:rPr>
        <w:footnoteRef/>
      </w:r>
      <w:r>
        <w:t xml:space="preserve"> </w:t>
      </w:r>
      <w:hyperlink r:id="rId1" w:history="1">
        <w:r>
          <w:rPr>
            <w:rStyle w:val="Hyperlink"/>
          </w:rPr>
          <w:t>Arrangement vedrørende offentligt støttede eksportkreditter.</w:t>
        </w:r>
      </w:hyperlink>
    </w:p>
  </w:footnote>
  <w:footnote w:id="3">
    <w:p w14:paraId="1C66DE29" w14:textId="6CD9E531" w:rsidR="0046558F" w:rsidRPr="009C2D7F" w:rsidRDefault="0046558F" w:rsidP="007C6B61">
      <w:pPr>
        <w:pStyle w:val="FootnoteText"/>
        <w:ind w:left="142" w:hanging="153"/>
      </w:pPr>
      <w:r>
        <w:rPr>
          <w:rStyle w:val="FootnoteReference"/>
        </w:rPr>
        <w:footnoteRef/>
      </w:r>
      <w:r>
        <w:t xml:space="preserve"> </w:t>
      </w:r>
      <w:hyperlink r:id="rId2" w:history="1">
        <w:r>
          <w:rPr>
            <w:rStyle w:val="Hyperlink"/>
          </w:rPr>
          <w:t>Henstilling om fælles tilgange til offentligt støttede eksportkreditter og miljømæssig og social due diligence,</w:t>
        </w:r>
      </w:hyperlink>
      <w:r>
        <w:t xml:space="preserve"> Henstilling om bæredygtig udlånspraksis og offentligt støttede eksportkreditter, Henstilling om bestikkelse og offentligt støttede eksportkreditter. </w:t>
      </w:r>
    </w:p>
  </w:footnote>
  <w:footnote w:id="4">
    <w:p w14:paraId="2D15070A" w14:textId="222EB095" w:rsidR="008D069E" w:rsidRPr="00FE2046" w:rsidRDefault="008D069E">
      <w:pPr>
        <w:pStyle w:val="FootnoteText"/>
      </w:pPr>
      <w:r>
        <w:rPr>
          <w:rStyle w:val="FootnoteReference"/>
        </w:rPr>
        <w:footnoteRef/>
      </w:r>
      <w:r>
        <w:t xml:space="preserve"> </w:t>
      </w:r>
      <w:hyperlink r:id="rId3" w:history="1">
        <w:r>
          <w:rPr>
            <w:rStyle w:val="Hyperlink"/>
          </w:rPr>
          <w:t>Rådets konklusioner om eksportkreditter af 15. marts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C478" w14:textId="77777777" w:rsidR="00D741AE" w:rsidRPr="00D741AE" w:rsidRDefault="00D741AE" w:rsidP="00D741AE">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4D1D" w14:textId="77777777" w:rsidR="00D741AE" w:rsidRPr="00D741AE" w:rsidRDefault="00D741AE" w:rsidP="00D741A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5449E" w14:textId="77777777" w:rsidR="00D741AE" w:rsidRPr="00D741AE" w:rsidRDefault="00D741AE" w:rsidP="00D741A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A8C9" w14:textId="77777777" w:rsidR="00252239" w:rsidRDefault="002522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0F0F" w14:textId="77777777" w:rsidR="00252239" w:rsidRDefault="002522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2F71" w14:textId="77777777" w:rsidR="00252239" w:rsidRDefault="00252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8E2"/>
    <w:multiLevelType w:val="hybridMultilevel"/>
    <w:tmpl w:val="4C64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83C2D"/>
    <w:multiLevelType w:val="hybridMultilevel"/>
    <w:tmpl w:val="BF6411F6"/>
    <w:lvl w:ilvl="0" w:tplc="4100316E">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F547A9"/>
    <w:multiLevelType w:val="hybridMultilevel"/>
    <w:tmpl w:val="D138E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84E51"/>
    <w:multiLevelType w:val="hybridMultilevel"/>
    <w:tmpl w:val="FD4608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2E6F09"/>
    <w:multiLevelType w:val="hybridMultilevel"/>
    <w:tmpl w:val="75DCE448"/>
    <w:lvl w:ilvl="0" w:tplc="52AE3BE0">
      <w:numFmt w:val="bullet"/>
      <w:lvlText w:val="-"/>
      <w:lvlJc w:val="left"/>
      <w:pPr>
        <w:ind w:left="720" w:hanging="360"/>
      </w:pPr>
      <w:rPr>
        <w:rFonts w:ascii="EC Square Sans Cond Pro" w:eastAsiaTheme="minorHAnsi" w:hAnsi="EC Square Sans Cond Pro"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FC1975"/>
    <w:multiLevelType w:val="hybridMultilevel"/>
    <w:tmpl w:val="1A20823A"/>
    <w:lvl w:ilvl="0" w:tplc="7DA0094A">
      <w:start w:val="1"/>
      <w:numFmt w:val="decimal"/>
      <w:pStyle w:val="NumberedList"/>
      <w:lvlText w:val="%1."/>
      <w:lvlJc w:val="left"/>
      <w:pPr>
        <w:ind w:left="1192" w:hanging="340"/>
      </w:pPr>
      <w:rPr>
        <w:rFonts w:hint="default"/>
        <w:i w:val="0"/>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6" w15:restartNumberingAfterBreak="0">
    <w:nsid w:val="35385C79"/>
    <w:multiLevelType w:val="hybridMultilevel"/>
    <w:tmpl w:val="8A2C313E"/>
    <w:lvl w:ilvl="0" w:tplc="D178926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38DE60B3"/>
    <w:multiLevelType w:val="hybridMultilevel"/>
    <w:tmpl w:val="1FCC39B8"/>
    <w:lvl w:ilvl="0" w:tplc="1D6C3F3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A142FCE"/>
    <w:multiLevelType w:val="hybridMultilevel"/>
    <w:tmpl w:val="AA806C96"/>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37C0B74"/>
    <w:multiLevelType w:val="hybridMultilevel"/>
    <w:tmpl w:val="F7DEA22E"/>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AFB619D"/>
    <w:multiLevelType w:val="hybridMultilevel"/>
    <w:tmpl w:val="41E425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B717C44"/>
    <w:multiLevelType w:val="hybridMultilevel"/>
    <w:tmpl w:val="C48224A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6"/>
  </w:num>
  <w:num w:numId="5">
    <w:abstractNumId w:val="8"/>
  </w:num>
  <w:num w:numId="6">
    <w:abstractNumId w:val="9"/>
  </w:num>
  <w:num w:numId="7">
    <w:abstractNumId w:val="1"/>
  </w:num>
  <w:num w:numId="8">
    <w:abstractNumId w:val="2"/>
  </w:num>
  <w:num w:numId="9">
    <w:abstractNumId w:val="4"/>
  </w:num>
  <w:num w:numId="10">
    <w:abstractNumId w:val="10"/>
  </w:num>
  <w:num w:numId="11">
    <w:abstractNumId w:val="3"/>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1904D12D-0CE9-496D-AD93-F69F638C6611"/>
    <w:docVar w:name="LW_COVERPAGE_TYPE" w:val="1"/>
    <w:docVar w:name="LW_CROSSREFERENCE" w:val="&lt;UNUSED&gt;"/>
    <w:docVar w:name="LW_DocType" w:val="NORMAL"/>
    <w:docVar w:name="LW_EMISSION" w:val="28.11.2024"/>
    <w:docVar w:name="LW_EMISSION_ISODATE" w:val="2024-11-28"/>
    <w:docVar w:name="LW_EMISSION_LOCATION" w:val="BRX"/>
    <w:docVar w:name="LW_EMISSION_PREFIX" w:val="Bruxelles, den "/>
    <w:docVar w:name="LW_EMISSION_SUFFIX" w:val=" "/>
    <w:docVar w:name="LW_ID_DOCTYPE_NONLW" w:val="CP-035"/>
    <w:docVar w:name="LW_LANGUE" w:val="DA"/>
    <w:docVar w:name="LW_LEVEL_OF_SENSITIVITY" w:val="Standard treatment"/>
    <w:docVar w:name="LW_NOM.INST" w:val="EUROPA-KOMMISSIONEN"/>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55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ver medlemsstaternes årlige aktivitetsrapporter om eksportkreditter som omhandlet i forordning (EU) nr. 1233/2011"/>
    <w:docVar w:name="LW_TYPE.DOC.CP" w:val="KOMMISSIONENS ÅRLIGE OVERSIGT "/>
    <w:docVar w:name="LwApiVersions" w:val="LW4CoDe 1.24.5.0; LW 9.0, Build 20240221"/>
  </w:docVars>
  <w:rsids>
    <w:rsidRoot w:val="003D5244"/>
    <w:rsid w:val="00000409"/>
    <w:rsid w:val="00001426"/>
    <w:rsid w:val="0000201D"/>
    <w:rsid w:val="000034FA"/>
    <w:rsid w:val="00004457"/>
    <w:rsid w:val="00005F6B"/>
    <w:rsid w:val="00006472"/>
    <w:rsid w:val="0000665D"/>
    <w:rsid w:val="000071E0"/>
    <w:rsid w:val="00007241"/>
    <w:rsid w:val="000076EC"/>
    <w:rsid w:val="00007861"/>
    <w:rsid w:val="00010CA8"/>
    <w:rsid w:val="00010D89"/>
    <w:rsid w:val="000110DC"/>
    <w:rsid w:val="00011C4B"/>
    <w:rsid w:val="00011D3D"/>
    <w:rsid w:val="000121E4"/>
    <w:rsid w:val="00012299"/>
    <w:rsid w:val="00012F0F"/>
    <w:rsid w:val="00013121"/>
    <w:rsid w:val="00013313"/>
    <w:rsid w:val="00013BDE"/>
    <w:rsid w:val="00014664"/>
    <w:rsid w:val="000156A3"/>
    <w:rsid w:val="00015884"/>
    <w:rsid w:val="000167C6"/>
    <w:rsid w:val="0001708D"/>
    <w:rsid w:val="000176B5"/>
    <w:rsid w:val="000178EB"/>
    <w:rsid w:val="00017CBC"/>
    <w:rsid w:val="00017D01"/>
    <w:rsid w:val="00022DA0"/>
    <w:rsid w:val="00022F0B"/>
    <w:rsid w:val="00023304"/>
    <w:rsid w:val="000233E2"/>
    <w:rsid w:val="0002384C"/>
    <w:rsid w:val="00026108"/>
    <w:rsid w:val="00027B94"/>
    <w:rsid w:val="00030733"/>
    <w:rsid w:val="00030750"/>
    <w:rsid w:val="0003080F"/>
    <w:rsid w:val="00030AD2"/>
    <w:rsid w:val="000314C5"/>
    <w:rsid w:val="00032D11"/>
    <w:rsid w:val="0003349F"/>
    <w:rsid w:val="0003382D"/>
    <w:rsid w:val="00033EB3"/>
    <w:rsid w:val="000346C4"/>
    <w:rsid w:val="00034951"/>
    <w:rsid w:val="0003547C"/>
    <w:rsid w:val="00035E2B"/>
    <w:rsid w:val="00035EDD"/>
    <w:rsid w:val="00037F94"/>
    <w:rsid w:val="00040047"/>
    <w:rsid w:val="00040526"/>
    <w:rsid w:val="000407F7"/>
    <w:rsid w:val="000415B7"/>
    <w:rsid w:val="00041DDC"/>
    <w:rsid w:val="00042D5B"/>
    <w:rsid w:val="00043C54"/>
    <w:rsid w:val="000444B3"/>
    <w:rsid w:val="00047334"/>
    <w:rsid w:val="00047D49"/>
    <w:rsid w:val="00050F09"/>
    <w:rsid w:val="000513F2"/>
    <w:rsid w:val="00051C52"/>
    <w:rsid w:val="00052635"/>
    <w:rsid w:val="00052A74"/>
    <w:rsid w:val="000530A4"/>
    <w:rsid w:val="000532B0"/>
    <w:rsid w:val="00054288"/>
    <w:rsid w:val="00054321"/>
    <w:rsid w:val="000544D4"/>
    <w:rsid w:val="000547AF"/>
    <w:rsid w:val="00054AD2"/>
    <w:rsid w:val="00054F12"/>
    <w:rsid w:val="000550A2"/>
    <w:rsid w:val="0005532D"/>
    <w:rsid w:val="0006089E"/>
    <w:rsid w:val="00060DF7"/>
    <w:rsid w:val="00062E6C"/>
    <w:rsid w:val="00063E48"/>
    <w:rsid w:val="00064AF4"/>
    <w:rsid w:val="00065581"/>
    <w:rsid w:val="0006615F"/>
    <w:rsid w:val="00067571"/>
    <w:rsid w:val="00067952"/>
    <w:rsid w:val="000718E3"/>
    <w:rsid w:val="0007299C"/>
    <w:rsid w:val="00073A06"/>
    <w:rsid w:val="00074391"/>
    <w:rsid w:val="00076330"/>
    <w:rsid w:val="0007661B"/>
    <w:rsid w:val="00076D07"/>
    <w:rsid w:val="00076F8C"/>
    <w:rsid w:val="0007787D"/>
    <w:rsid w:val="0008014D"/>
    <w:rsid w:val="0008080B"/>
    <w:rsid w:val="00080DF6"/>
    <w:rsid w:val="00080E84"/>
    <w:rsid w:val="00081041"/>
    <w:rsid w:val="0008167E"/>
    <w:rsid w:val="00083492"/>
    <w:rsid w:val="00083694"/>
    <w:rsid w:val="00083743"/>
    <w:rsid w:val="00083D4B"/>
    <w:rsid w:val="00083EB9"/>
    <w:rsid w:val="00086411"/>
    <w:rsid w:val="0008665F"/>
    <w:rsid w:val="00087025"/>
    <w:rsid w:val="0008757B"/>
    <w:rsid w:val="0009048E"/>
    <w:rsid w:val="00091234"/>
    <w:rsid w:val="00091458"/>
    <w:rsid w:val="000929DB"/>
    <w:rsid w:val="00093430"/>
    <w:rsid w:val="0009443E"/>
    <w:rsid w:val="00094DDE"/>
    <w:rsid w:val="00094FEF"/>
    <w:rsid w:val="0009560B"/>
    <w:rsid w:val="00095853"/>
    <w:rsid w:val="00095A62"/>
    <w:rsid w:val="00095D06"/>
    <w:rsid w:val="0009631C"/>
    <w:rsid w:val="00096EE9"/>
    <w:rsid w:val="00096FE0"/>
    <w:rsid w:val="00097967"/>
    <w:rsid w:val="00097D47"/>
    <w:rsid w:val="00097E67"/>
    <w:rsid w:val="00097F64"/>
    <w:rsid w:val="000A0B8C"/>
    <w:rsid w:val="000A0C50"/>
    <w:rsid w:val="000A18C0"/>
    <w:rsid w:val="000A2811"/>
    <w:rsid w:val="000A28DF"/>
    <w:rsid w:val="000A3719"/>
    <w:rsid w:val="000A3ACE"/>
    <w:rsid w:val="000A45C5"/>
    <w:rsid w:val="000A5022"/>
    <w:rsid w:val="000A50FE"/>
    <w:rsid w:val="000A55A5"/>
    <w:rsid w:val="000A6297"/>
    <w:rsid w:val="000A6B90"/>
    <w:rsid w:val="000A7892"/>
    <w:rsid w:val="000A793A"/>
    <w:rsid w:val="000A7C12"/>
    <w:rsid w:val="000B04B2"/>
    <w:rsid w:val="000B069F"/>
    <w:rsid w:val="000B0953"/>
    <w:rsid w:val="000B0A06"/>
    <w:rsid w:val="000B0B86"/>
    <w:rsid w:val="000B0EFB"/>
    <w:rsid w:val="000B1502"/>
    <w:rsid w:val="000B1568"/>
    <w:rsid w:val="000B2195"/>
    <w:rsid w:val="000B27C7"/>
    <w:rsid w:val="000B2FF2"/>
    <w:rsid w:val="000B3895"/>
    <w:rsid w:val="000B3D8B"/>
    <w:rsid w:val="000B4C05"/>
    <w:rsid w:val="000B51D5"/>
    <w:rsid w:val="000B6116"/>
    <w:rsid w:val="000B76AC"/>
    <w:rsid w:val="000B7BC7"/>
    <w:rsid w:val="000C04F3"/>
    <w:rsid w:val="000C0796"/>
    <w:rsid w:val="000C147E"/>
    <w:rsid w:val="000C263D"/>
    <w:rsid w:val="000C3481"/>
    <w:rsid w:val="000C400B"/>
    <w:rsid w:val="000C445F"/>
    <w:rsid w:val="000C54B6"/>
    <w:rsid w:val="000C6D97"/>
    <w:rsid w:val="000C7038"/>
    <w:rsid w:val="000C710B"/>
    <w:rsid w:val="000C734C"/>
    <w:rsid w:val="000C75D8"/>
    <w:rsid w:val="000D02BB"/>
    <w:rsid w:val="000D0C8B"/>
    <w:rsid w:val="000D0D04"/>
    <w:rsid w:val="000D1495"/>
    <w:rsid w:val="000D232B"/>
    <w:rsid w:val="000D279C"/>
    <w:rsid w:val="000D2852"/>
    <w:rsid w:val="000D2B1C"/>
    <w:rsid w:val="000D3FF7"/>
    <w:rsid w:val="000D4593"/>
    <w:rsid w:val="000D489D"/>
    <w:rsid w:val="000D4A4F"/>
    <w:rsid w:val="000D4B29"/>
    <w:rsid w:val="000D52BC"/>
    <w:rsid w:val="000D5350"/>
    <w:rsid w:val="000D5AF9"/>
    <w:rsid w:val="000D6A32"/>
    <w:rsid w:val="000D707F"/>
    <w:rsid w:val="000D77E3"/>
    <w:rsid w:val="000D7BCA"/>
    <w:rsid w:val="000E03EC"/>
    <w:rsid w:val="000E29A7"/>
    <w:rsid w:val="000E3007"/>
    <w:rsid w:val="000E3270"/>
    <w:rsid w:val="000E3288"/>
    <w:rsid w:val="000E37FC"/>
    <w:rsid w:val="000E3B93"/>
    <w:rsid w:val="000E3EB1"/>
    <w:rsid w:val="000E56DD"/>
    <w:rsid w:val="000E58EB"/>
    <w:rsid w:val="000E6330"/>
    <w:rsid w:val="000E7200"/>
    <w:rsid w:val="000E76E5"/>
    <w:rsid w:val="000F0211"/>
    <w:rsid w:val="000F2637"/>
    <w:rsid w:val="000F492F"/>
    <w:rsid w:val="000F6B7A"/>
    <w:rsid w:val="000F6E3F"/>
    <w:rsid w:val="000F7039"/>
    <w:rsid w:val="000F772A"/>
    <w:rsid w:val="00100094"/>
    <w:rsid w:val="00100A21"/>
    <w:rsid w:val="00101530"/>
    <w:rsid w:val="0010239A"/>
    <w:rsid w:val="001026B1"/>
    <w:rsid w:val="001033A4"/>
    <w:rsid w:val="00103991"/>
    <w:rsid w:val="00103AFF"/>
    <w:rsid w:val="001048B8"/>
    <w:rsid w:val="001051B9"/>
    <w:rsid w:val="001058B1"/>
    <w:rsid w:val="00106ABA"/>
    <w:rsid w:val="00107059"/>
    <w:rsid w:val="00107237"/>
    <w:rsid w:val="00107481"/>
    <w:rsid w:val="00107865"/>
    <w:rsid w:val="001117F9"/>
    <w:rsid w:val="00111BB3"/>
    <w:rsid w:val="00112073"/>
    <w:rsid w:val="00112A5B"/>
    <w:rsid w:val="00112EF0"/>
    <w:rsid w:val="00113143"/>
    <w:rsid w:val="00113855"/>
    <w:rsid w:val="0011475D"/>
    <w:rsid w:val="00114E46"/>
    <w:rsid w:val="00115F25"/>
    <w:rsid w:val="0011694C"/>
    <w:rsid w:val="00116EA1"/>
    <w:rsid w:val="00117B58"/>
    <w:rsid w:val="00120AD0"/>
    <w:rsid w:val="001212A0"/>
    <w:rsid w:val="001217C4"/>
    <w:rsid w:val="00121E58"/>
    <w:rsid w:val="00122114"/>
    <w:rsid w:val="00122271"/>
    <w:rsid w:val="0012309F"/>
    <w:rsid w:val="001236A9"/>
    <w:rsid w:val="0012414D"/>
    <w:rsid w:val="00124CCA"/>
    <w:rsid w:val="00124F2F"/>
    <w:rsid w:val="00125F96"/>
    <w:rsid w:val="00127795"/>
    <w:rsid w:val="00127D4A"/>
    <w:rsid w:val="00127D75"/>
    <w:rsid w:val="00130F71"/>
    <w:rsid w:val="0013140C"/>
    <w:rsid w:val="00131AAB"/>
    <w:rsid w:val="00131F95"/>
    <w:rsid w:val="00132658"/>
    <w:rsid w:val="00132E0D"/>
    <w:rsid w:val="001339D4"/>
    <w:rsid w:val="0013537D"/>
    <w:rsid w:val="0013543E"/>
    <w:rsid w:val="001359F8"/>
    <w:rsid w:val="00135DE1"/>
    <w:rsid w:val="00136479"/>
    <w:rsid w:val="00136DE4"/>
    <w:rsid w:val="001372A7"/>
    <w:rsid w:val="00137814"/>
    <w:rsid w:val="00137CE3"/>
    <w:rsid w:val="00140982"/>
    <w:rsid w:val="00140A51"/>
    <w:rsid w:val="00140DFC"/>
    <w:rsid w:val="001415F3"/>
    <w:rsid w:val="001419AE"/>
    <w:rsid w:val="00141AAF"/>
    <w:rsid w:val="00141B65"/>
    <w:rsid w:val="00142CAF"/>
    <w:rsid w:val="00142F06"/>
    <w:rsid w:val="0014319A"/>
    <w:rsid w:val="00143435"/>
    <w:rsid w:val="0014379D"/>
    <w:rsid w:val="001444FB"/>
    <w:rsid w:val="00144FB7"/>
    <w:rsid w:val="001453E7"/>
    <w:rsid w:val="0014584E"/>
    <w:rsid w:val="00145C69"/>
    <w:rsid w:val="00146949"/>
    <w:rsid w:val="0014741F"/>
    <w:rsid w:val="00147C7F"/>
    <w:rsid w:val="0015014F"/>
    <w:rsid w:val="0015019A"/>
    <w:rsid w:val="00150BC1"/>
    <w:rsid w:val="00152469"/>
    <w:rsid w:val="00152B30"/>
    <w:rsid w:val="001545E6"/>
    <w:rsid w:val="0015486D"/>
    <w:rsid w:val="00154E13"/>
    <w:rsid w:val="001550C7"/>
    <w:rsid w:val="001552ED"/>
    <w:rsid w:val="001554F6"/>
    <w:rsid w:val="00155A4A"/>
    <w:rsid w:val="00155CC4"/>
    <w:rsid w:val="00156187"/>
    <w:rsid w:val="0015663F"/>
    <w:rsid w:val="00157B7C"/>
    <w:rsid w:val="001606B0"/>
    <w:rsid w:val="00160E21"/>
    <w:rsid w:val="00164B21"/>
    <w:rsid w:val="00164DF5"/>
    <w:rsid w:val="00165D27"/>
    <w:rsid w:val="00165FAC"/>
    <w:rsid w:val="00166684"/>
    <w:rsid w:val="00166BC7"/>
    <w:rsid w:val="00167413"/>
    <w:rsid w:val="00167AB9"/>
    <w:rsid w:val="0017006B"/>
    <w:rsid w:val="00170308"/>
    <w:rsid w:val="00170671"/>
    <w:rsid w:val="00171266"/>
    <w:rsid w:val="00172520"/>
    <w:rsid w:val="00173126"/>
    <w:rsid w:val="001731FB"/>
    <w:rsid w:val="00173578"/>
    <w:rsid w:val="00174055"/>
    <w:rsid w:val="00174218"/>
    <w:rsid w:val="0017474D"/>
    <w:rsid w:val="0017541E"/>
    <w:rsid w:val="00175F93"/>
    <w:rsid w:val="001762AB"/>
    <w:rsid w:val="00176477"/>
    <w:rsid w:val="00177003"/>
    <w:rsid w:val="001774C3"/>
    <w:rsid w:val="00177857"/>
    <w:rsid w:val="001779A5"/>
    <w:rsid w:val="00177D30"/>
    <w:rsid w:val="00180032"/>
    <w:rsid w:val="001800A3"/>
    <w:rsid w:val="0018017C"/>
    <w:rsid w:val="001817D4"/>
    <w:rsid w:val="00181B99"/>
    <w:rsid w:val="00182507"/>
    <w:rsid w:val="00182872"/>
    <w:rsid w:val="001829DA"/>
    <w:rsid w:val="00182A49"/>
    <w:rsid w:val="00182C85"/>
    <w:rsid w:val="00183266"/>
    <w:rsid w:val="0018336B"/>
    <w:rsid w:val="00183847"/>
    <w:rsid w:val="00183F0E"/>
    <w:rsid w:val="0018436D"/>
    <w:rsid w:val="0018453B"/>
    <w:rsid w:val="001860B5"/>
    <w:rsid w:val="00186635"/>
    <w:rsid w:val="00186FAE"/>
    <w:rsid w:val="0019025D"/>
    <w:rsid w:val="0019049D"/>
    <w:rsid w:val="001904D4"/>
    <w:rsid w:val="00190C6F"/>
    <w:rsid w:val="00191C6C"/>
    <w:rsid w:val="00191ED0"/>
    <w:rsid w:val="001920DD"/>
    <w:rsid w:val="001923C1"/>
    <w:rsid w:val="0019367C"/>
    <w:rsid w:val="00193BF5"/>
    <w:rsid w:val="00195829"/>
    <w:rsid w:val="001959CD"/>
    <w:rsid w:val="00196490"/>
    <w:rsid w:val="00196F27"/>
    <w:rsid w:val="00197275"/>
    <w:rsid w:val="001972E4"/>
    <w:rsid w:val="001975ED"/>
    <w:rsid w:val="00197B41"/>
    <w:rsid w:val="001A07D9"/>
    <w:rsid w:val="001A1083"/>
    <w:rsid w:val="001A1366"/>
    <w:rsid w:val="001A161F"/>
    <w:rsid w:val="001A180C"/>
    <w:rsid w:val="001A326F"/>
    <w:rsid w:val="001A38B2"/>
    <w:rsid w:val="001A3ED0"/>
    <w:rsid w:val="001A401D"/>
    <w:rsid w:val="001A480A"/>
    <w:rsid w:val="001A4E8D"/>
    <w:rsid w:val="001A4FC3"/>
    <w:rsid w:val="001A5631"/>
    <w:rsid w:val="001A5B2F"/>
    <w:rsid w:val="001A6A88"/>
    <w:rsid w:val="001A6B2B"/>
    <w:rsid w:val="001A6EE6"/>
    <w:rsid w:val="001B17A6"/>
    <w:rsid w:val="001B210C"/>
    <w:rsid w:val="001B2659"/>
    <w:rsid w:val="001B301A"/>
    <w:rsid w:val="001B3BFC"/>
    <w:rsid w:val="001B4909"/>
    <w:rsid w:val="001B6A48"/>
    <w:rsid w:val="001B6E18"/>
    <w:rsid w:val="001C06E1"/>
    <w:rsid w:val="001C0982"/>
    <w:rsid w:val="001C0D1A"/>
    <w:rsid w:val="001C0ED6"/>
    <w:rsid w:val="001C1EB7"/>
    <w:rsid w:val="001C2371"/>
    <w:rsid w:val="001C2E89"/>
    <w:rsid w:val="001C40C1"/>
    <w:rsid w:val="001C5FC1"/>
    <w:rsid w:val="001C6CA9"/>
    <w:rsid w:val="001C6EDA"/>
    <w:rsid w:val="001C7627"/>
    <w:rsid w:val="001C7966"/>
    <w:rsid w:val="001C7C50"/>
    <w:rsid w:val="001C7EC7"/>
    <w:rsid w:val="001D0C62"/>
    <w:rsid w:val="001D0F73"/>
    <w:rsid w:val="001D1741"/>
    <w:rsid w:val="001D1803"/>
    <w:rsid w:val="001D2259"/>
    <w:rsid w:val="001D236A"/>
    <w:rsid w:val="001D3657"/>
    <w:rsid w:val="001D36C3"/>
    <w:rsid w:val="001D39FE"/>
    <w:rsid w:val="001D434A"/>
    <w:rsid w:val="001D572A"/>
    <w:rsid w:val="001D60DB"/>
    <w:rsid w:val="001D6A13"/>
    <w:rsid w:val="001D6C4E"/>
    <w:rsid w:val="001D6D14"/>
    <w:rsid w:val="001D7322"/>
    <w:rsid w:val="001E0148"/>
    <w:rsid w:val="001E0B06"/>
    <w:rsid w:val="001E11A7"/>
    <w:rsid w:val="001E170D"/>
    <w:rsid w:val="001E1F44"/>
    <w:rsid w:val="001E230D"/>
    <w:rsid w:val="001E2B2D"/>
    <w:rsid w:val="001E490C"/>
    <w:rsid w:val="001E4EF3"/>
    <w:rsid w:val="001E4F89"/>
    <w:rsid w:val="001E6478"/>
    <w:rsid w:val="001E68DB"/>
    <w:rsid w:val="001E6948"/>
    <w:rsid w:val="001E7E52"/>
    <w:rsid w:val="001F169C"/>
    <w:rsid w:val="001F1F0C"/>
    <w:rsid w:val="001F1F17"/>
    <w:rsid w:val="001F2CD7"/>
    <w:rsid w:val="001F3373"/>
    <w:rsid w:val="001F33E3"/>
    <w:rsid w:val="001F3532"/>
    <w:rsid w:val="001F362A"/>
    <w:rsid w:val="001F4483"/>
    <w:rsid w:val="001F46EA"/>
    <w:rsid w:val="001F48F2"/>
    <w:rsid w:val="001F5B2B"/>
    <w:rsid w:val="001F60B4"/>
    <w:rsid w:val="001F6214"/>
    <w:rsid w:val="001F6C99"/>
    <w:rsid w:val="001F7303"/>
    <w:rsid w:val="0020055A"/>
    <w:rsid w:val="00200A52"/>
    <w:rsid w:val="0020139A"/>
    <w:rsid w:val="0020162A"/>
    <w:rsid w:val="00201BFD"/>
    <w:rsid w:val="00203600"/>
    <w:rsid w:val="002042E4"/>
    <w:rsid w:val="00204755"/>
    <w:rsid w:val="002053A7"/>
    <w:rsid w:val="00205675"/>
    <w:rsid w:val="00205E48"/>
    <w:rsid w:val="002060D5"/>
    <w:rsid w:val="00206BD8"/>
    <w:rsid w:val="00212A2D"/>
    <w:rsid w:val="002133B8"/>
    <w:rsid w:val="0021395F"/>
    <w:rsid w:val="00213EE7"/>
    <w:rsid w:val="00214406"/>
    <w:rsid w:val="00214D80"/>
    <w:rsid w:val="00215684"/>
    <w:rsid w:val="00215E28"/>
    <w:rsid w:val="00216A0C"/>
    <w:rsid w:val="00220345"/>
    <w:rsid w:val="002208F3"/>
    <w:rsid w:val="002214E6"/>
    <w:rsid w:val="00221BEE"/>
    <w:rsid w:val="002221F6"/>
    <w:rsid w:val="002229C3"/>
    <w:rsid w:val="00222D5F"/>
    <w:rsid w:val="00222E3A"/>
    <w:rsid w:val="00224540"/>
    <w:rsid w:val="0022475B"/>
    <w:rsid w:val="002248D4"/>
    <w:rsid w:val="00225257"/>
    <w:rsid w:val="00225873"/>
    <w:rsid w:val="00225A71"/>
    <w:rsid w:val="0022657E"/>
    <w:rsid w:val="002266DF"/>
    <w:rsid w:val="00226CAB"/>
    <w:rsid w:val="002274A1"/>
    <w:rsid w:val="002276B1"/>
    <w:rsid w:val="002279C3"/>
    <w:rsid w:val="00227E24"/>
    <w:rsid w:val="00230A72"/>
    <w:rsid w:val="00230C53"/>
    <w:rsid w:val="00231A1E"/>
    <w:rsid w:val="00231CD9"/>
    <w:rsid w:val="00231F8D"/>
    <w:rsid w:val="002323E5"/>
    <w:rsid w:val="00232D36"/>
    <w:rsid w:val="0023447E"/>
    <w:rsid w:val="00234AE6"/>
    <w:rsid w:val="002361AB"/>
    <w:rsid w:val="002363C9"/>
    <w:rsid w:val="00236787"/>
    <w:rsid w:val="00236DF0"/>
    <w:rsid w:val="00237049"/>
    <w:rsid w:val="002373A0"/>
    <w:rsid w:val="002379FC"/>
    <w:rsid w:val="0024081F"/>
    <w:rsid w:val="002408A4"/>
    <w:rsid w:val="00240B01"/>
    <w:rsid w:val="002414DC"/>
    <w:rsid w:val="002422D8"/>
    <w:rsid w:val="0024272C"/>
    <w:rsid w:val="0024291D"/>
    <w:rsid w:val="00242C3E"/>
    <w:rsid w:val="00243E82"/>
    <w:rsid w:val="002445E4"/>
    <w:rsid w:val="00244C26"/>
    <w:rsid w:val="002451BC"/>
    <w:rsid w:val="00246A4D"/>
    <w:rsid w:val="002504B6"/>
    <w:rsid w:val="00250EFE"/>
    <w:rsid w:val="00251068"/>
    <w:rsid w:val="002513C1"/>
    <w:rsid w:val="00251D16"/>
    <w:rsid w:val="00252160"/>
    <w:rsid w:val="00252239"/>
    <w:rsid w:val="0025223C"/>
    <w:rsid w:val="00254066"/>
    <w:rsid w:val="002541AC"/>
    <w:rsid w:val="0025465A"/>
    <w:rsid w:val="00254CD2"/>
    <w:rsid w:val="0025503C"/>
    <w:rsid w:val="0025626D"/>
    <w:rsid w:val="002569B4"/>
    <w:rsid w:val="002569EF"/>
    <w:rsid w:val="00260497"/>
    <w:rsid w:val="0026049C"/>
    <w:rsid w:val="00260A62"/>
    <w:rsid w:val="002617B2"/>
    <w:rsid w:val="00261A11"/>
    <w:rsid w:val="00261B3D"/>
    <w:rsid w:val="00261D67"/>
    <w:rsid w:val="00262744"/>
    <w:rsid w:val="00263A11"/>
    <w:rsid w:val="00263C9B"/>
    <w:rsid w:val="00263E9A"/>
    <w:rsid w:val="00264107"/>
    <w:rsid w:val="00264613"/>
    <w:rsid w:val="00264A38"/>
    <w:rsid w:val="00264D1E"/>
    <w:rsid w:val="00265275"/>
    <w:rsid w:val="00265548"/>
    <w:rsid w:val="00265AAC"/>
    <w:rsid w:val="00265C96"/>
    <w:rsid w:val="00265ECA"/>
    <w:rsid w:val="002666FC"/>
    <w:rsid w:val="00266F2B"/>
    <w:rsid w:val="002671EF"/>
    <w:rsid w:val="002677F1"/>
    <w:rsid w:val="00270706"/>
    <w:rsid w:val="00271200"/>
    <w:rsid w:val="0027166B"/>
    <w:rsid w:val="002719B8"/>
    <w:rsid w:val="00271E06"/>
    <w:rsid w:val="00272415"/>
    <w:rsid w:val="00272705"/>
    <w:rsid w:val="002727D3"/>
    <w:rsid w:val="00272AC1"/>
    <w:rsid w:val="00273296"/>
    <w:rsid w:val="00273835"/>
    <w:rsid w:val="0027453B"/>
    <w:rsid w:val="00274C9A"/>
    <w:rsid w:val="00274DBE"/>
    <w:rsid w:val="00275DCF"/>
    <w:rsid w:val="00276E96"/>
    <w:rsid w:val="00277234"/>
    <w:rsid w:val="0027729A"/>
    <w:rsid w:val="00277637"/>
    <w:rsid w:val="00280955"/>
    <w:rsid w:val="002810BB"/>
    <w:rsid w:val="0028113B"/>
    <w:rsid w:val="00282567"/>
    <w:rsid w:val="00283548"/>
    <w:rsid w:val="00284547"/>
    <w:rsid w:val="00284D25"/>
    <w:rsid w:val="00284D35"/>
    <w:rsid w:val="00285D5E"/>
    <w:rsid w:val="00286164"/>
    <w:rsid w:val="00286217"/>
    <w:rsid w:val="00286757"/>
    <w:rsid w:val="00287405"/>
    <w:rsid w:val="00287572"/>
    <w:rsid w:val="00287C18"/>
    <w:rsid w:val="0029060B"/>
    <w:rsid w:val="00290850"/>
    <w:rsid w:val="00290957"/>
    <w:rsid w:val="002909C9"/>
    <w:rsid w:val="00290CA1"/>
    <w:rsid w:val="00290E26"/>
    <w:rsid w:val="00291076"/>
    <w:rsid w:val="002915E4"/>
    <w:rsid w:val="0029195F"/>
    <w:rsid w:val="002922BE"/>
    <w:rsid w:val="00292C54"/>
    <w:rsid w:val="00293277"/>
    <w:rsid w:val="00293385"/>
    <w:rsid w:val="002935AB"/>
    <w:rsid w:val="0029395C"/>
    <w:rsid w:val="00293B19"/>
    <w:rsid w:val="002940B7"/>
    <w:rsid w:val="0029480B"/>
    <w:rsid w:val="00294BA7"/>
    <w:rsid w:val="00294D3E"/>
    <w:rsid w:val="00295EAD"/>
    <w:rsid w:val="002962F2"/>
    <w:rsid w:val="002965B9"/>
    <w:rsid w:val="00296C46"/>
    <w:rsid w:val="00297054"/>
    <w:rsid w:val="00297D57"/>
    <w:rsid w:val="002A014D"/>
    <w:rsid w:val="002A06B7"/>
    <w:rsid w:val="002A269D"/>
    <w:rsid w:val="002A2D8F"/>
    <w:rsid w:val="002A3114"/>
    <w:rsid w:val="002A3D6B"/>
    <w:rsid w:val="002A45AC"/>
    <w:rsid w:val="002A476A"/>
    <w:rsid w:val="002A4DC8"/>
    <w:rsid w:val="002A4E9E"/>
    <w:rsid w:val="002A4EB8"/>
    <w:rsid w:val="002A517C"/>
    <w:rsid w:val="002A55FC"/>
    <w:rsid w:val="002A65A5"/>
    <w:rsid w:val="002A68F8"/>
    <w:rsid w:val="002A74FA"/>
    <w:rsid w:val="002A75CB"/>
    <w:rsid w:val="002A7DA3"/>
    <w:rsid w:val="002A7F00"/>
    <w:rsid w:val="002B00D3"/>
    <w:rsid w:val="002B0FF0"/>
    <w:rsid w:val="002B17E4"/>
    <w:rsid w:val="002B2B95"/>
    <w:rsid w:val="002B2D67"/>
    <w:rsid w:val="002B3BEC"/>
    <w:rsid w:val="002B404B"/>
    <w:rsid w:val="002B4293"/>
    <w:rsid w:val="002B550F"/>
    <w:rsid w:val="002B56DA"/>
    <w:rsid w:val="002B6C77"/>
    <w:rsid w:val="002B7550"/>
    <w:rsid w:val="002B77DE"/>
    <w:rsid w:val="002C0F63"/>
    <w:rsid w:val="002C1EE2"/>
    <w:rsid w:val="002C26BF"/>
    <w:rsid w:val="002C2EB6"/>
    <w:rsid w:val="002C41B9"/>
    <w:rsid w:val="002C51D0"/>
    <w:rsid w:val="002C5962"/>
    <w:rsid w:val="002C6022"/>
    <w:rsid w:val="002C7B3A"/>
    <w:rsid w:val="002D01E5"/>
    <w:rsid w:val="002D0A45"/>
    <w:rsid w:val="002D1038"/>
    <w:rsid w:val="002D1395"/>
    <w:rsid w:val="002D17F0"/>
    <w:rsid w:val="002D30D1"/>
    <w:rsid w:val="002D3775"/>
    <w:rsid w:val="002D413F"/>
    <w:rsid w:val="002D4C7B"/>
    <w:rsid w:val="002D51AB"/>
    <w:rsid w:val="002D5A0E"/>
    <w:rsid w:val="002D5BCC"/>
    <w:rsid w:val="002D6A2C"/>
    <w:rsid w:val="002D6B25"/>
    <w:rsid w:val="002D7485"/>
    <w:rsid w:val="002D7AC4"/>
    <w:rsid w:val="002D7B5F"/>
    <w:rsid w:val="002E0141"/>
    <w:rsid w:val="002E0648"/>
    <w:rsid w:val="002E0803"/>
    <w:rsid w:val="002E2199"/>
    <w:rsid w:val="002E2673"/>
    <w:rsid w:val="002E3CE4"/>
    <w:rsid w:val="002E4C52"/>
    <w:rsid w:val="002E4E25"/>
    <w:rsid w:val="002E55F2"/>
    <w:rsid w:val="002E6AAD"/>
    <w:rsid w:val="002E752F"/>
    <w:rsid w:val="002F001E"/>
    <w:rsid w:val="002F01D8"/>
    <w:rsid w:val="002F09E2"/>
    <w:rsid w:val="002F15BF"/>
    <w:rsid w:val="002F2B11"/>
    <w:rsid w:val="002F3E7F"/>
    <w:rsid w:val="002F3F32"/>
    <w:rsid w:val="002F480D"/>
    <w:rsid w:val="002F4AC0"/>
    <w:rsid w:val="002F4F7D"/>
    <w:rsid w:val="002F5992"/>
    <w:rsid w:val="002F5E15"/>
    <w:rsid w:val="002F6EE5"/>
    <w:rsid w:val="002F6F78"/>
    <w:rsid w:val="002F7DE6"/>
    <w:rsid w:val="002F7FBF"/>
    <w:rsid w:val="003003A5"/>
    <w:rsid w:val="00300AE2"/>
    <w:rsid w:val="003026BE"/>
    <w:rsid w:val="00302F1D"/>
    <w:rsid w:val="00303368"/>
    <w:rsid w:val="0030355D"/>
    <w:rsid w:val="0030375D"/>
    <w:rsid w:val="00303C09"/>
    <w:rsid w:val="003044FB"/>
    <w:rsid w:val="003049ED"/>
    <w:rsid w:val="00306372"/>
    <w:rsid w:val="00306818"/>
    <w:rsid w:val="00306FA6"/>
    <w:rsid w:val="003075C2"/>
    <w:rsid w:val="00307CAE"/>
    <w:rsid w:val="00310450"/>
    <w:rsid w:val="00310E0B"/>
    <w:rsid w:val="00311DA1"/>
    <w:rsid w:val="003120DB"/>
    <w:rsid w:val="003125B2"/>
    <w:rsid w:val="003126E4"/>
    <w:rsid w:val="00312BEE"/>
    <w:rsid w:val="00313B11"/>
    <w:rsid w:val="00313B3E"/>
    <w:rsid w:val="00314EC5"/>
    <w:rsid w:val="00315913"/>
    <w:rsid w:val="00316D9E"/>
    <w:rsid w:val="003174B6"/>
    <w:rsid w:val="00317A24"/>
    <w:rsid w:val="00317E8B"/>
    <w:rsid w:val="003204CD"/>
    <w:rsid w:val="00320F33"/>
    <w:rsid w:val="0032223A"/>
    <w:rsid w:val="00322283"/>
    <w:rsid w:val="0032237D"/>
    <w:rsid w:val="00322781"/>
    <w:rsid w:val="003234AD"/>
    <w:rsid w:val="003235C7"/>
    <w:rsid w:val="003245B9"/>
    <w:rsid w:val="00324CCB"/>
    <w:rsid w:val="00324EFF"/>
    <w:rsid w:val="00325645"/>
    <w:rsid w:val="00326483"/>
    <w:rsid w:val="0032698B"/>
    <w:rsid w:val="003269E9"/>
    <w:rsid w:val="00326E86"/>
    <w:rsid w:val="00326FEA"/>
    <w:rsid w:val="00327A23"/>
    <w:rsid w:val="00327B37"/>
    <w:rsid w:val="003309DA"/>
    <w:rsid w:val="00330BA6"/>
    <w:rsid w:val="00331BC3"/>
    <w:rsid w:val="00332484"/>
    <w:rsid w:val="00334471"/>
    <w:rsid w:val="00335043"/>
    <w:rsid w:val="003352D5"/>
    <w:rsid w:val="00336395"/>
    <w:rsid w:val="00336694"/>
    <w:rsid w:val="00337347"/>
    <w:rsid w:val="003375B6"/>
    <w:rsid w:val="00337BAB"/>
    <w:rsid w:val="00340523"/>
    <w:rsid w:val="00341FEE"/>
    <w:rsid w:val="003425A8"/>
    <w:rsid w:val="0034266E"/>
    <w:rsid w:val="00343891"/>
    <w:rsid w:val="00344106"/>
    <w:rsid w:val="003444B0"/>
    <w:rsid w:val="00344D85"/>
    <w:rsid w:val="0034525E"/>
    <w:rsid w:val="00345495"/>
    <w:rsid w:val="00345C7E"/>
    <w:rsid w:val="00345D29"/>
    <w:rsid w:val="0034679F"/>
    <w:rsid w:val="003467C4"/>
    <w:rsid w:val="00346F3C"/>
    <w:rsid w:val="003472B6"/>
    <w:rsid w:val="003478B9"/>
    <w:rsid w:val="00347AC4"/>
    <w:rsid w:val="00350215"/>
    <w:rsid w:val="00350C83"/>
    <w:rsid w:val="00350CFF"/>
    <w:rsid w:val="003517C9"/>
    <w:rsid w:val="00351C17"/>
    <w:rsid w:val="00352522"/>
    <w:rsid w:val="003534B0"/>
    <w:rsid w:val="003538C4"/>
    <w:rsid w:val="00354AAA"/>
    <w:rsid w:val="0035624E"/>
    <w:rsid w:val="00357002"/>
    <w:rsid w:val="0035709B"/>
    <w:rsid w:val="0035772F"/>
    <w:rsid w:val="00360232"/>
    <w:rsid w:val="00360901"/>
    <w:rsid w:val="003613D1"/>
    <w:rsid w:val="003615F5"/>
    <w:rsid w:val="0036160B"/>
    <w:rsid w:val="003627FB"/>
    <w:rsid w:val="00362C65"/>
    <w:rsid w:val="0036331E"/>
    <w:rsid w:val="0036359B"/>
    <w:rsid w:val="00364905"/>
    <w:rsid w:val="00364F78"/>
    <w:rsid w:val="003652D7"/>
    <w:rsid w:val="00365C14"/>
    <w:rsid w:val="00366307"/>
    <w:rsid w:val="00367033"/>
    <w:rsid w:val="003673E7"/>
    <w:rsid w:val="003678CD"/>
    <w:rsid w:val="00370052"/>
    <w:rsid w:val="00371E26"/>
    <w:rsid w:val="00372116"/>
    <w:rsid w:val="00372D35"/>
    <w:rsid w:val="0037408E"/>
    <w:rsid w:val="003755C8"/>
    <w:rsid w:val="00375A40"/>
    <w:rsid w:val="00375EAF"/>
    <w:rsid w:val="00376598"/>
    <w:rsid w:val="00380594"/>
    <w:rsid w:val="00380EE7"/>
    <w:rsid w:val="00380F8A"/>
    <w:rsid w:val="003814F7"/>
    <w:rsid w:val="00381F22"/>
    <w:rsid w:val="00382027"/>
    <w:rsid w:val="003825DA"/>
    <w:rsid w:val="00382665"/>
    <w:rsid w:val="00382A91"/>
    <w:rsid w:val="00382D12"/>
    <w:rsid w:val="00382DB3"/>
    <w:rsid w:val="00382E78"/>
    <w:rsid w:val="00383C21"/>
    <w:rsid w:val="00384976"/>
    <w:rsid w:val="00385156"/>
    <w:rsid w:val="0038578F"/>
    <w:rsid w:val="0038590C"/>
    <w:rsid w:val="00385E4D"/>
    <w:rsid w:val="00386074"/>
    <w:rsid w:val="00386FA1"/>
    <w:rsid w:val="00387756"/>
    <w:rsid w:val="003900C8"/>
    <w:rsid w:val="00390411"/>
    <w:rsid w:val="00390426"/>
    <w:rsid w:val="0039049F"/>
    <w:rsid w:val="00390AD5"/>
    <w:rsid w:val="0039115C"/>
    <w:rsid w:val="0039193A"/>
    <w:rsid w:val="00392282"/>
    <w:rsid w:val="00392B75"/>
    <w:rsid w:val="00392E4E"/>
    <w:rsid w:val="00393B4A"/>
    <w:rsid w:val="00393B51"/>
    <w:rsid w:val="00394867"/>
    <w:rsid w:val="00394E87"/>
    <w:rsid w:val="00394FAF"/>
    <w:rsid w:val="0039645B"/>
    <w:rsid w:val="00396C90"/>
    <w:rsid w:val="003A0061"/>
    <w:rsid w:val="003A01F7"/>
    <w:rsid w:val="003A09BC"/>
    <w:rsid w:val="003A1A3A"/>
    <w:rsid w:val="003A2EAE"/>
    <w:rsid w:val="003A3A75"/>
    <w:rsid w:val="003A465A"/>
    <w:rsid w:val="003A4994"/>
    <w:rsid w:val="003A4E40"/>
    <w:rsid w:val="003A4F42"/>
    <w:rsid w:val="003A575B"/>
    <w:rsid w:val="003A5D81"/>
    <w:rsid w:val="003A624C"/>
    <w:rsid w:val="003A6997"/>
    <w:rsid w:val="003A6B01"/>
    <w:rsid w:val="003A6BB5"/>
    <w:rsid w:val="003A6F36"/>
    <w:rsid w:val="003A70D8"/>
    <w:rsid w:val="003A7262"/>
    <w:rsid w:val="003B01C0"/>
    <w:rsid w:val="003B04EE"/>
    <w:rsid w:val="003B0D4A"/>
    <w:rsid w:val="003B1019"/>
    <w:rsid w:val="003B18C5"/>
    <w:rsid w:val="003B20BC"/>
    <w:rsid w:val="003B29DC"/>
    <w:rsid w:val="003B470A"/>
    <w:rsid w:val="003B4D0B"/>
    <w:rsid w:val="003B4D77"/>
    <w:rsid w:val="003B5178"/>
    <w:rsid w:val="003B5749"/>
    <w:rsid w:val="003B6049"/>
    <w:rsid w:val="003B6F78"/>
    <w:rsid w:val="003B7421"/>
    <w:rsid w:val="003B78F9"/>
    <w:rsid w:val="003C0187"/>
    <w:rsid w:val="003C0677"/>
    <w:rsid w:val="003C0857"/>
    <w:rsid w:val="003C1178"/>
    <w:rsid w:val="003C1AEB"/>
    <w:rsid w:val="003C29F3"/>
    <w:rsid w:val="003C37FA"/>
    <w:rsid w:val="003C3C12"/>
    <w:rsid w:val="003C4999"/>
    <w:rsid w:val="003C4E0F"/>
    <w:rsid w:val="003C5DBC"/>
    <w:rsid w:val="003C5F08"/>
    <w:rsid w:val="003C64BA"/>
    <w:rsid w:val="003C6707"/>
    <w:rsid w:val="003C6DBC"/>
    <w:rsid w:val="003C736D"/>
    <w:rsid w:val="003C7EFF"/>
    <w:rsid w:val="003C7F15"/>
    <w:rsid w:val="003D02B7"/>
    <w:rsid w:val="003D06ED"/>
    <w:rsid w:val="003D1502"/>
    <w:rsid w:val="003D1E33"/>
    <w:rsid w:val="003D297F"/>
    <w:rsid w:val="003D2DF2"/>
    <w:rsid w:val="003D4202"/>
    <w:rsid w:val="003D42E9"/>
    <w:rsid w:val="003D4809"/>
    <w:rsid w:val="003D4ED5"/>
    <w:rsid w:val="003D5244"/>
    <w:rsid w:val="003D5C42"/>
    <w:rsid w:val="003D5E08"/>
    <w:rsid w:val="003D696A"/>
    <w:rsid w:val="003D70A7"/>
    <w:rsid w:val="003D74B1"/>
    <w:rsid w:val="003D779A"/>
    <w:rsid w:val="003E09E0"/>
    <w:rsid w:val="003E0C13"/>
    <w:rsid w:val="003E1808"/>
    <w:rsid w:val="003E1B61"/>
    <w:rsid w:val="003E23F8"/>
    <w:rsid w:val="003E26E2"/>
    <w:rsid w:val="003E3046"/>
    <w:rsid w:val="003E3E08"/>
    <w:rsid w:val="003E4353"/>
    <w:rsid w:val="003E54D4"/>
    <w:rsid w:val="003E5AAA"/>
    <w:rsid w:val="003E5D34"/>
    <w:rsid w:val="003E5E50"/>
    <w:rsid w:val="003E6356"/>
    <w:rsid w:val="003E6FF0"/>
    <w:rsid w:val="003E784D"/>
    <w:rsid w:val="003E78A7"/>
    <w:rsid w:val="003F078F"/>
    <w:rsid w:val="003F0809"/>
    <w:rsid w:val="003F0AEA"/>
    <w:rsid w:val="003F0E22"/>
    <w:rsid w:val="003F1737"/>
    <w:rsid w:val="003F18AA"/>
    <w:rsid w:val="003F21F7"/>
    <w:rsid w:val="003F2B51"/>
    <w:rsid w:val="003F3BCF"/>
    <w:rsid w:val="003F4973"/>
    <w:rsid w:val="003F566B"/>
    <w:rsid w:val="003F5A6B"/>
    <w:rsid w:val="003F5B2C"/>
    <w:rsid w:val="003F634B"/>
    <w:rsid w:val="003F6674"/>
    <w:rsid w:val="003F7578"/>
    <w:rsid w:val="003F7804"/>
    <w:rsid w:val="003F78DE"/>
    <w:rsid w:val="003F7B6A"/>
    <w:rsid w:val="004006C6"/>
    <w:rsid w:val="00400E4B"/>
    <w:rsid w:val="00403A4A"/>
    <w:rsid w:val="00403E2A"/>
    <w:rsid w:val="00405B66"/>
    <w:rsid w:val="00406506"/>
    <w:rsid w:val="00406FDC"/>
    <w:rsid w:val="004071E9"/>
    <w:rsid w:val="004072D3"/>
    <w:rsid w:val="0041057C"/>
    <w:rsid w:val="00410C73"/>
    <w:rsid w:val="00411187"/>
    <w:rsid w:val="004114A0"/>
    <w:rsid w:val="00411A0B"/>
    <w:rsid w:val="00411D5C"/>
    <w:rsid w:val="00412179"/>
    <w:rsid w:val="00413FC4"/>
    <w:rsid w:val="004141C2"/>
    <w:rsid w:val="004154F3"/>
    <w:rsid w:val="004156B9"/>
    <w:rsid w:val="00415775"/>
    <w:rsid w:val="0041621F"/>
    <w:rsid w:val="004170FB"/>
    <w:rsid w:val="004171E4"/>
    <w:rsid w:val="004216C2"/>
    <w:rsid w:val="00422605"/>
    <w:rsid w:val="00422F67"/>
    <w:rsid w:val="00422FE1"/>
    <w:rsid w:val="0042313F"/>
    <w:rsid w:val="00424575"/>
    <w:rsid w:val="004249C6"/>
    <w:rsid w:val="0042592A"/>
    <w:rsid w:val="004268D2"/>
    <w:rsid w:val="00426B37"/>
    <w:rsid w:val="00426E75"/>
    <w:rsid w:val="0042709F"/>
    <w:rsid w:val="004279FD"/>
    <w:rsid w:val="00430041"/>
    <w:rsid w:val="00430274"/>
    <w:rsid w:val="004302D8"/>
    <w:rsid w:val="0043069C"/>
    <w:rsid w:val="004307D6"/>
    <w:rsid w:val="00430BC7"/>
    <w:rsid w:val="00430E31"/>
    <w:rsid w:val="0043148C"/>
    <w:rsid w:val="00432263"/>
    <w:rsid w:val="004322D1"/>
    <w:rsid w:val="00433877"/>
    <w:rsid w:val="00435253"/>
    <w:rsid w:val="00435B93"/>
    <w:rsid w:val="00436E1B"/>
    <w:rsid w:val="00436F11"/>
    <w:rsid w:val="00437AE4"/>
    <w:rsid w:val="00437BD3"/>
    <w:rsid w:val="0044090D"/>
    <w:rsid w:val="00440EF6"/>
    <w:rsid w:val="00440F08"/>
    <w:rsid w:val="00441273"/>
    <w:rsid w:val="00441589"/>
    <w:rsid w:val="00441C35"/>
    <w:rsid w:val="00442634"/>
    <w:rsid w:val="004427EC"/>
    <w:rsid w:val="00442C32"/>
    <w:rsid w:val="00442E0D"/>
    <w:rsid w:val="004432C9"/>
    <w:rsid w:val="00443ACA"/>
    <w:rsid w:val="00443CDB"/>
    <w:rsid w:val="00444839"/>
    <w:rsid w:val="00444C4F"/>
    <w:rsid w:val="00444D3A"/>
    <w:rsid w:val="00446201"/>
    <w:rsid w:val="00446B19"/>
    <w:rsid w:val="00447313"/>
    <w:rsid w:val="00450863"/>
    <w:rsid w:val="00450C7A"/>
    <w:rsid w:val="004512DA"/>
    <w:rsid w:val="004529D8"/>
    <w:rsid w:val="00452ADB"/>
    <w:rsid w:val="00453174"/>
    <w:rsid w:val="00453B03"/>
    <w:rsid w:val="00453C10"/>
    <w:rsid w:val="00454518"/>
    <w:rsid w:val="0045488A"/>
    <w:rsid w:val="00454D06"/>
    <w:rsid w:val="004558EE"/>
    <w:rsid w:val="004559FB"/>
    <w:rsid w:val="0045648E"/>
    <w:rsid w:val="004574BC"/>
    <w:rsid w:val="00457637"/>
    <w:rsid w:val="004579CD"/>
    <w:rsid w:val="004605E1"/>
    <w:rsid w:val="004606E8"/>
    <w:rsid w:val="0046106D"/>
    <w:rsid w:val="004610FD"/>
    <w:rsid w:val="004612D6"/>
    <w:rsid w:val="00461DEE"/>
    <w:rsid w:val="00461EF8"/>
    <w:rsid w:val="00462354"/>
    <w:rsid w:val="00462556"/>
    <w:rsid w:val="0046558F"/>
    <w:rsid w:val="004655F4"/>
    <w:rsid w:val="00465B21"/>
    <w:rsid w:val="004661B1"/>
    <w:rsid w:val="00466C04"/>
    <w:rsid w:val="00467389"/>
    <w:rsid w:val="004701D0"/>
    <w:rsid w:val="004712BE"/>
    <w:rsid w:val="00471E32"/>
    <w:rsid w:val="004729AD"/>
    <w:rsid w:val="00472D5E"/>
    <w:rsid w:val="0047346D"/>
    <w:rsid w:val="00474229"/>
    <w:rsid w:val="00474670"/>
    <w:rsid w:val="0047521F"/>
    <w:rsid w:val="00476185"/>
    <w:rsid w:val="00476217"/>
    <w:rsid w:val="00476B88"/>
    <w:rsid w:val="004771E1"/>
    <w:rsid w:val="00477550"/>
    <w:rsid w:val="004776E1"/>
    <w:rsid w:val="00477789"/>
    <w:rsid w:val="00477B8C"/>
    <w:rsid w:val="0048094F"/>
    <w:rsid w:val="004810C4"/>
    <w:rsid w:val="00481CC9"/>
    <w:rsid w:val="00481E3C"/>
    <w:rsid w:val="00481ECE"/>
    <w:rsid w:val="004834D6"/>
    <w:rsid w:val="00483D44"/>
    <w:rsid w:val="00483DD5"/>
    <w:rsid w:val="00483DFD"/>
    <w:rsid w:val="00483EFD"/>
    <w:rsid w:val="00484DF6"/>
    <w:rsid w:val="00484F5D"/>
    <w:rsid w:val="00485255"/>
    <w:rsid w:val="004859B5"/>
    <w:rsid w:val="00485A8C"/>
    <w:rsid w:val="004860D0"/>
    <w:rsid w:val="00486588"/>
    <w:rsid w:val="00486709"/>
    <w:rsid w:val="0048692A"/>
    <w:rsid w:val="00486CC2"/>
    <w:rsid w:val="00487070"/>
    <w:rsid w:val="00487598"/>
    <w:rsid w:val="00490175"/>
    <w:rsid w:val="0049099E"/>
    <w:rsid w:val="00490DFE"/>
    <w:rsid w:val="00490E4B"/>
    <w:rsid w:val="0049111C"/>
    <w:rsid w:val="004911BD"/>
    <w:rsid w:val="00491C94"/>
    <w:rsid w:val="00491E84"/>
    <w:rsid w:val="00491EE1"/>
    <w:rsid w:val="00492D32"/>
    <w:rsid w:val="004935B6"/>
    <w:rsid w:val="00493922"/>
    <w:rsid w:val="0049403D"/>
    <w:rsid w:val="00494FC0"/>
    <w:rsid w:val="004950D7"/>
    <w:rsid w:val="0049558B"/>
    <w:rsid w:val="004964EF"/>
    <w:rsid w:val="004970B9"/>
    <w:rsid w:val="004A0355"/>
    <w:rsid w:val="004A058B"/>
    <w:rsid w:val="004A0610"/>
    <w:rsid w:val="004A06CE"/>
    <w:rsid w:val="004A11B7"/>
    <w:rsid w:val="004A1C42"/>
    <w:rsid w:val="004A227D"/>
    <w:rsid w:val="004A2355"/>
    <w:rsid w:val="004A25A1"/>
    <w:rsid w:val="004A387C"/>
    <w:rsid w:val="004A3C22"/>
    <w:rsid w:val="004A44A0"/>
    <w:rsid w:val="004A54E5"/>
    <w:rsid w:val="004A5EB8"/>
    <w:rsid w:val="004A6513"/>
    <w:rsid w:val="004A7548"/>
    <w:rsid w:val="004A7C74"/>
    <w:rsid w:val="004B050E"/>
    <w:rsid w:val="004B07BB"/>
    <w:rsid w:val="004B242E"/>
    <w:rsid w:val="004B3274"/>
    <w:rsid w:val="004B37C2"/>
    <w:rsid w:val="004B40B1"/>
    <w:rsid w:val="004B43E2"/>
    <w:rsid w:val="004B4D8C"/>
    <w:rsid w:val="004B54C8"/>
    <w:rsid w:val="004B5A90"/>
    <w:rsid w:val="004B5CAE"/>
    <w:rsid w:val="004B5F85"/>
    <w:rsid w:val="004B653D"/>
    <w:rsid w:val="004B6D28"/>
    <w:rsid w:val="004B6F52"/>
    <w:rsid w:val="004B70CA"/>
    <w:rsid w:val="004B739F"/>
    <w:rsid w:val="004B7E35"/>
    <w:rsid w:val="004C08CF"/>
    <w:rsid w:val="004C0F67"/>
    <w:rsid w:val="004C1641"/>
    <w:rsid w:val="004C1A34"/>
    <w:rsid w:val="004C3479"/>
    <w:rsid w:val="004C4A4C"/>
    <w:rsid w:val="004C4EFC"/>
    <w:rsid w:val="004C51CF"/>
    <w:rsid w:val="004C582C"/>
    <w:rsid w:val="004C6550"/>
    <w:rsid w:val="004C78B0"/>
    <w:rsid w:val="004D06D2"/>
    <w:rsid w:val="004D0B69"/>
    <w:rsid w:val="004D0BAB"/>
    <w:rsid w:val="004D26F0"/>
    <w:rsid w:val="004D2A1E"/>
    <w:rsid w:val="004D2C47"/>
    <w:rsid w:val="004D2DF0"/>
    <w:rsid w:val="004D2EDE"/>
    <w:rsid w:val="004D3114"/>
    <w:rsid w:val="004D3281"/>
    <w:rsid w:val="004D3362"/>
    <w:rsid w:val="004D3A52"/>
    <w:rsid w:val="004D3EF6"/>
    <w:rsid w:val="004D4F03"/>
    <w:rsid w:val="004D57F8"/>
    <w:rsid w:val="004D5AE1"/>
    <w:rsid w:val="004D644D"/>
    <w:rsid w:val="004D6948"/>
    <w:rsid w:val="004D69FC"/>
    <w:rsid w:val="004D780C"/>
    <w:rsid w:val="004E0982"/>
    <w:rsid w:val="004E17EA"/>
    <w:rsid w:val="004E17ED"/>
    <w:rsid w:val="004E1D23"/>
    <w:rsid w:val="004E28A5"/>
    <w:rsid w:val="004E28F4"/>
    <w:rsid w:val="004E2E4C"/>
    <w:rsid w:val="004E363E"/>
    <w:rsid w:val="004E4560"/>
    <w:rsid w:val="004E4ECE"/>
    <w:rsid w:val="004E6151"/>
    <w:rsid w:val="004E668A"/>
    <w:rsid w:val="004E7651"/>
    <w:rsid w:val="004F0104"/>
    <w:rsid w:val="004F06F8"/>
    <w:rsid w:val="004F1400"/>
    <w:rsid w:val="004F1674"/>
    <w:rsid w:val="004F1B68"/>
    <w:rsid w:val="004F1FAF"/>
    <w:rsid w:val="004F2150"/>
    <w:rsid w:val="004F254D"/>
    <w:rsid w:val="004F2BE3"/>
    <w:rsid w:val="004F32CA"/>
    <w:rsid w:val="004F337F"/>
    <w:rsid w:val="004F3530"/>
    <w:rsid w:val="004F408C"/>
    <w:rsid w:val="004F418F"/>
    <w:rsid w:val="004F44A8"/>
    <w:rsid w:val="004F5766"/>
    <w:rsid w:val="004F578A"/>
    <w:rsid w:val="004F5863"/>
    <w:rsid w:val="004F5C51"/>
    <w:rsid w:val="004F5ECA"/>
    <w:rsid w:val="004F6510"/>
    <w:rsid w:val="004F6ABE"/>
    <w:rsid w:val="00501425"/>
    <w:rsid w:val="0050163A"/>
    <w:rsid w:val="00501B01"/>
    <w:rsid w:val="00502643"/>
    <w:rsid w:val="0050274F"/>
    <w:rsid w:val="00502C92"/>
    <w:rsid w:val="00502E00"/>
    <w:rsid w:val="00502F18"/>
    <w:rsid w:val="005031EF"/>
    <w:rsid w:val="005033AE"/>
    <w:rsid w:val="00503E69"/>
    <w:rsid w:val="00503F7B"/>
    <w:rsid w:val="00504001"/>
    <w:rsid w:val="005055C8"/>
    <w:rsid w:val="005056B6"/>
    <w:rsid w:val="00505A89"/>
    <w:rsid w:val="00505DA1"/>
    <w:rsid w:val="00506215"/>
    <w:rsid w:val="005062A6"/>
    <w:rsid w:val="00506830"/>
    <w:rsid w:val="00506A41"/>
    <w:rsid w:val="00506D4C"/>
    <w:rsid w:val="00507C70"/>
    <w:rsid w:val="00507DFC"/>
    <w:rsid w:val="00510455"/>
    <w:rsid w:val="0051099F"/>
    <w:rsid w:val="00510EB2"/>
    <w:rsid w:val="005114B7"/>
    <w:rsid w:val="00511559"/>
    <w:rsid w:val="005142A3"/>
    <w:rsid w:val="00514F12"/>
    <w:rsid w:val="00515413"/>
    <w:rsid w:val="00515D6B"/>
    <w:rsid w:val="00515F0E"/>
    <w:rsid w:val="00516549"/>
    <w:rsid w:val="0051672A"/>
    <w:rsid w:val="00517B96"/>
    <w:rsid w:val="00517BBB"/>
    <w:rsid w:val="005207C0"/>
    <w:rsid w:val="005222D0"/>
    <w:rsid w:val="0052327E"/>
    <w:rsid w:val="00523551"/>
    <w:rsid w:val="00524F75"/>
    <w:rsid w:val="005250E2"/>
    <w:rsid w:val="00525D2D"/>
    <w:rsid w:val="00525D56"/>
    <w:rsid w:val="00525F6C"/>
    <w:rsid w:val="0052614C"/>
    <w:rsid w:val="0052689C"/>
    <w:rsid w:val="00527205"/>
    <w:rsid w:val="00527ED0"/>
    <w:rsid w:val="00531007"/>
    <w:rsid w:val="00531BDD"/>
    <w:rsid w:val="00531FC6"/>
    <w:rsid w:val="00532AED"/>
    <w:rsid w:val="00532E41"/>
    <w:rsid w:val="00532F9E"/>
    <w:rsid w:val="00534307"/>
    <w:rsid w:val="00534671"/>
    <w:rsid w:val="00534E5F"/>
    <w:rsid w:val="0053527B"/>
    <w:rsid w:val="00535D76"/>
    <w:rsid w:val="0053605D"/>
    <w:rsid w:val="005361CD"/>
    <w:rsid w:val="00537065"/>
    <w:rsid w:val="005370B3"/>
    <w:rsid w:val="005373D2"/>
    <w:rsid w:val="005377D1"/>
    <w:rsid w:val="00537AC0"/>
    <w:rsid w:val="00540B72"/>
    <w:rsid w:val="00540E03"/>
    <w:rsid w:val="0054106F"/>
    <w:rsid w:val="005411DC"/>
    <w:rsid w:val="00543100"/>
    <w:rsid w:val="00543FDF"/>
    <w:rsid w:val="00545554"/>
    <w:rsid w:val="005457EE"/>
    <w:rsid w:val="00546D81"/>
    <w:rsid w:val="00546F98"/>
    <w:rsid w:val="005472D7"/>
    <w:rsid w:val="00547BA0"/>
    <w:rsid w:val="00550FED"/>
    <w:rsid w:val="00552FF7"/>
    <w:rsid w:val="00553D1B"/>
    <w:rsid w:val="00553DAD"/>
    <w:rsid w:val="005549CE"/>
    <w:rsid w:val="00555219"/>
    <w:rsid w:val="00557045"/>
    <w:rsid w:val="005574A0"/>
    <w:rsid w:val="005574FD"/>
    <w:rsid w:val="00557F15"/>
    <w:rsid w:val="005600D1"/>
    <w:rsid w:val="0056189B"/>
    <w:rsid w:val="00561919"/>
    <w:rsid w:val="00561952"/>
    <w:rsid w:val="005634C2"/>
    <w:rsid w:val="00564560"/>
    <w:rsid w:val="00564A86"/>
    <w:rsid w:val="00565609"/>
    <w:rsid w:val="005661E7"/>
    <w:rsid w:val="00567A67"/>
    <w:rsid w:val="005700A5"/>
    <w:rsid w:val="0057022A"/>
    <w:rsid w:val="00570643"/>
    <w:rsid w:val="00570D39"/>
    <w:rsid w:val="005718E4"/>
    <w:rsid w:val="00571906"/>
    <w:rsid w:val="00571F66"/>
    <w:rsid w:val="005728C5"/>
    <w:rsid w:val="0057300D"/>
    <w:rsid w:val="00573392"/>
    <w:rsid w:val="0057339A"/>
    <w:rsid w:val="00573695"/>
    <w:rsid w:val="00574E26"/>
    <w:rsid w:val="0057509A"/>
    <w:rsid w:val="00575262"/>
    <w:rsid w:val="005752E0"/>
    <w:rsid w:val="00575C38"/>
    <w:rsid w:val="005761A7"/>
    <w:rsid w:val="005762EF"/>
    <w:rsid w:val="00577A90"/>
    <w:rsid w:val="005802A9"/>
    <w:rsid w:val="00580305"/>
    <w:rsid w:val="00580DF1"/>
    <w:rsid w:val="00580EA8"/>
    <w:rsid w:val="0058124C"/>
    <w:rsid w:val="00581830"/>
    <w:rsid w:val="005818D5"/>
    <w:rsid w:val="00581B57"/>
    <w:rsid w:val="00582472"/>
    <w:rsid w:val="00582B7C"/>
    <w:rsid w:val="00582FF7"/>
    <w:rsid w:val="005835FF"/>
    <w:rsid w:val="00585E71"/>
    <w:rsid w:val="00586424"/>
    <w:rsid w:val="00586AE2"/>
    <w:rsid w:val="00586CC6"/>
    <w:rsid w:val="00586FD4"/>
    <w:rsid w:val="005871DA"/>
    <w:rsid w:val="005877C5"/>
    <w:rsid w:val="00587A6B"/>
    <w:rsid w:val="00587C99"/>
    <w:rsid w:val="00587ECB"/>
    <w:rsid w:val="00590719"/>
    <w:rsid w:val="00590EF5"/>
    <w:rsid w:val="00590FD4"/>
    <w:rsid w:val="00591C9A"/>
    <w:rsid w:val="0059294A"/>
    <w:rsid w:val="00593851"/>
    <w:rsid w:val="00593B24"/>
    <w:rsid w:val="00593F6B"/>
    <w:rsid w:val="0059435A"/>
    <w:rsid w:val="0059479F"/>
    <w:rsid w:val="00594B70"/>
    <w:rsid w:val="00594E86"/>
    <w:rsid w:val="00596F17"/>
    <w:rsid w:val="005970EA"/>
    <w:rsid w:val="005A0BC4"/>
    <w:rsid w:val="005A0D66"/>
    <w:rsid w:val="005A10F8"/>
    <w:rsid w:val="005A11DE"/>
    <w:rsid w:val="005A2311"/>
    <w:rsid w:val="005A2E0D"/>
    <w:rsid w:val="005A3025"/>
    <w:rsid w:val="005A30E1"/>
    <w:rsid w:val="005A3721"/>
    <w:rsid w:val="005A5FE1"/>
    <w:rsid w:val="005A64B6"/>
    <w:rsid w:val="005A64EA"/>
    <w:rsid w:val="005A676A"/>
    <w:rsid w:val="005A6CA1"/>
    <w:rsid w:val="005A6D7C"/>
    <w:rsid w:val="005B10AE"/>
    <w:rsid w:val="005B11DA"/>
    <w:rsid w:val="005B1637"/>
    <w:rsid w:val="005B2C19"/>
    <w:rsid w:val="005B338C"/>
    <w:rsid w:val="005B3B03"/>
    <w:rsid w:val="005B42A6"/>
    <w:rsid w:val="005B4C2F"/>
    <w:rsid w:val="005B5234"/>
    <w:rsid w:val="005B5500"/>
    <w:rsid w:val="005B58E7"/>
    <w:rsid w:val="005B639D"/>
    <w:rsid w:val="005B6431"/>
    <w:rsid w:val="005B6593"/>
    <w:rsid w:val="005B69BB"/>
    <w:rsid w:val="005B6EE0"/>
    <w:rsid w:val="005B7404"/>
    <w:rsid w:val="005B7A11"/>
    <w:rsid w:val="005C0E4F"/>
    <w:rsid w:val="005C1938"/>
    <w:rsid w:val="005C1943"/>
    <w:rsid w:val="005C1B42"/>
    <w:rsid w:val="005C24CF"/>
    <w:rsid w:val="005C38AF"/>
    <w:rsid w:val="005C582C"/>
    <w:rsid w:val="005C5A19"/>
    <w:rsid w:val="005C5BAE"/>
    <w:rsid w:val="005C5E09"/>
    <w:rsid w:val="005C641A"/>
    <w:rsid w:val="005D0103"/>
    <w:rsid w:val="005D2C36"/>
    <w:rsid w:val="005D2C9C"/>
    <w:rsid w:val="005D317D"/>
    <w:rsid w:val="005D395D"/>
    <w:rsid w:val="005D3A4E"/>
    <w:rsid w:val="005D4A17"/>
    <w:rsid w:val="005D4B3E"/>
    <w:rsid w:val="005D50E2"/>
    <w:rsid w:val="005D5372"/>
    <w:rsid w:val="005D5758"/>
    <w:rsid w:val="005D5AC3"/>
    <w:rsid w:val="005D684C"/>
    <w:rsid w:val="005D6F57"/>
    <w:rsid w:val="005D707B"/>
    <w:rsid w:val="005D72B1"/>
    <w:rsid w:val="005E0018"/>
    <w:rsid w:val="005E0364"/>
    <w:rsid w:val="005E0845"/>
    <w:rsid w:val="005E0A68"/>
    <w:rsid w:val="005E174E"/>
    <w:rsid w:val="005E23C7"/>
    <w:rsid w:val="005E28F4"/>
    <w:rsid w:val="005E2B84"/>
    <w:rsid w:val="005E2CE9"/>
    <w:rsid w:val="005E3BAB"/>
    <w:rsid w:val="005E3CFE"/>
    <w:rsid w:val="005E4078"/>
    <w:rsid w:val="005E47DC"/>
    <w:rsid w:val="005E4A8C"/>
    <w:rsid w:val="005E4DFC"/>
    <w:rsid w:val="005E5136"/>
    <w:rsid w:val="005E668A"/>
    <w:rsid w:val="005E733D"/>
    <w:rsid w:val="005E74D8"/>
    <w:rsid w:val="005E7C62"/>
    <w:rsid w:val="005E7DA2"/>
    <w:rsid w:val="005F0064"/>
    <w:rsid w:val="005F029F"/>
    <w:rsid w:val="005F0965"/>
    <w:rsid w:val="005F139D"/>
    <w:rsid w:val="005F1712"/>
    <w:rsid w:val="005F24C3"/>
    <w:rsid w:val="005F2B13"/>
    <w:rsid w:val="005F2E77"/>
    <w:rsid w:val="005F310F"/>
    <w:rsid w:val="005F34E5"/>
    <w:rsid w:val="005F3536"/>
    <w:rsid w:val="005F43D6"/>
    <w:rsid w:val="005F51B4"/>
    <w:rsid w:val="005F560A"/>
    <w:rsid w:val="005F5932"/>
    <w:rsid w:val="005F5E35"/>
    <w:rsid w:val="005F655E"/>
    <w:rsid w:val="005F6BD2"/>
    <w:rsid w:val="005F6D9A"/>
    <w:rsid w:val="005F725F"/>
    <w:rsid w:val="00600A38"/>
    <w:rsid w:val="00600C5A"/>
    <w:rsid w:val="00601DB7"/>
    <w:rsid w:val="006020BA"/>
    <w:rsid w:val="00602444"/>
    <w:rsid w:val="00602C95"/>
    <w:rsid w:val="00603138"/>
    <w:rsid w:val="006031DD"/>
    <w:rsid w:val="00604064"/>
    <w:rsid w:val="006047C8"/>
    <w:rsid w:val="00605118"/>
    <w:rsid w:val="00605341"/>
    <w:rsid w:val="00606C56"/>
    <w:rsid w:val="00606EF4"/>
    <w:rsid w:val="006079C6"/>
    <w:rsid w:val="00607CDD"/>
    <w:rsid w:val="00607EE8"/>
    <w:rsid w:val="00607FA7"/>
    <w:rsid w:val="00610E8F"/>
    <w:rsid w:val="0061125B"/>
    <w:rsid w:val="006124CC"/>
    <w:rsid w:val="006132CC"/>
    <w:rsid w:val="00613D2D"/>
    <w:rsid w:val="0061410C"/>
    <w:rsid w:val="0061427F"/>
    <w:rsid w:val="006171EC"/>
    <w:rsid w:val="00617345"/>
    <w:rsid w:val="006175B3"/>
    <w:rsid w:val="00617C2E"/>
    <w:rsid w:val="00617F3C"/>
    <w:rsid w:val="006204D6"/>
    <w:rsid w:val="00620AC3"/>
    <w:rsid w:val="00620BA8"/>
    <w:rsid w:val="006214AB"/>
    <w:rsid w:val="00621B5D"/>
    <w:rsid w:val="00621DA1"/>
    <w:rsid w:val="00621EC2"/>
    <w:rsid w:val="0062204C"/>
    <w:rsid w:val="006223E2"/>
    <w:rsid w:val="006230E4"/>
    <w:rsid w:val="006237EA"/>
    <w:rsid w:val="00623CE0"/>
    <w:rsid w:val="0062430F"/>
    <w:rsid w:val="006244F5"/>
    <w:rsid w:val="00624BCB"/>
    <w:rsid w:val="006250A0"/>
    <w:rsid w:val="006272E0"/>
    <w:rsid w:val="00627386"/>
    <w:rsid w:val="0062746E"/>
    <w:rsid w:val="0062756C"/>
    <w:rsid w:val="00627FA1"/>
    <w:rsid w:val="00630082"/>
    <w:rsid w:val="0063008E"/>
    <w:rsid w:val="0063012B"/>
    <w:rsid w:val="006301FC"/>
    <w:rsid w:val="00630267"/>
    <w:rsid w:val="0063063D"/>
    <w:rsid w:val="00631893"/>
    <w:rsid w:val="00631D2A"/>
    <w:rsid w:val="00632305"/>
    <w:rsid w:val="006323DC"/>
    <w:rsid w:val="00632A60"/>
    <w:rsid w:val="00632E35"/>
    <w:rsid w:val="00633FDF"/>
    <w:rsid w:val="00634B16"/>
    <w:rsid w:val="0063501E"/>
    <w:rsid w:val="00636902"/>
    <w:rsid w:val="00636F91"/>
    <w:rsid w:val="0063770B"/>
    <w:rsid w:val="00637812"/>
    <w:rsid w:val="00637A8C"/>
    <w:rsid w:val="00637B20"/>
    <w:rsid w:val="00640755"/>
    <w:rsid w:val="006409D3"/>
    <w:rsid w:val="006410A3"/>
    <w:rsid w:val="00641D30"/>
    <w:rsid w:val="006421CD"/>
    <w:rsid w:val="00642A7F"/>
    <w:rsid w:val="00642DFD"/>
    <w:rsid w:val="00645577"/>
    <w:rsid w:val="0064577B"/>
    <w:rsid w:val="00646966"/>
    <w:rsid w:val="00646F64"/>
    <w:rsid w:val="00647277"/>
    <w:rsid w:val="00647562"/>
    <w:rsid w:val="00647A33"/>
    <w:rsid w:val="006513CA"/>
    <w:rsid w:val="00651AD2"/>
    <w:rsid w:val="0065240E"/>
    <w:rsid w:val="00652426"/>
    <w:rsid w:val="00652D16"/>
    <w:rsid w:val="00653408"/>
    <w:rsid w:val="00653C59"/>
    <w:rsid w:val="006547C0"/>
    <w:rsid w:val="00654C21"/>
    <w:rsid w:val="006552C5"/>
    <w:rsid w:val="00657A08"/>
    <w:rsid w:val="00660475"/>
    <w:rsid w:val="0066059B"/>
    <w:rsid w:val="006605E2"/>
    <w:rsid w:val="00660761"/>
    <w:rsid w:val="00660C26"/>
    <w:rsid w:val="006610C2"/>
    <w:rsid w:val="00661492"/>
    <w:rsid w:val="006618B9"/>
    <w:rsid w:val="00662527"/>
    <w:rsid w:val="006628C3"/>
    <w:rsid w:val="00662FFE"/>
    <w:rsid w:val="006638ED"/>
    <w:rsid w:val="006639F8"/>
    <w:rsid w:val="00663E08"/>
    <w:rsid w:val="0066404E"/>
    <w:rsid w:val="00664A52"/>
    <w:rsid w:val="00664A6A"/>
    <w:rsid w:val="00664F1F"/>
    <w:rsid w:val="00666AAD"/>
    <w:rsid w:val="00670145"/>
    <w:rsid w:val="00670206"/>
    <w:rsid w:val="0067043A"/>
    <w:rsid w:val="006705D1"/>
    <w:rsid w:val="00671E4E"/>
    <w:rsid w:val="00671E9F"/>
    <w:rsid w:val="006725E6"/>
    <w:rsid w:val="006725E8"/>
    <w:rsid w:val="00673380"/>
    <w:rsid w:val="006734F9"/>
    <w:rsid w:val="00674768"/>
    <w:rsid w:val="00674B08"/>
    <w:rsid w:val="006756CF"/>
    <w:rsid w:val="006758A3"/>
    <w:rsid w:val="0067647A"/>
    <w:rsid w:val="00680756"/>
    <w:rsid w:val="0068118D"/>
    <w:rsid w:val="00681CA3"/>
    <w:rsid w:val="00681E1F"/>
    <w:rsid w:val="0068208F"/>
    <w:rsid w:val="00682314"/>
    <w:rsid w:val="00682C9E"/>
    <w:rsid w:val="00682ED8"/>
    <w:rsid w:val="006853C6"/>
    <w:rsid w:val="0068548C"/>
    <w:rsid w:val="00687631"/>
    <w:rsid w:val="00691C33"/>
    <w:rsid w:val="00691DF6"/>
    <w:rsid w:val="00692217"/>
    <w:rsid w:val="00692426"/>
    <w:rsid w:val="0069406F"/>
    <w:rsid w:val="00694C5D"/>
    <w:rsid w:val="00695414"/>
    <w:rsid w:val="00695E91"/>
    <w:rsid w:val="00695F1F"/>
    <w:rsid w:val="00696235"/>
    <w:rsid w:val="00696BAF"/>
    <w:rsid w:val="00696CD9"/>
    <w:rsid w:val="00696D2B"/>
    <w:rsid w:val="006A1B19"/>
    <w:rsid w:val="006A1F38"/>
    <w:rsid w:val="006A2E0A"/>
    <w:rsid w:val="006A31FB"/>
    <w:rsid w:val="006A32BD"/>
    <w:rsid w:val="006A3B6C"/>
    <w:rsid w:val="006A509C"/>
    <w:rsid w:val="006A51E9"/>
    <w:rsid w:val="006A66A3"/>
    <w:rsid w:val="006A69D3"/>
    <w:rsid w:val="006A6B95"/>
    <w:rsid w:val="006A6EB9"/>
    <w:rsid w:val="006B053A"/>
    <w:rsid w:val="006B0965"/>
    <w:rsid w:val="006B1018"/>
    <w:rsid w:val="006B168E"/>
    <w:rsid w:val="006B1746"/>
    <w:rsid w:val="006B396E"/>
    <w:rsid w:val="006B435C"/>
    <w:rsid w:val="006B537F"/>
    <w:rsid w:val="006B5687"/>
    <w:rsid w:val="006B56CB"/>
    <w:rsid w:val="006B6375"/>
    <w:rsid w:val="006B6567"/>
    <w:rsid w:val="006B6785"/>
    <w:rsid w:val="006B6B3F"/>
    <w:rsid w:val="006B7330"/>
    <w:rsid w:val="006B7754"/>
    <w:rsid w:val="006B7CB8"/>
    <w:rsid w:val="006C03A4"/>
    <w:rsid w:val="006C08D9"/>
    <w:rsid w:val="006C1AFA"/>
    <w:rsid w:val="006C2528"/>
    <w:rsid w:val="006C2ABB"/>
    <w:rsid w:val="006C2D33"/>
    <w:rsid w:val="006C2DC3"/>
    <w:rsid w:val="006C3201"/>
    <w:rsid w:val="006C33D0"/>
    <w:rsid w:val="006C360C"/>
    <w:rsid w:val="006C3B2C"/>
    <w:rsid w:val="006C431F"/>
    <w:rsid w:val="006C4C3A"/>
    <w:rsid w:val="006C4DEA"/>
    <w:rsid w:val="006C5330"/>
    <w:rsid w:val="006C5670"/>
    <w:rsid w:val="006C5F75"/>
    <w:rsid w:val="006C6EA3"/>
    <w:rsid w:val="006C7F64"/>
    <w:rsid w:val="006D2068"/>
    <w:rsid w:val="006D2860"/>
    <w:rsid w:val="006D28B3"/>
    <w:rsid w:val="006D2AC7"/>
    <w:rsid w:val="006D2E20"/>
    <w:rsid w:val="006D4553"/>
    <w:rsid w:val="006D4E31"/>
    <w:rsid w:val="006D4E3F"/>
    <w:rsid w:val="006D4EB3"/>
    <w:rsid w:val="006D668E"/>
    <w:rsid w:val="006D6D8D"/>
    <w:rsid w:val="006D7463"/>
    <w:rsid w:val="006E1C54"/>
    <w:rsid w:val="006E2E24"/>
    <w:rsid w:val="006E30A4"/>
    <w:rsid w:val="006E35C5"/>
    <w:rsid w:val="006E572C"/>
    <w:rsid w:val="006E5DFF"/>
    <w:rsid w:val="006E64C4"/>
    <w:rsid w:val="006E7310"/>
    <w:rsid w:val="006E7514"/>
    <w:rsid w:val="006F2003"/>
    <w:rsid w:val="006F2032"/>
    <w:rsid w:val="006F2093"/>
    <w:rsid w:val="006F2F28"/>
    <w:rsid w:val="006F3058"/>
    <w:rsid w:val="006F4260"/>
    <w:rsid w:val="006F49E5"/>
    <w:rsid w:val="006F551B"/>
    <w:rsid w:val="006F673A"/>
    <w:rsid w:val="006F70DB"/>
    <w:rsid w:val="006F74C2"/>
    <w:rsid w:val="0070097B"/>
    <w:rsid w:val="00700B3E"/>
    <w:rsid w:val="00702284"/>
    <w:rsid w:val="00702919"/>
    <w:rsid w:val="00702E56"/>
    <w:rsid w:val="007041A8"/>
    <w:rsid w:val="00704CEB"/>
    <w:rsid w:val="00707453"/>
    <w:rsid w:val="00707578"/>
    <w:rsid w:val="007077A6"/>
    <w:rsid w:val="00707A4D"/>
    <w:rsid w:val="00707B84"/>
    <w:rsid w:val="00710195"/>
    <w:rsid w:val="00710272"/>
    <w:rsid w:val="007103C4"/>
    <w:rsid w:val="007106E5"/>
    <w:rsid w:val="00710F95"/>
    <w:rsid w:val="0071157E"/>
    <w:rsid w:val="0071168B"/>
    <w:rsid w:val="00711CCB"/>
    <w:rsid w:val="00712D8B"/>
    <w:rsid w:val="00713D60"/>
    <w:rsid w:val="0071433B"/>
    <w:rsid w:val="00714CD3"/>
    <w:rsid w:val="007152BC"/>
    <w:rsid w:val="00715609"/>
    <w:rsid w:val="00715627"/>
    <w:rsid w:val="00715B33"/>
    <w:rsid w:val="00716C00"/>
    <w:rsid w:val="007203B6"/>
    <w:rsid w:val="00720569"/>
    <w:rsid w:val="0072101F"/>
    <w:rsid w:val="007227CD"/>
    <w:rsid w:val="007238D4"/>
    <w:rsid w:val="00723C49"/>
    <w:rsid w:val="00723C7D"/>
    <w:rsid w:val="00723D66"/>
    <w:rsid w:val="0072622D"/>
    <w:rsid w:val="007262EE"/>
    <w:rsid w:val="007265B4"/>
    <w:rsid w:val="007266FB"/>
    <w:rsid w:val="0072680D"/>
    <w:rsid w:val="00727A03"/>
    <w:rsid w:val="00727BA1"/>
    <w:rsid w:val="00727F2A"/>
    <w:rsid w:val="00730D62"/>
    <w:rsid w:val="00731F7D"/>
    <w:rsid w:val="00731FA4"/>
    <w:rsid w:val="00732640"/>
    <w:rsid w:val="00732B20"/>
    <w:rsid w:val="007330B0"/>
    <w:rsid w:val="0073314A"/>
    <w:rsid w:val="00733558"/>
    <w:rsid w:val="00733C71"/>
    <w:rsid w:val="00734025"/>
    <w:rsid w:val="00734648"/>
    <w:rsid w:val="007359C7"/>
    <w:rsid w:val="00735BA9"/>
    <w:rsid w:val="007365EC"/>
    <w:rsid w:val="00737409"/>
    <w:rsid w:val="0074022E"/>
    <w:rsid w:val="00740D20"/>
    <w:rsid w:val="0074151D"/>
    <w:rsid w:val="00741F61"/>
    <w:rsid w:val="00741F8E"/>
    <w:rsid w:val="00742362"/>
    <w:rsid w:val="00744361"/>
    <w:rsid w:val="007443F0"/>
    <w:rsid w:val="007446FD"/>
    <w:rsid w:val="007447CF"/>
    <w:rsid w:val="00744F22"/>
    <w:rsid w:val="0074520B"/>
    <w:rsid w:val="00745255"/>
    <w:rsid w:val="0074562E"/>
    <w:rsid w:val="007456D8"/>
    <w:rsid w:val="007457A3"/>
    <w:rsid w:val="00745CC5"/>
    <w:rsid w:val="0074617C"/>
    <w:rsid w:val="00746FA5"/>
    <w:rsid w:val="007477F1"/>
    <w:rsid w:val="00747831"/>
    <w:rsid w:val="00750145"/>
    <w:rsid w:val="0075054C"/>
    <w:rsid w:val="007506C7"/>
    <w:rsid w:val="00750F9A"/>
    <w:rsid w:val="00750FD8"/>
    <w:rsid w:val="00751D2D"/>
    <w:rsid w:val="007530F1"/>
    <w:rsid w:val="00753512"/>
    <w:rsid w:val="00753744"/>
    <w:rsid w:val="007542A7"/>
    <w:rsid w:val="00754612"/>
    <w:rsid w:val="007556BD"/>
    <w:rsid w:val="00755CE0"/>
    <w:rsid w:val="00755CF3"/>
    <w:rsid w:val="007568FD"/>
    <w:rsid w:val="00756D4F"/>
    <w:rsid w:val="0075760C"/>
    <w:rsid w:val="0076142B"/>
    <w:rsid w:val="00761531"/>
    <w:rsid w:val="007619AC"/>
    <w:rsid w:val="00762036"/>
    <w:rsid w:val="00762F95"/>
    <w:rsid w:val="007642FE"/>
    <w:rsid w:val="00764FA0"/>
    <w:rsid w:val="00764FEE"/>
    <w:rsid w:val="00765E60"/>
    <w:rsid w:val="00767466"/>
    <w:rsid w:val="00767505"/>
    <w:rsid w:val="00767E39"/>
    <w:rsid w:val="007716D4"/>
    <w:rsid w:val="007718E2"/>
    <w:rsid w:val="00771BCB"/>
    <w:rsid w:val="00771D99"/>
    <w:rsid w:val="0077200C"/>
    <w:rsid w:val="0077285B"/>
    <w:rsid w:val="007739CA"/>
    <w:rsid w:val="00773B86"/>
    <w:rsid w:val="00773CC4"/>
    <w:rsid w:val="00773D79"/>
    <w:rsid w:val="00774171"/>
    <w:rsid w:val="0077428F"/>
    <w:rsid w:val="00774DD7"/>
    <w:rsid w:val="0077689F"/>
    <w:rsid w:val="00777323"/>
    <w:rsid w:val="0077752B"/>
    <w:rsid w:val="007775AA"/>
    <w:rsid w:val="00780919"/>
    <w:rsid w:val="00780C76"/>
    <w:rsid w:val="007819B3"/>
    <w:rsid w:val="00781A57"/>
    <w:rsid w:val="00781FA2"/>
    <w:rsid w:val="007826A0"/>
    <w:rsid w:val="007828A6"/>
    <w:rsid w:val="0078338E"/>
    <w:rsid w:val="007837F8"/>
    <w:rsid w:val="00783D3D"/>
    <w:rsid w:val="007845B2"/>
    <w:rsid w:val="00784734"/>
    <w:rsid w:val="00784AA5"/>
    <w:rsid w:val="00784D8C"/>
    <w:rsid w:val="00784F0B"/>
    <w:rsid w:val="007865BF"/>
    <w:rsid w:val="007869A4"/>
    <w:rsid w:val="0078738D"/>
    <w:rsid w:val="0078757B"/>
    <w:rsid w:val="007903E4"/>
    <w:rsid w:val="0079054C"/>
    <w:rsid w:val="00790589"/>
    <w:rsid w:val="007908CB"/>
    <w:rsid w:val="00790A15"/>
    <w:rsid w:val="007912A1"/>
    <w:rsid w:val="00791AA7"/>
    <w:rsid w:val="00791ADE"/>
    <w:rsid w:val="00791FD7"/>
    <w:rsid w:val="0079243D"/>
    <w:rsid w:val="00792497"/>
    <w:rsid w:val="0079250A"/>
    <w:rsid w:val="00792879"/>
    <w:rsid w:val="0079335A"/>
    <w:rsid w:val="00793C4F"/>
    <w:rsid w:val="007947C5"/>
    <w:rsid w:val="00794F7F"/>
    <w:rsid w:val="00795245"/>
    <w:rsid w:val="00795432"/>
    <w:rsid w:val="007955D6"/>
    <w:rsid w:val="00795830"/>
    <w:rsid w:val="00795CCD"/>
    <w:rsid w:val="007960EF"/>
    <w:rsid w:val="00796343"/>
    <w:rsid w:val="0079695A"/>
    <w:rsid w:val="007969AE"/>
    <w:rsid w:val="00796A9F"/>
    <w:rsid w:val="00797849"/>
    <w:rsid w:val="007A0770"/>
    <w:rsid w:val="007A0AB6"/>
    <w:rsid w:val="007A0B5E"/>
    <w:rsid w:val="007A0D1E"/>
    <w:rsid w:val="007A0DA4"/>
    <w:rsid w:val="007A0F78"/>
    <w:rsid w:val="007A1484"/>
    <w:rsid w:val="007A1B14"/>
    <w:rsid w:val="007A1FD9"/>
    <w:rsid w:val="007A20CB"/>
    <w:rsid w:val="007A238D"/>
    <w:rsid w:val="007A2806"/>
    <w:rsid w:val="007A2CEF"/>
    <w:rsid w:val="007A39B2"/>
    <w:rsid w:val="007A3DA8"/>
    <w:rsid w:val="007A4D8C"/>
    <w:rsid w:val="007A4E0B"/>
    <w:rsid w:val="007A5521"/>
    <w:rsid w:val="007A5719"/>
    <w:rsid w:val="007A5E2B"/>
    <w:rsid w:val="007A5E7E"/>
    <w:rsid w:val="007A7631"/>
    <w:rsid w:val="007A7893"/>
    <w:rsid w:val="007A79B5"/>
    <w:rsid w:val="007A7DCE"/>
    <w:rsid w:val="007B058B"/>
    <w:rsid w:val="007B2379"/>
    <w:rsid w:val="007B27E1"/>
    <w:rsid w:val="007B3BE1"/>
    <w:rsid w:val="007B46F2"/>
    <w:rsid w:val="007B490E"/>
    <w:rsid w:val="007B4F0A"/>
    <w:rsid w:val="007B56BE"/>
    <w:rsid w:val="007B618C"/>
    <w:rsid w:val="007B6371"/>
    <w:rsid w:val="007B65BF"/>
    <w:rsid w:val="007B6ABB"/>
    <w:rsid w:val="007B6D50"/>
    <w:rsid w:val="007B7CBA"/>
    <w:rsid w:val="007C0023"/>
    <w:rsid w:val="007C0E56"/>
    <w:rsid w:val="007C10A7"/>
    <w:rsid w:val="007C1154"/>
    <w:rsid w:val="007C118D"/>
    <w:rsid w:val="007C13A4"/>
    <w:rsid w:val="007C2184"/>
    <w:rsid w:val="007C311A"/>
    <w:rsid w:val="007C39B6"/>
    <w:rsid w:val="007C4098"/>
    <w:rsid w:val="007C43B1"/>
    <w:rsid w:val="007C44D0"/>
    <w:rsid w:val="007C5677"/>
    <w:rsid w:val="007C56E3"/>
    <w:rsid w:val="007C5EDB"/>
    <w:rsid w:val="007C6AFC"/>
    <w:rsid w:val="007C6B61"/>
    <w:rsid w:val="007C756D"/>
    <w:rsid w:val="007C76C8"/>
    <w:rsid w:val="007C796E"/>
    <w:rsid w:val="007C7C6C"/>
    <w:rsid w:val="007D064C"/>
    <w:rsid w:val="007D08E2"/>
    <w:rsid w:val="007D094B"/>
    <w:rsid w:val="007D0C8A"/>
    <w:rsid w:val="007D1D7D"/>
    <w:rsid w:val="007D221A"/>
    <w:rsid w:val="007D3242"/>
    <w:rsid w:val="007D3B19"/>
    <w:rsid w:val="007D4E67"/>
    <w:rsid w:val="007D5866"/>
    <w:rsid w:val="007D5F2C"/>
    <w:rsid w:val="007D63A4"/>
    <w:rsid w:val="007D6A7D"/>
    <w:rsid w:val="007D757F"/>
    <w:rsid w:val="007D77AB"/>
    <w:rsid w:val="007D791B"/>
    <w:rsid w:val="007D7F86"/>
    <w:rsid w:val="007E06C6"/>
    <w:rsid w:val="007E070B"/>
    <w:rsid w:val="007E128E"/>
    <w:rsid w:val="007E2D17"/>
    <w:rsid w:val="007E2D6B"/>
    <w:rsid w:val="007E3385"/>
    <w:rsid w:val="007E5972"/>
    <w:rsid w:val="007E60AD"/>
    <w:rsid w:val="007E733C"/>
    <w:rsid w:val="007E74AE"/>
    <w:rsid w:val="007F003E"/>
    <w:rsid w:val="007F07C4"/>
    <w:rsid w:val="007F1767"/>
    <w:rsid w:val="007F1B77"/>
    <w:rsid w:val="007F298F"/>
    <w:rsid w:val="007F47E8"/>
    <w:rsid w:val="007F54B9"/>
    <w:rsid w:val="007F6A67"/>
    <w:rsid w:val="007F6BC5"/>
    <w:rsid w:val="0080089F"/>
    <w:rsid w:val="0080176B"/>
    <w:rsid w:val="00801ACA"/>
    <w:rsid w:val="00801B5D"/>
    <w:rsid w:val="00802C4C"/>
    <w:rsid w:val="00803648"/>
    <w:rsid w:val="0080414A"/>
    <w:rsid w:val="008061A7"/>
    <w:rsid w:val="00806F88"/>
    <w:rsid w:val="008077DC"/>
    <w:rsid w:val="00810723"/>
    <w:rsid w:val="0081093C"/>
    <w:rsid w:val="00810F6C"/>
    <w:rsid w:val="00812242"/>
    <w:rsid w:val="00812488"/>
    <w:rsid w:val="008130A6"/>
    <w:rsid w:val="00813206"/>
    <w:rsid w:val="00813369"/>
    <w:rsid w:val="00813E07"/>
    <w:rsid w:val="008147F9"/>
    <w:rsid w:val="0081501B"/>
    <w:rsid w:val="0081533B"/>
    <w:rsid w:val="0081691B"/>
    <w:rsid w:val="0081720E"/>
    <w:rsid w:val="00817DCA"/>
    <w:rsid w:val="00820145"/>
    <w:rsid w:val="00820736"/>
    <w:rsid w:val="00820C8D"/>
    <w:rsid w:val="00820E78"/>
    <w:rsid w:val="008210AF"/>
    <w:rsid w:val="008217AC"/>
    <w:rsid w:val="008220F3"/>
    <w:rsid w:val="00822398"/>
    <w:rsid w:val="00824061"/>
    <w:rsid w:val="00824826"/>
    <w:rsid w:val="00825A15"/>
    <w:rsid w:val="0082635D"/>
    <w:rsid w:val="008271D1"/>
    <w:rsid w:val="008277BF"/>
    <w:rsid w:val="008309A9"/>
    <w:rsid w:val="00830A58"/>
    <w:rsid w:val="008311FF"/>
    <w:rsid w:val="008316FE"/>
    <w:rsid w:val="00831F80"/>
    <w:rsid w:val="0083313A"/>
    <w:rsid w:val="00833C77"/>
    <w:rsid w:val="00833D95"/>
    <w:rsid w:val="00833FF4"/>
    <w:rsid w:val="00834064"/>
    <w:rsid w:val="00834CAD"/>
    <w:rsid w:val="00835236"/>
    <w:rsid w:val="0083543D"/>
    <w:rsid w:val="008356A9"/>
    <w:rsid w:val="00835D7D"/>
    <w:rsid w:val="0083699E"/>
    <w:rsid w:val="00840341"/>
    <w:rsid w:val="00841323"/>
    <w:rsid w:val="00841FCF"/>
    <w:rsid w:val="00842BD6"/>
    <w:rsid w:val="00842DDB"/>
    <w:rsid w:val="008432F1"/>
    <w:rsid w:val="0084340E"/>
    <w:rsid w:val="00843AF9"/>
    <w:rsid w:val="00843B4A"/>
    <w:rsid w:val="008444D4"/>
    <w:rsid w:val="0084573A"/>
    <w:rsid w:val="00845CBA"/>
    <w:rsid w:val="00845E3C"/>
    <w:rsid w:val="00845FAA"/>
    <w:rsid w:val="008460D6"/>
    <w:rsid w:val="00846D5A"/>
    <w:rsid w:val="00846EAB"/>
    <w:rsid w:val="00847458"/>
    <w:rsid w:val="0084752E"/>
    <w:rsid w:val="00847539"/>
    <w:rsid w:val="0085040D"/>
    <w:rsid w:val="00850878"/>
    <w:rsid w:val="008510BF"/>
    <w:rsid w:val="008512D3"/>
    <w:rsid w:val="00851E24"/>
    <w:rsid w:val="008528D7"/>
    <w:rsid w:val="00852CAB"/>
    <w:rsid w:val="00855AC8"/>
    <w:rsid w:val="00856B55"/>
    <w:rsid w:val="00857B56"/>
    <w:rsid w:val="00857EC1"/>
    <w:rsid w:val="00860519"/>
    <w:rsid w:val="00860A4A"/>
    <w:rsid w:val="00861149"/>
    <w:rsid w:val="00861407"/>
    <w:rsid w:val="00861600"/>
    <w:rsid w:val="008617EE"/>
    <w:rsid w:val="00861D64"/>
    <w:rsid w:val="00862070"/>
    <w:rsid w:val="008621A8"/>
    <w:rsid w:val="00862635"/>
    <w:rsid w:val="00862784"/>
    <w:rsid w:val="00862AF5"/>
    <w:rsid w:val="00862FFE"/>
    <w:rsid w:val="00863383"/>
    <w:rsid w:val="008633DD"/>
    <w:rsid w:val="00863E58"/>
    <w:rsid w:val="0086668C"/>
    <w:rsid w:val="00866BAE"/>
    <w:rsid w:val="00866F19"/>
    <w:rsid w:val="008673E6"/>
    <w:rsid w:val="00867957"/>
    <w:rsid w:val="00867AC6"/>
    <w:rsid w:val="008702A7"/>
    <w:rsid w:val="008705CA"/>
    <w:rsid w:val="008707B4"/>
    <w:rsid w:val="00870E9C"/>
    <w:rsid w:val="0087143E"/>
    <w:rsid w:val="00871775"/>
    <w:rsid w:val="008717D3"/>
    <w:rsid w:val="0087246F"/>
    <w:rsid w:val="0087270C"/>
    <w:rsid w:val="00873BD2"/>
    <w:rsid w:val="008743F5"/>
    <w:rsid w:val="008758B1"/>
    <w:rsid w:val="00875DEA"/>
    <w:rsid w:val="00875E0A"/>
    <w:rsid w:val="008760BE"/>
    <w:rsid w:val="008766DC"/>
    <w:rsid w:val="0087799C"/>
    <w:rsid w:val="00880064"/>
    <w:rsid w:val="008805F4"/>
    <w:rsid w:val="008808A4"/>
    <w:rsid w:val="008814D6"/>
    <w:rsid w:val="0088153C"/>
    <w:rsid w:val="0088199A"/>
    <w:rsid w:val="00882035"/>
    <w:rsid w:val="00882435"/>
    <w:rsid w:val="00883538"/>
    <w:rsid w:val="0088406E"/>
    <w:rsid w:val="00885B50"/>
    <w:rsid w:val="00886722"/>
    <w:rsid w:val="008869C4"/>
    <w:rsid w:val="00886A65"/>
    <w:rsid w:val="008871C4"/>
    <w:rsid w:val="008878BE"/>
    <w:rsid w:val="00887E25"/>
    <w:rsid w:val="00887EAA"/>
    <w:rsid w:val="0089010A"/>
    <w:rsid w:val="00890471"/>
    <w:rsid w:val="00890B64"/>
    <w:rsid w:val="008911FA"/>
    <w:rsid w:val="0089177F"/>
    <w:rsid w:val="00891D75"/>
    <w:rsid w:val="00891FC3"/>
    <w:rsid w:val="00892D0E"/>
    <w:rsid w:val="0089316C"/>
    <w:rsid w:val="008931B9"/>
    <w:rsid w:val="008936A7"/>
    <w:rsid w:val="0089382F"/>
    <w:rsid w:val="008945BF"/>
    <w:rsid w:val="008954DC"/>
    <w:rsid w:val="008957DB"/>
    <w:rsid w:val="00895C46"/>
    <w:rsid w:val="00895FC1"/>
    <w:rsid w:val="00896179"/>
    <w:rsid w:val="008964E7"/>
    <w:rsid w:val="008970C2"/>
    <w:rsid w:val="008A0094"/>
    <w:rsid w:val="008A0848"/>
    <w:rsid w:val="008A142B"/>
    <w:rsid w:val="008A19A5"/>
    <w:rsid w:val="008A1FAE"/>
    <w:rsid w:val="008A218E"/>
    <w:rsid w:val="008A3182"/>
    <w:rsid w:val="008A32CE"/>
    <w:rsid w:val="008A4668"/>
    <w:rsid w:val="008A49FB"/>
    <w:rsid w:val="008A4FA3"/>
    <w:rsid w:val="008A50C2"/>
    <w:rsid w:val="008A5290"/>
    <w:rsid w:val="008A54C9"/>
    <w:rsid w:val="008A56D7"/>
    <w:rsid w:val="008A5718"/>
    <w:rsid w:val="008A576C"/>
    <w:rsid w:val="008A6010"/>
    <w:rsid w:val="008A61FA"/>
    <w:rsid w:val="008A661D"/>
    <w:rsid w:val="008A6C48"/>
    <w:rsid w:val="008A7285"/>
    <w:rsid w:val="008A74FB"/>
    <w:rsid w:val="008A7678"/>
    <w:rsid w:val="008A7976"/>
    <w:rsid w:val="008A7ADA"/>
    <w:rsid w:val="008B2E91"/>
    <w:rsid w:val="008B3434"/>
    <w:rsid w:val="008B3940"/>
    <w:rsid w:val="008B39F1"/>
    <w:rsid w:val="008B5694"/>
    <w:rsid w:val="008B5B05"/>
    <w:rsid w:val="008B5C01"/>
    <w:rsid w:val="008B6184"/>
    <w:rsid w:val="008B6AC9"/>
    <w:rsid w:val="008B6AD3"/>
    <w:rsid w:val="008B6B74"/>
    <w:rsid w:val="008B6DFA"/>
    <w:rsid w:val="008B7750"/>
    <w:rsid w:val="008B79A4"/>
    <w:rsid w:val="008C0C2D"/>
    <w:rsid w:val="008C23C3"/>
    <w:rsid w:val="008C2C29"/>
    <w:rsid w:val="008C3156"/>
    <w:rsid w:val="008C3C98"/>
    <w:rsid w:val="008C544A"/>
    <w:rsid w:val="008C5F4E"/>
    <w:rsid w:val="008C620E"/>
    <w:rsid w:val="008C697D"/>
    <w:rsid w:val="008C6E34"/>
    <w:rsid w:val="008C7018"/>
    <w:rsid w:val="008C7189"/>
    <w:rsid w:val="008C74E4"/>
    <w:rsid w:val="008C7A6F"/>
    <w:rsid w:val="008D0247"/>
    <w:rsid w:val="008D069E"/>
    <w:rsid w:val="008D2693"/>
    <w:rsid w:val="008D2995"/>
    <w:rsid w:val="008D2A34"/>
    <w:rsid w:val="008D3318"/>
    <w:rsid w:val="008D3F2B"/>
    <w:rsid w:val="008D4718"/>
    <w:rsid w:val="008D5228"/>
    <w:rsid w:val="008D54D0"/>
    <w:rsid w:val="008D5DF2"/>
    <w:rsid w:val="008D7C04"/>
    <w:rsid w:val="008E127B"/>
    <w:rsid w:val="008E1E1D"/>
    <w:rsid w:val="008E2871"/>
    <w:rsid w:val="008E30B0"/>
    <w:rsid w:val="008E3750"/>
    <w:rsid w:val="008E3F7D"/>
    <w:rsid w:val="008E3FCE"/>
    <w:rsid w:val="008E47DF"/>
    <w:rsid w:val="008E4AA6"/>
    <w:rsid w:val="008E51B1"/>
    <w:rsid w:val="008E61AA"/>
    <w:rsid w:val="008E622E"/>
    <w:rsid w:val="008E76BF"/>
    <w:rsid w:val="008E7836"/>
    <w:rsid w:val="008E7A79"/>
    <w:rsid w:val="008E7EC0"/>
    <w:rsid w:val="008F0320"/>
    <w:rsid w:val="008F074A"/>
    <w:rsid w:val="008F1D5A"/>
    <w:rsid w:val="008F28E3"/>
    <w:rsid w:val="008F2977"/>
    <w:rsid w:val="008F2CAD"/>
    <w:rsid w:val="008F30A7"/>
    <w:rsid w:val="008F3950"/>
    <w:rsid w:val="008F3D92"/>
    <w:rsid w:val="008F4070"/>
    <w:rsid w:val="008F5036"/>
    <w:rsid w:val="008F522F"/>
    <w:rsid w:val="008F54E2"/>
    <w:rsid w:val="008F5923"/>
    <w:rsid w:val="008F5BBF"/>
    <w:rsid w:val="008F712C"/>
    <w:rsid w:val="008F7E59"/>
    <w:rsid w:val="00900A95"/>
    <w:rsid w:val="00900C9B"/>
    <w:rsid w:val="0090203A"/>
    <w:rsid w:val="009020AC"/>
    <w:rsid w:val="0090275C"/>
    <w:rsid w:val="0090324C"/>
    <w:rsid w:val="00903541"/>
    <w:rsid w:val="00903F92"/>
    <w:rsid w:val="009047B2"/>
    <w:rsid w:val="00904906"/>
    <w:rsid w:val="00905116"/>
    <w:rsid w:val="00907628"/>
    <w:rsid w:val="0090795B"/>
    <w:rsid w:val="00907F56"/>
    <w:rsid w:val="00911231"/>
    <w:rsid w:val="00912719"/>
    <w:rsid w:val="00913E8D"/>
    <w:rsid w:val="009164D3"/>
    <w:rsid w:val="00916B8A"/>
    <w:rsid w:val="009173DB"/>
    <w:rsid w:val="00920B72"/>
    <w:rsid w:val="009238BD"/>
    <w:rsid w:val="009247F0"/>
    <w:rsid w:val="00924A54"/>
    <w:rsid w:val="00925E19"/>
    <w:rsid w:val="00926760"/>
    <w:rsid w:val="00926BF1"/>
    <w:rsid w:val="009273D3"/>
    <w:rsid w:val="009275EC"/>
    <w:rsid w:val="009278D6"/>
    <w:rsid w:val="00927F23"/>
    <w:rsid w:val="00927F50"/>
    <w:rsid w:val="00930380"/>
    <w:rsid w:val="009303A3"/>
    <w:rsid w:val="00930A3D"/>
    <w:rsid w:val="00930BE0"/>
    <w:rsid w:val="00930F6D"/>
    <w:rsid w:val="00932286"/>
    <w:rsid w:val="009325A8"/>
    <w:rsid w:val="009332DE"/>
    <w:rsid w:val="009355AF"/>
    <w:rsid w:val="009363AD"/>
    <w:rsid w:val="00936B68"/>
    <w:rsid w:val="00936BE7"/>
    <w:rsid w:val="00937700"/>
    <w:rsid w:val="00937AD0"/>
    <w:rsid w:val="00937DDC"/>
    <w:rsid w:val="00941290"/>
    <w:rsid w:val="0094176F"/>
    <w:rsid w:val="00941975"/>
    <w:rsid w:val="00941A63"/>
    <w:rsid w:val="009429C6"/>
    <w:rsid w:val="00942F67"/>
    <w:rsid w:val="00943A5A"/>
    <w:rsid w:val="00943D2B"/>
    <w:rsid w:val="009444E6"/>
    <w:rsid w:val="009449F7"/>
    <w:rsid w:val="0094592B"/>
    <w:rsid w:val="00945F75"/>
    <w:rsid w:val="009469E3"/>
    <w:rsid w:val="009500BB"/>
    <w:rsid w:val="0095047D"/>
    <w:rsid w:val="00950738"/>
    <w:rsid w:val="0095080D"/>
    <w:rsid w:val="00950B6C"/>
    <w:rsid w:val="00950BA8"/>
    <w:rsid w:val="0095101A"/>
    <w:rsid w:val="00951362"/>
    <w:rsid w:val="009515E5"/>
    <w:rsid w:val="00951EC9"/>
    <w:rsid w:val="00953698"/>
    <w:rsid w:val="00953F52"/>
    <w:rsid w:val="00953FA4"/>
    <w:rsid w:val="00954E12"/>
    <w:rsid w:val="009555D0"/>
    <w:rsid w:val="009555E0"/>
    <w:rsid w:val="00955AF6"/>
    <w:rsid w:val="009569DB"/>
    <w:rsid w:val="00960238"/>
    <w:rsid w:val="0096040F"/>
    <w:rsid w:val="00960537"/>
    <w:rsid w:val="0096053E"/>
    <w:rsid w:val="0096075A"/>
    <w:rsid w:val="00960867"/>
    <w:rsid w:val="00960931"/>
    <w:rsid w:val="00961FB3"/>
    <w:rsid w:val="0096219A"/>
    <w:rsid w:val="0096247C"/>
    <w:rsid w:val="009631CC"/>
    <w:rsid w:val="00963832"/>
    <w:rsid w:val="0096455C"/>
    <w:rsid w:val="00964A35"/>
    <w:rsid w:val="00964AF4"/>
    <w:rsid w:val="0096610B"/>
    <w:rsid w:val="0096638A"/>
    <w:rsid w:val="00966437"/>
    <w:rsid w:val="00966D40"/>
    <w:rsid w:val="009678EF"/>
    <w:rsid w:val="009709A0"/>
    <w:rsid w:val="00970DB3"/>
    <w:rsid w:val="00971675"/>
    <w:rsid w:val="00971F41"/>
    <w:rsid w:val="0097357D"/>
    <w:rsid w:val="00973B57"/>
    <w:rsid w:val="00973DCB"/>
    <w:rsid w:val="00974F42"/>
    <w:rsid w:val="009758B6"/>
    <w:rsid w:val="009758DA"/>
    <w:rsid w:val="00975FCA"/>
    <w:rsid w:val="00976250"/>
    <w:rsid w:val="0097640C"/>
    <w:rsid w:val="00976E5D"/>
    <w:rsid w:val="00977356"/>
    <w:rsid w:val="009774B8"/>
    <w:rsid w:val="00980908"/>
    <w:rsid w:val="009809B2"/>
    <w:rsid w:val="0098140B"/>
    <w:rsid w:val="0098188A"/>
    <w:rsid w:val="009822B8"/>
    <w:rsid w:val="00982B43"/>
    <w:rsid w:val="00982E42"/>
    <w:rsid w:val="00982E50"/>
    <w:rsid w:val="00983BBC"/>
    <w:rsid w:val="00983D70"/>
    <w:rsid w:val="00985ED0"/>
    <w:rsid w:val="00985F8A"/>
    <w:rsid w:val="009862CB"/>
    <w:rsid w:val="00986DE7"/>
    <w:rsid w:val="0098734B"/>
    <w:rsid w:val="00987D2F"/>
    <w:rsid w:val="00990D5C"/>
    <w:rsid w:val="00991A09"/>
    <w:rsid w:val="00991B62"/>
    <w:rsid w:val="00991D08"/>
    <w:rsid w:val="0099208C"/>
    <w:rsid w:val="009932C5"/>
    <w:rsid w:val="009935F2"/>
    <w:rsid w:val="00993777"/>
    <w:rsid w:val="00994EC2"/>
    <w:rsid w:val="00994FBC"/>
    <w:rsid w:val="009958AC"/>
    <w:rsid w:val="0099622E"/>
    <w:rsid w:val="00996550"/>
    <w:rsid w:val="0099676F"/>
    <w:rsid w:val="00996D70"/>
    <w:rsid w:val="00997078"/>
    <w:rsid w:val="00997483"/>
    <w:rsid w:val="0099750A"/>
    <w:rsid w:val="009A0558"/>
    <w:rsid w:val="009A0745"/>
    <w:rsid w:val="009A174B"/>
    <w:rsid w:val="009A1CB6"/>
    <w:rsid w:val="009A20F7"/>
    <w:rsid w:val="009A21B4"/>
    <w:rsid w:val="009A2C74"/>
    <w:rsid w:val="009A30DE"/>
    <w:rsid w:val="009A31B2"/>
    <w:rsid w:val="009A325F"/>
    <w:rsid w:val="009A3341"/>
    <w:rsid w:val="009A3B61"/>
    <w:rsid w:val="009A45D2"/>
    <w:rsid w:val="009A4638"/>
    <w:rsid w:val="009A46F1"/>
    <w:rsid w:val="009A5191"/>
    <w:rsid w:val="009A51ED"/>
    <w:rsid w:val="009A540D"/>
    <w:rsid w:val="009A5786"/>
    <w:rsid w:val="009A5AF4"/>
    <w:rsid w:val="009A5C77"/>
    <w:rsid w:val="009A6212"/>
    <w:rsid w:val="009B0B01"/>
    <w:rsid w:val="009B0F2B"/>
    <w:rsid w:val="009B17AF"/>
    <w:rsid w:val="009B1B57"/>
    <w:rsid w:val="009B1FCF"/>
    <w:rsid w:val="009B2586"/>
    <w:rsid w:val="009B2818"/>
    <w:rsid w:val="009B2AB4"/>
    <w:rsid w:val="009B30D4"/>
    <w:rsid w:val="009B35AA"/>
    <w:rsid w:val="009B3CDA"/>
    <w:rsid w:val="009B3E05"/>
    <w:rsid w:val="009B4700"/>
    <w:rsid w:val="009B4B9E"/>
    <w:rsid w:val="009B5F6F"/>
    <w:rsid w:val="009B6F49"/>
    <w:rsid w:val="009B7939"/>
    <w:rsid w:val="009C0C62"/>
    <w:rsid w:val="009C0FA8"/>
    <w:rsid w:val="009C164C"/>
    <w:rsid w:val="009C18A9"/>
    <w:rsid w:val="009C2387"/>
    <w:rsid w:val="009C2D7F"/>
    <w:rsid w:val="009C2F3D"/>
    <w:rsid w:val="009C3753"/>
    <w:rsid w:val="009C387E"/>
    <w:rsid w:val="009C3AC0"/>
    <w:rsid w:val="009C4C97"/>
    <w:rsid w:val="009C4E25"/>
    <w:rsid w:val="009C7084"/>
    <w:rsid w:val="009C757B"/>
    <w:rsid w:val="009C769C"/>
    <w:rsid w:val="009D00BB"/>
    <w:rsid w:val="009D0770"/>
    <w:rsid w:val="009D1A57"/>
    <w:rsid w:val="009D2660"/>
    <w:rsid w:val="009D3565"/>
    <w:rsid w:val="009D37A1"/>
    <w:rsid w:val="009D392B"/>
    <w:rsid w:val="009D456A"/>
    <w:rsid w:val="009D4571"/>
    <w:rsid w:val="009D4952"/>
    <w:rsid w:val="009D5EEC"/>
    <w:rsid w:val="009D612C"/>
    <w:rsid w:val="009D6372"/>
    <w:rsid w:val="009D69EB"/>
    <w:rsid w:val="009D784F"/>
    <w:rsid w:val="009D7B72"/>
    <w:rsid w:val="009E0AF5"/>
    <w:rsid w:val="009E0AF9"/>
    <w:rsid w:val="009E13CD"/>
    <w:rsid w:val="009E1447"/>
    <w:rsid w:val="009E1870"/>
    <w:rsid w:val="009E2EEF"/>
    <w:rsid w:val="009E3307"/>
    <w:rsid w:val="009E3AC4"/>
    <w:rsid w:val="009E5B38"/>
    <w:rsid w:val="009E5C7E"/>
    <w:rsid w:val="009E60BE"/>
    <w:rsid w:val="009E7731"/>
    <w:rsid w:val="009F04C2"/>
    <w:rsid w:val="009F0543"/>
    <w:rsid w:val="009F16E7"/>
    <w:rsid w:val="009F19BA"/>
    <w:rsid w:val="009F2C83"/>
    <w:rsid w:val="009F38F2"/>
    <w:rsid w:val="009F3F57"/>
    <w:rsid w:val="009F4824"/>
    <w:rsid w:val="009F4B61"/>
    <w:rsid w:val="009F5DC4"/>
    <w:rsid w:val="009F5F0C"/>
    <w:rsid w:val="009F6DC9"/>
    <w:rsid w:val="009F7DB1"/>
    <w:rsid w:val="00A002AF"/>
    <w:rsid w:val="00A00960"/>
    <w:rsid w:val="00A011D8"/>
    <w:rsid w:val="00A01220"/>
    <w:rsid w:val="00A01527"/>
    <w:rsid w:val="00A01FC8"/>
    <w:rsid w:val="00A02474"/>
    <w:rsid w:val="00A02C1E"/>
    <w:rsid w:val="00A02DC5"/>
    <w:rsid w:val="00A03A03"/>
    <w:rsid w:val="00A0487E"/>
    <w:rsid w:val="00A05CF6"/>
    <w:rsid w:val="00A100AD"/>
    <w:rsid w:val="00A10C29"/>
    <w:rsid w:val="00A10D1B"/>
    <w:rsid w:val="00A11675"/>
    <w:rsid w:val="00A11CA3"/>
    <w:rsid w:val="00A12997"/>
    <w:rsid w:val="00A12C85"/>
    <w:rsid w:val="00A13438"/>
    <w:rsid w:val="00A136C1"/>
    <w:rsid w:val="00A13849"/>
    <w:rsid w:val="00A13CC3"/>
    <w:rsid w:val="00A143D0"/>
    <w:rsid w:val="00A14466"/>
    <w:rsid w:val="00A14641"/>
    <w:rsid w:val="00A1552F"/>
    <w:rsid w:val="00A16410"/>
    <w:rsid w:val="00A169A5"/>
    <w:rsid w:val="00A17D26"/>
    <w:rsid w:val="00A203E2"/>
    <w:rsid w:val="00A215CC"/>
    <w:rsid w:val="00A22E95"/>
    <w:rsid w:val="00A2384C"/>
    <w:rsid w:val="00A23ACD"/>
    <w:rsid w:val="00A2466B"/>
    <w:rsid w:val="00A24D9A"/>
    <w:rsid w:val="00A25705"/>
    <w:rsid w:val="00A26741"/>
    <w:rsid w:val="00A26D79"/>
    <w:rsid w:val="00A27EBF"/>
    <w:rsid w:val="00A300C2"/>
    <w:rsid w:val="00A30ABB"/>
    <w:rsid w:val="00A3114C"/>
    <w:rsid w:val="00A313CB"/>
    <w:rsid w:val="00A31E08"/>
    <w:rsid w:val="00A332BC"/>
    <w:rsid w:val="00A33330"/>
    <w:rsid w:val="00A33A6C"/>
    <w:rsid w:val="00A33B37"/>
    <w:rsid w:val="00A34840"/>
    <w:rsid w:val="00A34E54"/>
    <w:rsid w:val="00A35D6D"/>
    <w:rsid w:val="00A35FBA"/>
    <w:rsid w:val="00A36883"/>
    <w:rsid w:val="00A36AC5"/>
    <w:rsid w:val="00A3775B"/>
    <w:rsid w:val="00A37DB8"/>
    <w:rsid w:val="00A40126"/>
    <w:rsid w:val="00A40A0F"/>
    <w:rsid w:val="00A41405"/>
    <w:rsid w:val="00A415F3"/>
    <w:rsid w:val="00A41A62"/>
    <w:rsid w:val="00A41B94"/>
    <w:rsid w:val="00A41E3C"/>
    <w:rsid w:val="00A42464"/>
    <w:rsid w:val="00A42B62"/>
    <w:rsid w:val="00A43B4A"/>
    <w:rsid w:val="00A43DD6"/>
    <w:rsid w:val="00A44281"/>
    <w:rsid w:val="00A45487"/>
    <w:rsid w:val="00A45785"/>
    <w:rsid w:val="00A45E11"/>
    <w:rsid w:val="00A46116"/>
    <w:rsid w:val="00A46625"/>
    <w:rsid w:val="00A4670B"/>
    <w:rsid w:val="00A46CD9"/>
    <w:rsid w:val="00A47018"/>
    <w:rsid w:val="00A47585"/>
    <w:rsid w:val="00A506C4"/>
    <w:rsid w:val="00A50BC5"/>
    <w:rsid w:val="00A51AC9"/>
    <w:rsid w:val="00A521DE"/>
    <w:rsid w:val="00A5294A"/>
    <w:rsid w:val="00A52BD9"/>
    <w:rsid w:val="00A52F8F"/>
    <w:rsid w:val="00A53CD5"/>
    <w:rsid w:val="00A542E8"/>
    <w:rsid w:val="00A553B6"/>
    <w:rsid w:val="00A56C2B"/>
    <w:rsid w:val="00A57153"/>
    <w:rsid w:val="00A57308"/>
    <w:rsid w:val="00A57713"/>
    <w:rsid w:val="00A57762"/>
    <w:rsid w:val="00A60BD8"/>
    <w:rsid w:val="00A60E5C"/>
    <w:rsid w:val="00A612C6"/>
    <w:rsid w:val="00A61C14"/>
    <w:rsid w:val="00A6318C"/>
    <w:rsid w:val="00A63D5B"/>
    <w:rsid w:val="00A646CD"/>
    <w:rsid w:val="00A64726"/>
    <w:rsid w:val="00A64820"/>
    <w:rsid w:val="00A65303"/>
    <w:rsid w:val="00A66A62"/>
    <w:rsid w:val="00A66C5C"/>
    <w:rsid w:val="00A701B8"/>
    <w:rsid w:val="00A704F2"/>
    <w:rsid w:val="00A70A05"/>
    <w:rsid w:val="00A7115F"/>
    <w:rsid w:val="00A731ED"/>
    <w:rsid w:val="00A73A08"/>
    <w:rsid w:val="00A7565A"/>
    <w:rsid w:val="00A7577A"/>
    <w:rsid w:val="00A758F1"/>
    <w:rsid w:val="00A75BA3"/>
    <w:rsid w:val="00A75EC7"/>
    <w:rsid w:val="00A76783"/>
    <w:rsid w:val="00A76C58"/>
    <w:rsid w:val="00A77259"/>
    <w:rsid w:val="00A77BC1"/>
    <w:rsid w:val="00A77EF0"/>
    <w:rsid w:val="00A802C3"/>
    <w:rsid w:val="00A8052A"/>
    <w:rsid w:val="00A80DA8"/>
    <w:rsid w:val="00A80DAA"/>
    <w:rsid w:val="00A82E9F"/>
    <w:rsid w:val="00A8314E"/>
    <w:rsid w:val="00A835A3"/>
    <w:rsid w:val="00A837C7"/>
    <w:rsid w:val="00A83853"/>
    <w:rsid w:val="00A83A12"/>
    <w:rsid w:val="00A850B6"/>
    <w:rsid w:val="00A85809"/>
    <w:rsid w:val="00A86399"/>
    <w:rsid w:val="00A879CE"/>
    <w:rsid w:val="00A87A50"/>
    <w:rsid w:val="00A90A2B"/>
    <w:rsid w:val="00A9181E"/>
    <w:rsid w:val="00A92F95"/>
    <w:rsid w:val="00A930B2"/>
    <w:rsid w:val="00A962F7"/>
    <w:rsid w:val="00A96611"/>
    <w:rsid w:val="00A974E0"/>
    <w:rsid w:val="00AA0D6C"/>
    <w:rsid w:val="00AA1234"/>
    <w:rsid w:val="00AA1D27"/>
    <w:rsid w:val="00AA30E9"/>
    <w:rsid w:val="00AA3E48"/>
    <w:rsid w:val="00AA44EE"/>
    <w:rsid w:val="00AA599F"/>
    <w:rsid w:val="00AA66BB"/>
    <w:rsid w:val="00AA6A50"/>
    <w:rsid w:val="00AB12DF"/>
    <w:rsid w:val="00AB15A9"/>
    <w:rsid w:val="00AB1C59"/>
    <w:rsid w:val="00AB2070"/>
    <w:rsid w:val="00AB2398"/>
    <w:rsid w:val="00AB32E7"/>
    <w:rsid w:val="00AB3E9C"/>
    <w:rsid w:val="00AB3FA2"/>
    <w:rsid w:val="00AB463B"/>
    <w:rsid w:val="00AB5007"/>
    <w:rsid w:val="00AB653B"/>
    <w:rsid w:val="00AB6F13"/>
    <w:rsid w:val="00AB7456"/>
    <w:rsid w:val="00AB784D"/>
    <w:rsid w:val="00AB7916"/>
    <w:rsid w:val="00AC1776"/>
    <w:rsid w:val="00AC1E0B"/>
    <w:rsid w:val="00AC4B33"/>
    <w:rsid w:val="00AC50D3"/>
    <w:rsid w:val="00AC5341"/>
    <w:rsid w:val="00AC54C8"/>
    <w:rsid w:val="00AC5F2C"/>
    <w:rsid w:val="00AC621B"/>
    <w:rsid w:val="00AC63C1"/>
    <w:rsid w:val="00AC656E"/>
    <w:rsid w:val="00AD0063"/>
    <w:rsid w:val="00AD01AF"/>
    <w:rsid w:val="00AD09CE"/>
    <w:rsid w:val="00AD1067"/>
    <w:rsid w:val="00AD17D8"/>
    <w:rsid w:val="00AD1B98"/>
    <w:rsid w:val="00AD2785"/>
    <w:rsid w:val="00AD5510"/>
    <w:rsid w:val="00AD5740"/>
    <w:rsid w:val="00AD67E2"/>
    <w:rsid w:val="00AD698F"/>
    <w:rsid w:val="00AD69ED"/>
    <w:rsid w:val="00AD6AC2"/>
    <w:rsid w:val="00AD7129"/>
    <w:rsid w:val="00AD7B4C"/>
    <w:rsid w:val="00AE1320"/>
    <w:rsid w:val="00AE1E12"/>
    <w:rsid w:val="00AE3996"/>
    <w:rsid w:val="00AE42D1"/>
    <w:rsid w:val="00AE46E8"/>
    <w:rsid w:val="00AE593E"/>
    <w:rsid w:val="00AE5A47"/>
    <w:rsid w:val="00AE5B65"/>
    <w:rsid w:val="00AE6B98"/>
    <w:rsid w:val="00AE74D3"/>
    <w:rsid w:val="00AE7B7E"/>
    <w:rsid w:val="00AF0496"/>
    <w:rsid w:val="00AF04CB"/>
    <w:rsid w:val="00AF0E2B"/>
    <w:rsid w:val="00AF0F58"/>
    <w:rsid w:val="00AF1BDB"/>
    <w:rsid w:val="00AF1FB9"/>
    <w:rsid w:val="00AF22A8"/>
    <w:rsid w:val="00AF25CA"/>
    <w:rsid w:val="00AF32B1"/>
    <w:rsid w:val="00AF354D"/>
    <w:rsid w:val="00AF3987"/>
    <w:rsid w:val="00AF3C12"/>
    <w:rsid w:val="00AF54A5"/>
    <w:rsid w:val="00AF5C88"/>
    <w:rsid w:val="00AF64FF"/>
    <w:rsid w:val="00AF651C"/>
    <w:rsid w:val="00AF6586"/>
    <w:rsid w:val="00AF6830"/>
    <w:rsid w:val="00AF70DF"/>
    <w:rsid w:val="00AF726D"/>
    <w:rsid w:val="00AF7617"/>
    <w:rsid w:val="00B002A7"/>
    <w:rsid w:val="00B00B7E"/>
    <w:rsid w:val="00B00FDD"/>
    <w:rsid w:val="00B01028"/>
    <w:rsid w:val="00B0143E"/>
    <w:rsid w:val="00B0153A"/>
    <w:rsid w:val="00B02458"/>
    <w:rsid w:val="00B02FF0"/>
    <w:rsid w:val="00B03995"/>
    <w:rsid w:val="00B044A0"/>
    <w:rsid w:val="00B054D7"/>
    <w:rsid w:val="00B055FE"/>
    <w:rsid w:val="00B05784"/>
    <w:rsid w:val="00B0604D"/>
    <w:rsid w:val="00B061BB"/>
    <w:rsid w:val="00B06D01"/>
    <w:rsid w:val="00B0737E"/>
    <w:rsid w:val="00B079C9"/>
    <w:rsid w:val="00B07D0B"/>
    <w:rsid w:val="00B07EE8"/>
    <w:rsid w:val="00B10E75"/>
    <w:rsid w:val="00B111B0"/>
    <w:rsid w:val="00B1135D"/>
    <w:rsid w:val="00B1144B"/>
    <w:rsid w:val="00B12CC8"/>
    <w:rsid w:val="00B137AA"/>
    <w:rsid w:val="00B157D9"/>
    <w:rsid w:val="00B1581E"/>
    <w:rsid w:val="00B15EA8"/>
    <w:rsid w:val="00B162C8"/>
    <w:rsid w:val="00B16DB0"/>
    <w:rsid w:val="00B16E0F"/>
    <w:rsid w:val="00B16EEB"/>
    <w:rsid w:val="00B17F78"/>
    <w:rsid w:val="00B20D2A"/>
    <w:rsid w:val="00B21B47"/>
    <w:rsid w:val="00B2239F"/>
    <w:rsid w:val="00B22674"/>
    <w:rsid w:val="00B22820"/>
    <w:rsid w:val="00B22C3B"/>
    <w:rsid w:val="00B22CA0"/>
    <w:rsid w:val="00B22F29"/>
    <w:rsid w:val="00B2350C"/>
    <w:rsid w:val="00B23F93"/>
    <w:rsid w:val="00B25169"/>
    <w:rsid w:val="00B257DA"/>
    <w:rsid w:val="00B25984"/>
    <w:rsid w:val="00B25D22"/>
    <w:rsid w:val="00B26453"/>
    <w:rsid w:val="00B26AA3"/>
    <w:rsid w:val="00B27722"/>
    <w:rsid w:val="00B3078E"/>
    <w:rsid w:val="00B30F13"/>
    <w:rsid w:val="00B315DE"/>
    <w:rsid w:val="00B31618"/>
    <w:rsid w:val="00B31ED3"/>
    <w:rsid w:val="00B32304"/>
    <w:rsid w:val="00B33320"/>
    <w:rsid w:val="00B345AD"/>
    <w:rsid w:val="00B348D0"/>
    <w:rsid w:val="00B35345"/>
    <w:rsid w:val="00B35A43"/>
    <w:rsid w:val="00B35D97"/>
    <w:rsid w:val="00B35E06"/>
    <w:rsid w:val="00B35E5C"/>
    <w:rsid w:val="00B365E9"/>
    <w:rsid w:val="00B36BB7"/>
    <w:rsid w:val="00B40630"/>
    <w:rsid w:val="00B406E4"/>
    <w:rsid w:val="00B41FBE"/>
    <w:rsid w:val="00B4255F"/>
    <w:rsid w:val="00B42806"/>
    <w:rsid w:val="00B429F6"/>
    <w:rsid w:val="00B43998"/>
    <w:rsid w:val="00B43DF3"/>
    <w:rsid w:val="00B4491C"/>
    <w:rsid w:val="00B44DB5"/>
    <w:rsid w:val="00B45098"/>
    <w:rsid w:val="00B455B9"/>
    <w:rsid w:val="00B45A45"/>
    <w:rsid w:val="00B45C6C"/>
    <w:rsid w:val="00B45ED8"/>
    <w:rsid w:val="00B46449"/>
    <w:rsid w:val="00B47313"/>
    <w:rsid w:val="00B506FA"/>
    <w:rsid w:val="00B50ECA"/>
    <w:rsid w:val="00B51131"/>
    <w:rsid w:val="00B516ED"/>
    <w:rsid w:val="00B51D60"/>
    <w:rsid w:val="00B529F3"/>
    <w:rsid w:val="00B53CB2"/>
    <w:rsid w:val="00B55D63"/>
    <w:rsid w:val="00B563CA"/>
    <w:rsid w:val="00B569CF"/>
    <w:rsid w:val="00B577B9"/>
    <w:rsid w:val="00B57B33"/>
    <w:rsid w:val="00B57D69"/>
    <w:rsid w:val="00B60753"/>
    <w:rsid w:val="00B61101"/>
    <w:rsid w:val="00B62102"/>
    <w:rsid w:val="00B62832"/>
    <w:rsid w:val="00B628F5"/>
    <w:rsid w:val="00B629AA"/>
    <w:rsid w:val="00B634F1"/>
    <w:rsid w:val="00B65185"/>
    <w:rsid w:val="00B65286"/>
    <w:rsid w:val="00B65DBC"/>
    <w:rsid w:val="00B70064"/>
    <w:rsid w:val="00B707DF"/>
    <w:rsid w:val="00B7102E"/>
    <w:rsid w:val="00B7151B"/>
    <w:rsid w:val="00B716CB"/>
    <w:rsid w:val="00B719E1"/>
    <w:rsid w:val="00B7287C"/>
    <w:rsid w:val="00B72C9A"/>
    <w:rsid w:val="00B73397"/>
    <w:rsid w:val="00B735CD"/>
    <w:rsid w:val="00B7365F"/>
    <w:rsid w:val="00B746BC"/>
    <w:rsid w:val="00B74BE1"/>
    <w:rsid w:val="00B763F0"/>
    <w:rsid w:val="00B76F8E"/>
    <w:rsid w:val="00B8167F"/>
    <w:rsid w:val="00B8289A"/>
    <w:rsid w:val="00B82FD2"/>
    <w:rsid w:val="00B84535"/>
    <w:rsid w:val="00B846B0"/>
    <w:rsid w:val="00B847D9"/>
    <w:rsid w:val="00B84D4B"/>
    <w:rsid w:val="00B84E07"/>
    <w:rsid w:val="00B85093"/>
    <w:rsid w:val="00B8542B"/>
    <w:rsid w:val="00B86353"/>
    <w:rsid w:val="00B87889"/>
    <w:rsid w:val="00B9262E"/>
    <w:rsid w:val="00B944B8"/>
    <w:rsid w:val="00B95B5F"/>
    <w:rsid w:val="00B9602B"/>
    <w:rsid w:val="00B9617D"/>
    <w:rsid w:val="00B964F3"/>
    <w:rsid w:val="00B96B3E"/>
    <w:rsid w:val="00B97B11"/>
    <w:rsid w:val="00BA04FF"/>
    <w:rsid w:val="00BA0829"/>
    <w:rsid w:val="00BA0E4E"/>
    <w:rsid w:val="00BA156A"/>
    <w:rsid w:val="00BA1A48"/>
    <w:rsid w:val="00BA1FCB"/>
    <w:rsid w:val="00BA2F89"/>
    <w:rsid w:val="00BA3415"/>
    <w:rsid w:val="00BA3A55"/>
    <w:rsid w:val="00BA3C73"/>
    <w:rsid w:val="00BA492F"/>
    <w:rsid w:val="00BA4E40"/>
    <w:rsid w:val="00BA5995"/>
    <w:rsid w:val="00BA60E5"/>
    <w:rsid w:val="00BA60FA"/>
    <w:rsid w:val="00BA6548"/>
    <w:rsid w:val="00BA7312"/>
    <w:rsid w:val="00BA774D"/>
    <w:rsid w:val="00BB05BA"/>
    <w:rsid w:val="00BB1001"/>
    <w:rsid w:val="00BB2244"/>
    <w:rsid w:val="00BB2858"/>
    <w:rsid w:val="00BB2886"/>
    <w:rsid w:val="00BB34D7"/>
    <w:rsid w:val="00BB4277"/>
    <w:rsid w:val="00BB444B"/>
    <w:rsid w:val="00BB4E5D"/>
    <w:rsid w:val="00BB5294"/>
    <w:rsid w:val="00BB7137"/>
    <w:rsid w:val="00BC025A"/>
    <w:rsid w:val="00BC1B08"/>
    <w:rsid w:val="00BC2D38"/>
    <w:rsid w:val="00BC2D99"/>
    <w:rsid w:val="00BC3484"/>
    <w:rsid w:val="00BC3F99"/>
    <w:rsid w:val="00BC5795"/>
    <w:rsid w:val="00BC5847"/>
    <w:rsid w:val="00BC5EB2"/>
    <w:rsid w:val="00BC70BC"/>
    <w:rsid w:val="00BC71AE"/>
    <w:rsid w:val="00BC7C14"/>
    <w:rsid w:val="00BD0C78"/>
    <w:rsid w:val="00BD1678"/>
    <w:rsid w:val="00BD1FBC"/>
    <w:rsid w:val="00BD2164"/>
    <w:rsid w:val="00BD276A"/>
    <w:rsid w:val="00BD4A17"/>
    <w:rsid w:val="00BD4E3D"/>
    <w:rsid w:val="00BD518A"/>
    <w:rsid w:val="00BD5D4C"/>
    <w:rsid w:val="00BD5FAA"/>
    <w:rsid w:val="00BD6323"/>
    <w:rsid w:val="00BD660B"/>
    <w:rsid w:val="00BE07CA"/>
    <w:rsid w:val="00BE1C39"/>
    <w:rsid w:val="00BE1CDC"/>
    <w:rsid w:val="00BE2082"/>
    <w:rsid w:val="00BE2857"/>
    <w:rsid w:val="00BE2D51"/>
    <w:rsid w:val="00BE3731"/>
    <w:rsid w:val="00BE3873"/>
    <w:rsid w:val="00BE506F"/>
    <w:rsid w:val="00BE53CD"/>
    <w:rsid w:val="00BE6619"/>
    <w:rsid w:val="00BE718B"/>
    <w:rsid w:val="00BE73F7"/>
    <w:rsid w:val="00BE7770"/>
    <w:rsid w:val="00BF0940"/>
    <w:rsid w:val="00BF1334"/>
    <w:rsid w:val="00BF137A"/>
    <w:rsid w:val="00BF1B91"/>
    <w:rsid w:val="00BF1E2C"/>
    <w:rsid w:val="00BF3255"/>
    <w:rsid w:val="00BF426D"/>
    <w:rsid w:val="00BF42E7"/>
    <w:rsid w:val="00BF4AFA"/>
    <w:rsid w:val="00BF5086"/>
    <w:rsid w:val="00BF5370"/>
    <w:rsid w:val="00BF5C9D"/>
    <w:rsid w:val="00BF6718"/>
    <w:rsid w:val="00BF6780"/>
    <w:rsid w:val="00BF680C"/>
    <w:rsid w:val="00BF6DD8"/>
    <w:rsid w:val="00BF6FCD"/>
    <w:rsid w:val="00BF7125"/>
    <w:rsid w:val="00BF7696"/>
    <w:rsid w:val="00BF7868"/>
    <w:rsid w:val="00C00528"/>
    <w:rsid w:val="00C00565"/>
    <w:rsid w:val="00C00A53"/>
    <w:rsid w:val="00C00B93"/>
    <w:rsid w:val="00C00D33"/>
    <w:rsid w:val="00C01C5D"/>
    <w:rsid w:val="00C022CB"/>
    <w:rsid w:val="00C024D6"/>
    <w:rsid w:val="00C028AD"/>
    <w:rsid w:val="00C02C85"/>
    <w:rsid w:val="00C0396B"/>
    <w:rsid w:val="00C04C21"/>
    <w:rsid w:val="00C052B1"/>
    <w:rsid w:val="00C06AB3"/>
    <w:rsid w:val="00C07001"/>
    <w:rsid w:val="00C11555"/>
    <w:rsid w:val="00C1256A"/>
    <w:rsid w:val="00C12721"/>
    <w:rsid w:val="00C13AAC"/>
    <w:rsid w:val="00C13EF5"/>
    <w:rsid w:val="00C14FC5"/>
    <w:rsid w:val="00C154B1"/>
    <w:rsid w:val="00C15D64"/>
    <w:rsid w:val="00C1611E"/>
    <w:rsid w:val="00C168B8"/>
    <w:rsid w:val="00C17D22"/>
    <w:rsid w:val="00C20AE0"/>
    <w:rsid w:val="00C20D1D"/>
    <w:rsid w:val="00C21AC8"/>
    <w:rsid w:val="00C221F2"/>
    <w:rsid w:val="00C2288F"/>
    <w:rsid w:val="00C230C0"/>
    <w:rsid w:val="00C23AB6"/>
    <w:rsid w:val="00C23E23"/>
    <w:rsid w:val="00C23F90"/>
    <w:rsid w:val="00C243F8"/>
    <w:rsid w:val="00C24CD1"/>
    <w:rsid w:val="00C256AD"/>
    <w:rsid w:val="00C2591E"/>
    <w:rsid w:val="00C25A69"/>
    <w:rsid w:val="00C25D42"/>
    <w:rsid w:val="00C25D68"/>
    <w:rsid w:val="00C26EF8"/>
    <w:rsid w:val="00C278F2"/>
    <w:rsid w:val="00C303FC"/>
    <w:rsid w:val="00C306BD"/>
    <w:rsid w:val="00C30BF7"/>
    <w:rsid w:val="00C30CA8"/>
    <w:rsid w:val="00C30EF5"/>
    <w:rsid w:val="00C31CBD"/>
    <w:rsid w:val="00C32596"/>
    <w:rsid w:val="00C326A6"/>
    <w:rsid w:val="00C338C7"/>
    <w:rsid w:val="00C339D3"/>
    <w:rsid w:val="00C34D4D"/>
    <w:rsid w:val="00C358E9"/>
    <w:rsid w:val="00C358F4"/>
    <w:rsid w:val="00C35C11"/>
    <w:rsid w:val="00C36525"/>
    <w:rsid w:val="00C365EA"/>
    <w:rsid w:val="00C369A5"/>
    <w:rsid w:val="00C3757D"/>
    <w:rsid w:val="00C37A7C"/>
    <w:rsid w:val="00C40A54"/>
    <w:rsid w:val="00C40CE3"/>
    <w:rsid w:val="00C40E54"/>
    <w:rsid w:val="00C42D57"/>
    <w:rsid w:val="00C43A58"/>
    <w:rsid w:val="00C442D4"/>
    <w:rsid w:val="00C444BA"/>
    <w:rsid w:val="00C44673"/>
    <w:rsid w:val="00C446C1"/>
    <w:rsid w:val="00C453DA"/>
    <w:rsid w:val="00C455DD"/>
    <w:rsid w:val="00C461A9"/>
    <w:rsid w:val="00C46358"/>
    <w:rsid w:val="00C46C36"/>
    <w:rsid w:val="00C47067"/>
    <w:rsid w:val="00C474B5"/>
    <w:rsid w:val="00C50389"/>
    <w:rsid w:val="00C5059C"/>
    <w:rsid w:val="00C511D0"/>
    <w:rsid w:val="00C5151E"/>
    <w:rsid w:val="00C51A57"/>
    <w:rsid w:val="00C52186"/>
    <w:rsid w:val="00C52FFF"/>
    <w:rsid w:val="00C539B0"/>
    <w:rsid w:val="00C547B8"/>
    <w:rsid w:val="00C54BE9"/>
    <w:rsid w:val="00C56698"/>
    <w:rsid w:val="00C56C0F"/>
    <w:rsid w:val="00C574F2"/>
    <w:rsid w:val="00C60490"/>
    <w:rsid w:val="00C60AA6"/>
    <w:rsid w:val="00C60C41"/>
    <w:rsid w:val="00C61615"/>
    <w:rsid w:val="00C62B4E"/>
    <w:rsid w:val="00C630BF"/>
    <w:rsid w:val="00C64765"/>
    <w:rsid w:val="00C6530B"/>
    <w:rsid w:val="00C65988"/>
    <w:rsid w:val="00C66A57"/>
    <w:rsid w:val="00C67A0E"/>
    <w:rsid w:val="00C706B1"/>
    <w:rsid w:val="00C7096E"/>
    <w:rsid w:val="00C71514"/>
    <w:rsid w:val="00C71890"/>
    <w:rsid w:val="00C72086"/>
    <w:rsid w:val="00C72A03"/>
    <w:rsid w:val="00C7335F"/>
    <w:rsid w:val="00C736BC"/>
    <w:rsid w:val="00C73F65"/>
    <w:rsid w:val="00C7428E"/>
    <w:rsid w:val="00C74910"/>
    <w:rsid w:val="00C75805"/>
    <w:rsid w:val="00C75A99"/>
    <w:rsid w:val="00C763D2"/>
    <w:rsid w:val="00C76AD2"/>
    <w:rsid w:val="00C76ED0"/>
    <w:rsid w:val="00C77333"/>
    <w:rsid w:val="00C77682"/>
    <w:rsid w:val="00C77EE1"/>
    <w:rsid w:val="00C80631"/>
    <w:rsid w:val="00C80D9F"/>
    <w:rsid w:val="00C80E79"/>
    <w:rsid w:val="00C81367"/>
    <w:rsid w:val="00C81B0A"/>
    <w:rsid w:val="00C8218A"/>
    <w:rsid w:val="00C821D0"/>
    <w:rsid w:val="00C832FF"/>
    <w:rsid w:val="00C83CC5"/>
    <w:rsid w:val="00C83DC3"/>
    <w:rsid w:val="00C84CEE"/>
    <w:rsid w:val="00C84D1E"/>
    <w:rsid w:val="00C851AA"/>
    <w:rsid w:val="00C8582F"/>
    <w:rsid w:val="00C85BEB"/>
    <w:rsid w:val="00C87113"/>
    <w:rsid w:val="00C87C9A"/>
    <w:rsid w:val="00C907ED"/>
    <w:rsid w:val="00C90A3D"/>
    <w:rsid w:val="00C91955"/>
    <w:rsid w:val="00C935FC"/>
    <w:rsid w:val="00C93E0D"/>
    <w:rsid w:val="00C94A36"/>
    <w:rsid w:val="00C94FE4"/>
    <w:rsid w:val="00C9592E"/>
    <w:rsid w:val="00C96651"/>
    <w:rsid w:val="00C96CFC"/>
    <w:rsid w:val="00C96E79"/>
    <w:rsid w:val="00C97725"/>
    <w:rsid w:val="00C97A04"/>
    <w:rsid w:val="00CA04FA"/>
    <w:rsid w:val="00CA0CB5"/>
    <w:rsid w:val="00CA1B94"/>
    <w:rsid w:val="00CA1CB9"/>
    <w:rsid w:val="00CA2325"/>
    <w:rsid w:val="00CA27FE"/>
    <w:rsid w:val="00CA4900"/>
    <w:rsid w:val="00CA493A"/>
    <w:rsid w:val="00CA599B"/>
    <w:rsid w:val="00CA656E"/>
    <w:rsid w:val="00CA735E"/>
    <w:rsid w:val="00CB0AFE"/>
    <w:rsid w:val="00CB1349"/>
    <w:rsid w:val="00CB16F7"/>
    <w:rsid w:val="00CB28E8"/>
    <w:rsid w:val="00CB413C"/>
    <w:rsid w:val="00CB4833"/>
    <w:rsid w:val="00CB5068"/>
    <w:rsid w:val="00CB61BA"/>
    <w:rsid w:val="00CB62E9"/>
    <w:rsid w:val="00CB654E"/>
    <w:rsid w:val="00CB67A8"/>
    <w:rsid w:val="00CB6AB6"/>
    <w:rsid w:val="00CB7583"/>
    <w:rsid w:val="00CC0311"/>
    <w:rsid w:val="00CC06D1"/>
    <w:rsid w:val="00CC0779"/>
    <w:rsid w:val="00CC0DF5"/>
    <w:rsid w:val="00CC1A6B"/>
    <w:rsid w:val="00CC1B8E"/>
    <w:rsid w:val="00CC1E5B"/>
    <w:rsid w:val="00CC25E6"/>
    <w:rsid w:val="00CC2FF4"/>
    <w:rsid w:val="00CC3077"/>
    <w:rsid w:val="00CC3C91"/>
    <w:rsid w:val="00CC3DCF"/>
    <w:rsid w:val="00CC3EDE"/>
    <w:rsid w:val="00CC3FE4"/>
    <w:rsid w:val="00CC42CE"/>
    <w:rsid w:val="00CC4BDB"/>
    <w:rsid w:val="00CC4D96"/>
    <w:rsid w:val="00CC504C"/>
    <w:rsid w:val="00CC517B"/>
    <w:rsid w:val="00CC557B"/>
    <w:rsid w:val="00CC564B"/>
    <w:rsid w:val="00CC5B65"/>
    <w:rsid w:val="00CC5DAC"/>
    <w:rsid w:val="00CC6556"/>
    <w:rsid w:val="00CC6587"/>
    <w:rsid w:val="00CC6EF8"/>
    <w:rsid w:val="00CC7737"/>
    <w:rsid w:val="00CC790B"/>
    <w:rsid w:val="00CC7B56"/>
    <w:rsid w:val="00CC7F9F"/>
    <w:rsid w:val="00CD012F"/>
    <w:rsid w:val="00CD0B7D"/>
    <w:rsid w:val="00CD12A3"/>
    <w:rsid w:val="00CD1FB6"/>
    <w:rsid w:val="00CD2040"/>
    <w:rsid w:val="00CD26FE"/>
    <w:rsid w:val="00CD271F"/>
    <w:rsid w:val="00CD28DC"/>
    <w:rsid w:val="00CD2F7E"/>
    <w:rsid w:val="00CD3176"/>
    <w:rsid w:val="00CD3800"/>
    <w:rsid w:val="00CD4436"/>
    <w:rsid w:val="00CD49C6"/>
    <w:rsid w:val="00CD5084"/>
    <w:rsid w:val="00CD518C"/>
    <w:rsid w:val="00CD6923"/>
    <w:rsid w:val="00CD712B"/>
    <w:rsid w:val="00CD757C"/>
    <w:rsid w:val="00CD7594"/>
    <w:rsid w:val="00CD75C1"/>
    <w:rsid w:val="00CE04C7"/>
    <w:rsid w:val="00CE09B4"/>
    <w:rsid w:val="00CE0E1E"/>
    <w:rsid w:val="00CE0ED9"/>
    <w:rsid w:val="00CE166D"/>
    <w:rsid w:val="00CE18F2"/>
    <w:rsid w:val="00CE1B2D"/>
    <w:rsid w:val="00CE26BC"/>
    <w:rsid w:val="00CE3F17"/>
    <w:rsid w:val="00CE4187"/>
    <w:rsid w:val="00CE4945"/>
    <w:rsid w:val="00CE4965"/>
    <w:rsid w:val="00CE555A"/>
    <w:rsid w:val="00CE5B02"/>
    <w:rsid w:val="00CE5DAF"/>
    <w:rsid w:val="00CE6B9E"/>
    <w:rsid w:val="00CE7246"/>
    <w:rsid w:val="00CE7529"/>
    <w:rsid w:val="00CE767A"/>
    <w:rsid w:val="00CE79E6"/>
    <w:rsid w:val="00CF02A3"/>
    <w:rsid w:val="00CF0576"/>
    <w:rsid w:val="00CF258A"/>
    <w:rsid w:val="00CF26B9"/>
    <w:rsid w:val="00CF329B"/>
    <w:rsid w:val="00CF345B"/>
    <w:rsid w:val="00CF3F1A"/>
    <w:rsid w:val="00CF42DC"/>
    <w:rsid w:val="00CF516A"/>
    <w:rsid w:val="00CF6BE8"/>
    <w:rsid w:val="00CF74CA"/>
    <w:rsid w:val="00CF7607"/>
    <w:rsid w:val="00CF77CE"/>
    <w:rsid w:val="00CF7B93"/>
    <w:rsid w:val="00CF7BD2"/>
    <w:rsid w:val="00CF7C02"/>
    <w:rsid w:val="00D00019"/>
    <w:rsid w:val="00D00164"/>
    <w:rsid w:val="00D005F8"/>
    <w:rsid w:val="00D0137E"/>
    <w:rsid w:val="00D02617"/>
    <w:rsid w:val="00D02812"/>
    <w:rsid w:val="00D0290D"/>
    <w:rsid w:val="00D034A4"/>
    <w:rsid w:val="00D05EF1"/>
    <w:rsid w:val="00D05F95"/>
    <w:rsid w:val="00D06900"/>
    <w:rsid w:val="00D103B7"/>
    <w:rsid w:val="00D112F5"/>
    <w:rsid w:val="00D11491"/>
    <w:rsid w:val="00D11713"/>
    <w:rsid w:val="00D12C7A"/>
    <w:rsid w:val="00D1350B"/>
    <w:rsid w:val="00D13636"/>
    <w:rsid w:val="00D136C0"/>
    <w:rsid w:val="00D138EE"/>
    <w:rsid w:val="00D13CCF"/>
    <w:rsid w:val="00D141B5"/>
    <w:rsid w:val="00D147FC"/>
    <w:rsid w:val="00D14A84"/>
    <w:rsid w:val="00D1537B"/>
    <w:rsid w:val="00D16112"/>
    <w:rsid w:val="00D169C2"/>
    <w:rsid w:val="00D16CFE"/>
    <w:rsid w:val="00D16FAE"/>
    <w:rsid w:val="00D17B78"/>
    <w:rsid w:val="00D2028B"/>
    <w:rsid w:val="00D20680"/>
    <w:rsid w:val="00D20EFE"/>
    <w:rsid w:val="00D20F8A"/>
    <w:rsid w:val="00D213F2"/>
    <w:rsid w:val="00D2226F"/>
    <w:rsid w:val="00D22B66"/>
    <w:rsid w:val="00D22F2C"/>
    <w:rsid w:val="00D2311D"/>
    <w:rsid w:val="00D23F55"/>
    <w:rsid w:val="00D241F8"/>
    <w:rsid w:val="00D24606"/>
    <w:rsid w:val="00D24E6F"/>
    <w:rsid w:val="00D266DC"/>
    <w:rsid w:val="00D2714B"/>
    <w:rsid w:val="00D27B8E"/>
    <w:rsid w:val="00D27D64"/>
    <w:rsid w:val="00D30A95"/>
    <w:rsid w:val="00D30F47"/>
    <w:rsid w:val="00D30FC2"/>
    <w:rsid w:val="00D31306"/>
    <w:rsid w:val="00D31CC6"/>
    <w:rsid w:val="00D327F0"/>
    <w:rsid w:val="00D34437"/>
    <w:rsid w:val="00D34AFC"/>
    <w:rsid w:val="00D351A8"/>
    <w:rsid w:val="00D35329"/>
    <w:rsid w:val="00D3614E"/>
    <w:rsid w:val="00D36DCE"/>
    <w:rsid w:val="00D375B4"/>
    <w:rsid w:val="00D37D8E"/>
    <w:rsid w:val="00D4058B"/>
    <w:rsid w:val="00D40768"/>
    <w:rsid w:val="00D40B03"/>
    <w:rsid w:val="00D40D9C"/>
    <w:rsid w:val="00D416E6"/>
    <w:rsid w:val="00D41B23"/>
    <w:rsid w:val="00D426C8"/>
    <w:rsid w:val="00D4350B"/>
    <w:rsid w:val="00D43826"/>
    <w:rsid w:val="00D441B7"/>
    <w:rsid w:val="00D451A5"/>
    <w:rsid w:val="00D4522B"/>
    <w:rsid w:val="00D452B8"/>
    <w:rsid w:val="00D45721"/>
    <w:rsid w:val="00D46A5A"/>
    <w:rsid w:val="00D46D52"/>
    <w:rsid w:val="00D47091"/>
    <w:rsid w:val="00D47635"/>
    <w:rsid w:val="00D47AEC"/>
    <w:rsid w:val="00D50E92"/>
    <w:rsid w:val="00D5260D"/>
    <w:rsid w:val="00D531F7"/>
    <w:rsid w:val="00D53A39"/>
    <w:rsid w:val="00D53C6F"/>
    <w:rsid w:val="00D53E43"/>
    <w:rsid w:val="00D5532B"/>
    <w:rsid w:val="00D5548F"/>
    <w:rsid w:val="00D558DD"/>
    <w:rsid w:val="00D561E2"/>
    <w:rsid w:val="00D5641D"/>
    <w:rsid w:val="00D56C03"/>
    <w:rsid w:val="00D57019"/>
    <w:rsid w:val="00D57EA3"/>
    <w:rsid w:val="00D60AB8"/>
    <w:rsid w:val="00D60C96"/>
    <w:rsid w:val="00D60E8E"/>
    <w:rsid w:val="00D6103F"/>
    <w:rsid w:val="00D61350"/>
    <w:rsid w:val="00D614D4"/>
    <w:rsid w:val="00D616B5"/>
    <w:rsid w:val="00D632CF"/>
    <w:rsid w:val="00D636EB"/>
    <w:rsid w:val="00D639FD"/>
    <w:rsid w:val="00D63DBD"/>
    <w:rsid w:val="00D63E60"/>
    <w:rsid w:val="00D65649"/>
    <w:rsid w:val="00D657E2"/>
    <w:rsid w:val="00D67ADF"/>
    <w:rsid w:val="00D67B08"/>
    <w:rsid w:val="00D67C55"/>
    <w:rsid w:val="00D67F64"/>
    <w:rsid w:val="00D70291"/>
    <w:rsid w:val="00D7101B"/>
    <w:rsid w:val="00D72746"/>
    <w:rsid w:val="00D732BF"/>
    <w:rsid w:val="00D736C0"/>
    <w:rsid w:val="00D736E2"/>
    <w:rsid w:val="00D74046"/>
    <w:rsid w:val="00D74062"/>
    <w:rsid w:val="00D741AE"/>
    <w:rsid w:val="00D74506"/>
    <w:rsid w:val="00D7462B"/>
    <w:rsid w:val="00D74719"/>
    <w:rsid w:val="00D749A2"/>
    <w:rsid w:val="00D74BD3"/>
    <w:rsid w:val="00D754C7"/>
    <w:rsid w:val="00D7559A"/>
    <w:rsid w:val="00D77C62"/>
    <w:rsid w:val="00D77DF5"/>
    <w:rsid w:val="00D77DF9"/>
    <w:rsid w:val="00D804BE"/>
    <w:rsid w:val="00D81842"/>
    <w:rsid w:val="00D82E20"/>
    <w:rsid w:val="00D83FFF"/>
    <w:rsid w:val="00D840F3"/>
    <w:rsid w:val="00D84746"/>
    <w:rsid w:val="00D84FA4"/>
    <w:rsid w:val="00D8562B"/>
    <w:rsid w:val="00D85C3B"/>
    <w:rsid w:val="00D86A7C"/>
    <w:rsid w:val="00D86C63"/>
    <w:rsid w:val="00D871EE"/>
    <w:rsid w:val="00D874ED"/>
    <w:rsid w:val="00D87DD5"/>
    <w:rsid w:val="00D87E18"/>
    <w:rsid w:val="00D901D4"/>
    <w:rsid w:val="00D9034C"/>
    <w:rsid w:val="00D90768"/>
    <w:rsid w:val="00D90CD0"/>
    <w:rsid w:val="00D91CD8"/>
    <w:rsid w:val="00D92227"/>
    <w:rsid w:val="00D92B22"/>
    <w:rsid w:val="00D9400F"/>
    <w:rsid w:val="00D94D66"/>
    <w:rsid w:val="00D9595A"/>
    <w:rsid w:val="00D95BA5"/>
    <w:rsid w:val="00D96275"/>
    <w:rsid w:val="00D9650F"/>
    <w:rsid w:val="00D972B2"/>
    <w:rsid w:val="00D97E15"/>
    <w:rsid w:val="00DA0E71"/>
    <w:rsid w:val="00DA11ED"/>
    <w:rsid w:val="00DA12AC"/>
    <w:rsid w:val="00DA1EFB"/>
    <w:rsid w:val="00DA1F6F"/>
    <w:rsid w:val="00DA208B"/>
    <w:rsid w:val="00DA277B"/>
    <w:rsid w:val="00DA2A71"/>
    <w:rsid w:val="00DA3590"/>
    <w:rsid w:val="00DA35FF"/>
    <w:rsid w:val="00DA3A0B"/>
    <w:rsid w:val="00DA480B"/>
    <w:rsid w:val="00DA4F6F"/>
    <w:rsid w:val="00DA5253"/>
    <w:rsid w:val="00DA5AA9"/>
    <w:rsid w:val="00DA69FF"/>
    <w:rsid w:val="00DA6EC7"/>
    <w:rsid w:val="00DA6ECC"/>
    <w:rsid w:val="00DA7171"/>
    <w:rsid w:val="00DB0047"/>
    <w:rsid w:val="00DB01F0"/>
    <w:rsid w:val="00DB0206"/>
    <w:rsid w:val="00DB03FF"/>
    <w:rsid w:val="00DB078A"/>
    <w:rsid w:val="00DB0C2D"/>
    <w:rsid w:val="00DB0FFD"/>
    <w:rsid w:val="00DB18AE"/>
    <w:rsid w:val="00DB2198"/>
    <w:rsid w:val="00DB3A4D"/>
    <w:rsid w:val="00DB3B37"/>
    <w:rsid w:val="00DB3F59"/>
    <w:rsid w:val="00DB4321"/>
    <w:rsid w:val="00DB4D0F"/>
    <w:rsid w:val="00DB5238"/>
    <w:rsid w:val="00DB5775"/>
    <w:rsid w:val="00DB5863"/>
    <w:rsid w:val="00DB69B4"/>
    <w:rsid w:val="00DB7DB6"/>
    <w:rsid w:val="00DC004A"/>
    <w:rsid w:val="00DC00FE"/>
    <w:rsid w:val="00DC0AE7"/>
    <w:rsid w:val="00DC0B86"/>
    <w:rsid w:val="00DC0E01"/>
    <w:rsid w:val="00DC154F"/>
    <w:rsid w:val="00DC1AC9"/>
    <w:rsid w:val="00DC2346"/>
    <w:rsid w:val="00DC238D"/>
    <w:rsid w:val="00DC2C39"/>
    <w:rsid w:val="00DC323C"/>
    <w:rsid w:val="00DC332B"/>
    <w:rsid w:val="00DC352F"/>
    <w:rsid w:val="00DC4DF5"/>
    <w:rsid w:val="00DC5789"/>
    <w:rsid w:val="00DC6026"/>
    <w:rsid w:val="00DC667C"/>
    <w:rsid w:val="00DC6AEE"/>
    <w:rsid w:val="00DC74C1"/>
    <w:rsid w:val="00DC7D5D"/>
    <w:rsid w:val="00DD0131"/>
    <w:rsid w:val="00DD0616"/>
    <w:rsid w:val="00DD16B6"/>
    <w:rsid w:val="00DD17B7"/>
    <w:rsid w:val="00DD1E9A"/>
    <w:rsid w:val="00DD2499"/>
    <w:rsid w:val="00DD3909"/>
    <w:rsid w:val="00DD4724"/>
    <w:rsid w:val="00DD482D"/>
    <w:rsid w:val="00DD52FD"/>
    <w:rsid w:val="00DD59FC"/>
    <w:rsid w:val="00DD7E7F"/>
    <w:rsid w:val="00DE00A3"/>
    <w:rsid w:val="00DE032D"/>
    <w:rsid w:val="00DE2211"/>
    <w:rsid w:val="00DE222F"/>
    <w:rsid w:val="00DE281C"/>
    <w:rsid w:val="00DE3502"/>
    <w:rsid w:val="00DE3C34"/>
    <w:rsid w:val="00DE3F50"/>
    <w:rsid w:val="00DE4092"/>
    <w:rsid w:val="00DE46B8"/>
    <w:rsid w:val="00DE49BD"/>
    <w:rsid w:val="00DE4C68"/>
    <w:rsid w:val="00DE5206"/>
    <w:rsid w:val="00DE5CF2"/>
    <w:rsid w:val="00DE7BE1"/>
    <w:rsid w:val="00DE7D05"/>
    <w:rsid w:val="00DF1493"/>
    <w:rsid w:val="00DF17D2"/>
    <w:rsid w:val="00DF1DF6"/>
    <w:rsid w:val="00DF281C"/>
    <w:rsid w:val="00DF37B7"/>
    <w:rsid w:val="00DF3DC5"/>
    <w:rsid w:val="00DF48ED"/>
    <w:rsid w:val="00DF4AFF"/>
    <w:rsid w:val="00DF5C19"/>
    <w:rsid w:val="00DF6122"/>
    <w:rsid w:val="00DF66E8"/>
    <w:rsid w:val="00DF6CA5"/>
    <w:rsid w:val="00DF7739"/>
    <w:rsid w:val="00DF7A42"/>
    <w:rsid w:val="00DF7E4E"/>
    <w:rsid w:val="00E0003C"/>
    <w:rsid w:val="00E00418"/>
    <w:rsid w:val="00E0093C"/>
    <w:rsid w:val="00E00AEC"/>
    <w:rsid w:val="00E01B0C"/>
    <w:rsid w:val="00E01C70"/>
    <w:rsid w:val="00E02409"/>
    <w:rsid w:val="00E024A8"/>
    <w:rsid w:val="00E03379"/>
    <w:rsid w:val="00E03B96"/>
    <w:rsid w:val="00E04333"/>
    <w:rsid w:val="00E04E3E"/>
    <w:rsid w:val="00E05270"/>
    <w:rsid w:val="00E06135"/>
    <w:rsid w:val="00E061EF"/>
    <w:rsid w:val="00E06E94"/>
    <w:rsid w:val="00E07140"/>
    <w:rsid w:val="00E07A0B"/>
    <w:rsid w:val="00E07C78"/>
    <w:rsid w:val="00E100DE"/>
    <w:rsid w:val="00E10DF8"/>
    <w:rsid w:val="00E10EB9"/>
    <w:rsid w:val="00E11396"/>
    <w:rsid w:val="00E11D00"/>
    <w:rsid w:val="00E11DAA"/>
    <w:rsid w:val="00E120C2"/>
    <w:rsid w:val="00E13154"/>
    <w:rsid w:val="00E1321B"/>
    <w:rsid w:val="00E13BED"/>
    <w:rsid w:val="00E152A2"/>
    <w:rsid w:val="00E15308"/>
    <w:rsid w:val="00E15342"/>
    <w:rsid w:val="00E16D2D"/>
    <w:rsid w:val="00E179B5"/>
    <w:rsid w:val="00E17EBF"/>
    <w:rsid w:val="00E23683"/>
    <w:rsid w:val="00E239CF"/>
    <w:rsid w:val="00E2479F"/>
    <w:rsid w:val="00E247EA"/>
    <w:rsid w:val="00E2578B"/>
    <w:rsid w:val="00E25A73"/>
    <w:rsid w:val="00E25D45"/>
    <w:rsid w:val="00E3038A"/>
    <w:rsid w:val="00E30F3B"/>
    <w:rsid w:val="00E34A44"/>
    <w:rsid w:val="00E3535E"/>
    <w:rsid w:val="00E35705"/>
    <w:rsid w:val="00E3634D"/>
    <w:rsid w:val="00E363DD"/>
    <w:rsid w:val="00E365F4"/>
    <w:rsid w:val="00E36C34"/>
    <w:rsid w:val="00E376F4"/>
    <w:rsid w:val="00E37DB1"/>
    <w:rsid w:val="00E41FB5"/>
    <w:rsid w:val="00E423E1"/>
    <w:rsid w:val="00E42F12"/>
    <w:rsid w:val="00E42F61"/>
    <w:rsid w:val="00E4395B"/>
    <w:rsid w:val="00E44360"/>
    <w:rsid w:val="00E4477B"/>
    <w:rsid w:val="00E44C96"/>
    <w:rsid w:val="00E45027"/>
    <w:rsid w:val="00E45A89"/>
    <w:rsid w:val="00E468CB"/>
    <w:rsid w:val="00E46A18"/>
    <w:rsid w:val="00E46F1E"/>
    <w:rsid w:val="00E47EEB"/>
    <w:rsid w:val="00E5081E"/>
    <w:rsid w:val="00E509F6"/>
    <w:rsid w:val="00E517E5"/>
    <w:rsid w:val="00E51EC6"/>
    <w:rsid w:val="00E5200E"/>
    <w:rsid w:val="00E52041"/>
    <w:rsid w:val="00E53955"/>
    <w:rsid w:val="00E540BD"/>
    <w:rsid w:val="00E54D3F"/>
    <w:rsid w:val="00E54F20"/>
    <w:rsid w:val="00E55143"/>
    <w:rsid w:val="00E55520"/>
    <w:rsid w:val="00E55862"/>
    <w:rsid w:val="00E55A7D"/>
    <w:rsid w:val="00E56137"/>
    <w:rsid w:val="00E562B6"/>
    <w:rsid w:val="00E56736"/>
    <w:rsid w:val="00E56CE1"/>
    <w:rsid w:val="00E570EC"/>
    <w:rsid w:val="00E577B6"/>
    <w:rsid w:val="00E57F40"/>
    <w:rsid w:val="00E60F4D"/>
    <w:rsid w:val="00E613E8"/>
    <w:rsid w:val="00E62F70"/>
    <w:rsid w:val="00E64D9F"/>
    <w:rsid w:val="00E657AE"/>
    <w:rsid w:val="00E65A9C"/>
    <w:rsid w:val="00E65EE2"/>
    <w:rsid w:val="00E66536"/>
    <w:rsid w:val="00E66834"/>
    <w:rsid w:val="00E66EDB"/>
    <w:rsid w:val="00E6707B"/>
    <w:rsid w:val="00E679D4"/>
    <w:rsid w:val="00E67D1C"/>
    <w:rsid w:val="00E70361"/>
    <w:rsid w:val="00E70DF2"/>
    <w:rsid w:val="00E72242"/>
    <w:rsid w:val="00E728BF"/>
    <w:rsid w:val="00E737D0"/>
    <w:rsid w:val="00E74E3C"/>
    <w:rsid w:val="00E74F72"/>
    <w:rsid w:val="00E75C7F"/>
    <w:rsid w:val="00E76942"/>
    <w:rsid w:val="00E80473"/>
    <w:rsid w:val="00E82B40"/>
    <w:rsid w:val="00E82C8F"/>
    <w:rsid w:val="00E836E5"/>
    <w:rsid w:val="00E86223"/>
    <w:rsid w:val="00E86B01"/>
    <w:rsid w:val="00E86B6B"/>
    <w:rsid w:val="00E86CDF"/>
    <w:rsid w:val="00E86DF5"/>
    <w:rsid w:val="00E875B4"/>
    <w:rsid w:val="00E8760B"/>
    <w:rsid w:val="00E90D53"/>
    <w:rsid w:val="00E90FE1"/>
    <w:rsid w:val="00E916C8"/>
    <w:rsid w:val="00E9184B"/>
    <w:rsid w:val="00E92AF1"/>
    <w:rsid w:val="00E93106"/>
    <w:rsid w:val="00E93AA0"/>
    <w:rsid w:val="00E93F20"/>
    <w:rsid w:val="00E946E9"/>
    <w:rsid w:val="00E94757"/>
    <w:rsid w:val="00E95A9C"/>
    <w:rsid w:val="00E962F8"/>
    <w:rsid w:val="00E9743E"/>
    <w:rsid w:val="00E97F1E"/>
    <w:rsid w:val="00EA0C86"/>
    <w:rsid w:val="00EA10E7"/>
    <w:rsid w:val="00EA10EA"/>
    <w:rsid w:val="00EA16FB"/>
    <w:rsid w:val="00EA1A08"/>
    <w:rsid w:val="00EA2553"/>
    <w:rsid w:val="00EA2767"/>
    <w:rsid w:val="00EA34A6"/>
    <w:rsid w:val="00EA3AA8"/>
    <w:rsid w:val="00EA3C80"/>
    <w:rsid w:val="00EA3D53"/>
    <w:rsid w:val="00EA4B94"/>
    <w:rsid w:val="00EA4C1C"/>
    <w:rsid w:val="00EA5091"/>
    <w:rsid w:val="00EA5842"/>
    <w:rsid w:val="00EA5875"/>
    <w:rsid w:val="00EA5F83"/>
    <w:rsid w:val="00EA6072"/>
    <w:rsid w:val="00EA7156"/>
    <w:rsid w:val="00EA763E"/>
    <w:rsid w:val="00EB0442"/>
    <w:rsid w:val="00EB0EEC"/>
    <w:rsid w:val="00EB1004"/>
    <w:rsid w:val="00EB1A1D"/>
    <w:rsid w:val="00EB1F64"/>
    <w:rsid w:val="00EB25B9"/>
    <w:rsid w:val="00EB400D"/>
    <w:rsid w:val="00EB4255"/>
    <w:rsid w:val="00EB4DF5"/>
    <w:rsid w:val="00EB5714"/>
    <w:rsid w:val="00EB5C85"/>
    <w:rsid w:val="00EB659A"/>
    <w:rsid w:val="00EB7328"/>
    <w:rsid w:val="00EB7A30"/>
    <w:rsid w:val="00EB7BCB"/>
    <w:rsid w:val="00EB7E2F"/>
    <w:rsid w:val="00EC04EF"/>
    <w:rsid w:val="00EC0907"/>
    <w:rsid w:val="00EC0E3C"/>
    <w:rsid w:val="00EC18B3"/>
    <w:rsid w:val="00EC2969"/>
    <w:rsid w:val="00EC2A09"/>
    <w:rsid w:val="00EC33C9"/>
    <w:rsid w:val="00EC4720"/>
    <w:rsid w:val="00EC512A"/>
    <w:rsid w:val="00EC654E"/>
    <w:rsid w:val="00EC68DB"/>
    <w:rsid w:val="00ED0A9E"/>
    <w:rsid w:val="00ED0EDE"/>
    <w:rsid w:val="00ED0F88"/>
    <w:rsid w:val="00ED1C79"/>
    <w:rsid w:val="00ED1F87"/>
    <w:rsid w:val="00ED30A6"/>
    <w:rsid w:val="00ED310B"/>
    <w:rsid w:val="00ED37B1"/>
    <w:rsid w:val="00ED4DCD"/>
    <w:rsid w:val="00ED4F54"/>
    <w:rsid w:val="00ED5056"/>
    <w:rsid w:val="00ED645D"/>
    <w:rsid w:val="00ED6B1F"/>
    <w:rsid w:val="00ED6E71"/>
    <w:rsid w:val="00ED6F78"/>
    <w:rsid w:val="00ED7512"/>
    <w:rsid w:val="00ED756D"/>
    <w:rsid w:val="00ED775B"/>
    <w:rsid w:val="00EE02C0"/>
    <w:rsid w:val="00EE0A40"/>
    <w:rsid w:val="00EE12C1"/>
    <w:rsid w:val="00EE19B3"/>
    <w:rsid w:val="00EE1E06"/>
    <w:rsid w:val="00EE249B"/>
    <w:rsid w:val="00EE2639"/>
    <w:rsid w:val="00EE29BF"/>
    <w:rsid w:val="00EE301E"/>
    <w:rsid w:val="00EE3A48"/>
    <w:rsid w:val="00EE3DB0"/>
    <w:rsid w:val="00EE42D4"/>
    <w:rsid w:val="00EE48A3"/>
    <w:rsid w:val="00EE50D5"/>
    <w:rsid w:val="00EE5990"/>
    <w:rsid w:val="00EE5D2A"/>
    <w:rsid w:val="00EE6570"/>
    <w:rsid w:val="00EE73A3"/>
    <w:rsid w:val="00EF005C"/>
    <w:rsid w:val="00EF0F68"/>
    <w:rsid w:val="00EF1468"/>
    <w:rsid w:val="00EF1942"/>
    <w:rsid w:val="00EF1C45"/>
    <w:rsid w:val="00EF21CA"/>
    <w:rsid w:val="00EF2902"/>
    <w:rsid w:val="00EF2A9A"/>
    <w:rsid w:val="00EF3657"/>
    <w:rsid w:val="00EF367B"/>
    <w:rsid w:val="00EF4337"/>
    <w:rsid w:val="00EF45C3"/>
    <w:rsid w:val="00EF5892"/>
    <w:rsid w:val="00EF5B6F"/>
    <w:rsid w:val="00EF5BE4"/>
    <w:rsid w:val="00EF6E09"/>
    <w:rsid w:val="00EF7F7D"/>
    <w:rsid w:val="00F0155F"/>
    <w:rsid w:val="00F018F3"/>
    <w:rsid w:val="00F02185"/>
    <w:rsid w:val="00F02714"/>
    <w:rsid w:val="00F032C8"/>
    <w:rsid w:val="00F03BD4"/>
    <w:rsid w:val="00F07ED2"/>
    <w:rsid w:val="00F10CB3"/>
    <w:rsid w:val="00F11177"/>
    <w:rsid w:val="00F11FC7"/>
    <w:rsid w:val="00F11FEA"/>
    <w:rsid w:val="00F13A7B"/>
    <w:rsid w:val="00F14092"/>
    <w:rsid w:val="00F144E3"/>
    <w:rsid w:val="00F14961"/>
    <w:rsid w:val="00F14DFB"/>
    <w:rsid w:val="00F154AE"/>
    <w:rsid w:val="00F15908"/>
    <w:rsid w:val="00F161F8"/>
    <w:rsid w:val="00F1628F"/>
    <w:rsid w:val="00F167FC"/>
    <w:rsid w:val="00F16FA5"/>
    <w:rsid w:val="00F1703D"/>
    <w:rsid w:val="00F172F1"/>
    <w:rsid w:val="00F17AF9"/>
    <w:rsid w:val="00F20D4E"/>
    <w:rsid w:val="00F22DB3"/>
    <w:rsid w:val="00F235F3"/>
    <w:rsid w:val="00F2395C"/>
    <w:rsid w:val="00F24BAE"/>
    <w:rsid w:val="00F25D12"/>
    <w:rsid w:val="00F267DE"/>
    <w:rsid w:val="00F26E2B"/>
    <w:rsid w:val="00F26EDB"/>
    <w:rsid w:val="00F2723C"/>
    <w:rsid w:val="00F27B59"/>
    <w:rsid w:val="00F27E2F"/>
    <w:rsid w:val="00F30DAD"/>
    <w:rsid w:val="00F31668"/>
    <w:rsid w:val="00F31BAE"/>
    <w:rsid w:val="00F32238"/>
    <w:rsid w:val="00F323A1"/>
    <w:rsid w:val="00F32E03"/>
    <w:rsid w:val="00F32F3A"/>
    <w:rsid w:val="00F330AB"/>
    <w:rsid w:val="00F336A1"/>
    <w:rsid w:val="00F336FF"/>
    <w:rsid w:val="00F33810"/>
    <w:rsid w:val="00F340C1"/>
    <w:rsid w:val="00F343ED"/>
    <w:rsid w:val="00F3606A"/>
    <w:rsid w:val="00F360F3"/>
    <w:rsid w:val="00F366E3"/>
    <w:rsid w:val="00F36764"/>
    <w:rsid w:val="00F3680A"/>
    <w:rsid w:val="00F369BB"/>
    <w:rsid w:val="00F373D0"/>
    <w:rsid w:val="00F374A3"/>
    <w:rsid w:val="00F37755"/>
    <w:rsid w:val="00F37CBB"/>
    <w:rsid w:val="00F37DEC"/>
    <w:rsid w:val="00F40261"/>
    <w:rsid w:val="00F407CE"/>
    <w:rsid w:val="00F4167F"/>
    <w:rsid w:val="00F43022"/>
    <w:rsid w:val="00F43B5F"/>
    <w:rsid w:val="00F44225"/>
    <w:rsid w:val="00F44732"/>
    <w:rsid w:val="00F44AD5"/>
    <w:rsid w:val="00F44D21"/>
    <w:rsid w:val="00F44E37"/>
    <w:rsid w:val="00F45E5B"/>
    <w:rsid w:val="00F4699F"/>
    <w:rsid w:val="00F47437"/>
    <w:rsid w:val="00F47571"/>
    <w:rsid w:val="00F47633"/>
    <w:rsid w:val="00F50D99"/>
    <w:rsid w:val="00F516D5"/>
    <w:rsid w:val="00F51764"/>
    <w:rsid w:val="00F51881"/>
    <w:rsid w:val="00F52598"/>
    <w:rsid w:val="00F539C7"/>
    <w:rsid w:val="00F5403F"/>
    <w:rsid w:val="00F54D10"/>
    <w:rsid w:val="00F54E3B"/>
    <w:rsid w:val="00F55555"/>
    <w:rsid w:val="00F55D44"/>
    <w:rsid w:val="00F56011"/>
    <w:rsid w:val="00F562C4"/>
    <w:rsid w:val="00F57F80"/>
    <w:rsid w:val="00F60326"/>
    <w:rsid w:val="00F60A80"/>
    <w:rsid w:val="00F61274"/>
    <w:rsid w:val="00F612F6"/>
    <w:rsid w:val="00F61B46"/>
    <w:rsid w:val="00F6345C"/>
    <w:rsid w:val="00F63951"/>
    <w:rsid w:val="00F63C2A"/>
    <w:rsid w:val="00F64054"/>
    <w:rsid w:val="00F64514"/>
    <w:rsid w:val="00F64DE9"/>
    <w:rsid w:val="00F64FCE"/>
    <w:rsid w:val="00F65789"/>
    <w:rsid w:val="00F66474"/>
    <w:rsid w:val="00F669DB"/>
    <w:rsid w:val="00F6738B"/>
    <w:rsid w:val="00F67A1E"/>
    <w:rsid w:val="00F67FE8"/>
    <w:rsid w:val="00F70F51"/>
    <w:rsid w:val="00F71151"/>
    <w:rsid w:val="00F71694"/>
    <w:rsid w:val="00F71E2F"/>
    <w:rsid w:val="00F725C0"/>
    <w:rsid w:val="00F729D7"/>
    <w:rsid w:val="00F742DA"/>
    <w:rsid w:val="00F766B0"/>
    <w:rsid w:val="00F76CB0"/>
    <w:rsid w:val="00F77601"/>
    <w:rsid w:val="00F77B8D"/>
    <w:rsid w:val="00F800AA"/>
    <w:rsid w:val="00F800E0"/>
    <w:rsid w:val="00F80531"/>
    <w:rsid w:val="00F81396"/>
    <w:rsid w:val="00F8165E"/>
    <w:rsid w:val="00F81EE4"/>
    <w:rsid w:val="00F82894"/>
    <w:rsid w:val="00F82907"/>
    <w:rsid w:val="00F82A79"/>
    <w:rsid w:val="00F83890"/>
    <w:rsid w:val="00F838CC"/>
    <w:rsid w:val="00F839FF"/>
    <w:rsid w:val="00F84184"/>
    <w:rsid w:val="00F84AFE"/>
    <w:rsid w:val="00F852EF"/>
    <w:rsid w:val="00F86213"/>
    <w:rsid w:val="00F908EE"/>
    <w:rsid w:val="00F91589"/>
    <w:rsid w:val="00F91847"/>
    <w:rsid w:val="00F921D7"/>
    <w:rsid w:val="00F9262E"/>
    <w:rsid w:val="00F92946"/>
    <w:rsid w:val="00F939B7"/>
    <w:rsid w:val="00F95078"/>
    <w:rsid w:val="00F95E69"/>
    <w:rsid w:val="00F975E6"/>
    <w:rsid w:val="00FA07B3"/>
    <w:rsid w:val="00FA0E46"/>
    <w:rsid w:val="00FA2A2E"/>
    <w:rsid w:val="00FA3681"/>
    <w:rsid w:val="00FA4566"/>
    <w:rsid w:val="00FA46FA"/>
    <w:rsid w:val="00FA48C1"/>
    <w:rsid w:val="00FA735F"/>
    <w:rsid w:val="00FA736D"/>
    <w:rsid w:val="00FB0A19"/>
    <w:rsid w:val="00FB0BF5"/>
    <w:rsid w:val="00FB0D04"/>
    <w:rsid w:val="00FB0D3C"/>
    <w:rsid w:val="00FB0E25"/>
    <w:rsid w:val="00FB14C6"/>
    <w:rsid w:val="00FB1FA2"/>
    <w:rsid w:val="00FB2B31"/>
    <w:rsid w:val="00FB2ED6"/>
    <w:rsid w:val="00FB2FC5"/>
    <w:rsid w:val="00FB32F9"/>
    <w:rsid w:val="00FB3723"/>
    <w:rsid w:val="00FB3BEB"/>
    <w:rsid w:val="00FB4649"/>
    <w:rsid w:val="00FB574E"/>
    <w:rsid w:val="00FB57C3"/>
    <w:rsid w:val="00FB661B"/>
    <w:rsid w:val="00FB68EF"/>
    <w:rsid w:val="00FB6944"/>
    <w:rsid w:val="00FB6E34"/>
    <w:rsid w:val="00FB7A57"/>
    <w:rsid w:val="00FB7B8C"/>
    <w:rsid w:val="00FC0348"/>
    <w:rsid w:val="00FC0738"/>
    <w:rsid w:val="00FC11E2"/>
    <w:rsid w:val="00FC1A1F"/>
    <w:rsid w:val="00FC3A24"/>
    <w:rsid w:val="00FC3F49"/>
    <w:rsid w:val="00FC4373"/>
    <w:rsid w:val="00FC45CC"/>
    <w:rsid w:val="00FC635B"/>
    <w:rsid w:val="00FC64D6"/>
    <w:rsid w:val="00FC6C07"/>
    <w:rsid w:val="00FC7265"/>
    <w:rsid w:val="00FC7591"/>
    <w:rsid w:val="00FC7798"/>
    <w:rsid w:val="00FC7DA2"/>
    <w:rsid w:val="00FD13A1"/>
    <w:rsid w:val="00FD17A7"/>
    <w:rsid w:val="00FD1848"/>
    <w:rsid w:val="00FD1937"/>
    <w:rsid w:val="00FD19FA"/>
    <w:rsid w:val="00FD1D8A"/>
    <w:rsid w:val="00FD2187"/>
    <w:rsid w:val="00FD223A"/>
    <w:rsid w:val="00FD235A"/>
    <w:rsid w:val="00FD2C10"/>
    <w:rsid w:val="00FD2F8C"/>
    <w:rsid w:val="00FD3716"/>
    <w:rsid w:val="00FD402B"/>
    <w:rsid w:val="00FD548A"/>
    <w:rsid w:val="00FD5E2A"/>
    <w:rsid w:val="00FD619B"/>
    <w:rsid w:val="00FD6A8F"/>
    <w:rsid w:val="00FD7307"/>
    <w:rsid w:val="00FE01DA"/>
    <w:rsid w:val="00FE1A5C"/>
    <w:rsid w:val="00FE1D6B"/>
    <w:rsid w:val="00FE2046"/>
    <w:rsid w:val="00FE2FCB"/>
    <w:rsid w:val="00FE3154"/>
    <w:rsid w:val="00FE37A7"/>
    <w:rsid w:val="00FE4E4F"/>
    <w:rsid w:val="00FE5EC1"/>
    <w:rsid w:val="00FE6034"/>
    <w:rsid w:val="00FE663E"/>
    <w:rsid w:val="00FE6DA8"/>
    <w:rsid w:val="00FE7399"/>
    <w:rsid w:val="00FE7C91"/>
    <w:rsid w:val="00FE7C9B"/>
    <w:rsid w:val="00FE7CCB"/>
    <w:rsid w:val="00FE7E01"/>
    <w:rsid w:val="00FF19B5"/>
    <w:rsid w:val="00FF1C40"/>
    <w:rsid w:val="00FF1CAD"/>
    <w:rsid w:val="00FF2689"/>
    <w:rsid w:val="00FF2FE3"/>
    <w:rsid w:val="00FF3DBE"/>
    <w:rsid w:val="00FF3EA3"/>
    <w:rsid w:val="00FF4245"/>
    <w:rsid w:val="00FF42DB"/>
    <w:rsid w:val="00FF4301"/>
    <w:rsid w:val="00FF504E"/>
    <w:rsid w:val="00FF559A"/>
    <w:rsid w:val="00FF56AF"/>
    <w:rsid w:val="00FF5CBC"/>
    <w:rsid w:val="00FF5F7E"/>
    <w:rsid w:val="00FF6340"/>
    <w:rsid w:val="00FF7166"/>
    <w:rsid w:val="01259555"/>
    <w:rsid w:val="0171ED82"/>
    <w:rsid w:val="02D4CE09"/>
    <w:rsid w:val="0600A9D4"/>
    <w:rsid w:val="0792C335"/>
    <w:rsid w:val="0B252DE1"/>
    <w:rsid w:val="0CED1EE0"/>
    <w:rsid w:val="0DE5BD95"/>
    <w:rsid w:val="103C71E4"/>
    <w:rsid w:val="10BCCC59"/>
    <w:rsid w:val="11531BF2"/>
    <w:rsid w:val="126ABA07"/>
    <w:rsid w:val="14AAC356"/>
    <w:rsid w:val="1632A819"/>
    <w:rsid w:val="16A885D3"/>
    <w:rsid w:val="18F898A7"/>
    <w:rsid w:val="1B9333A3"/>
    <w:rsid w:val="1E7B28EA"/>
    <w:rsid w:val="20DE4F66"/>
    <w:rsid w:val="22D1DCEE"/>
    <w:rsid w:val="280BD3EA"/>
    <w:rsid w:val="28477212"/>
    <w:rsid w:val="2BCEDC72"/>
    <w:rsid w:val="2BE2555E"/>
    <w:rsid w:val="3007D82D"/>
    <w:rsid w:val="30B1ECF6"/>
    <w:rsid w:val="312BD271"/>
    <w:rsid w:val="325F5048"/>
    <w:rsid w:val="3389ADEA"/>
    <w:rsid w:val="354F9ADE"/>
    <w:rsid w:val="36079A55"/>
    <w:rsid w:val="36D464D0"/>
    <w:rsid w:val="3901D87F"/>
    <w:rsid w:val="47900208"/>
    <w:rsid w:val="48887A54"/>
    <w:rsid w:val="4C2B638B"/>
    <w:rsid w:val="4E296F3D"/>
    <w:rsid w:val="4F6CBB3C"/>
    <w:rsid w:val="50735F47"/>
    <w:rsid w:val="509B952D"/>
    <w:rsid w:val="5147A608"/>
    <w:rsid w:val="52690478"/>
    <w:rsid w:val="529E5207"/>
    <w:rsid w:val="52B3F017"/>
    <w:rsid w:val="536D04D0"/>
    <w:rsid w:val="548EA660"/>
    <w:rsid w:val="554D0FC9"/>
    <w:rsid w:val="568EFBC6"/>
    <w:rsid w:val="57338DF4"/>
    <w:rsid w:val="598F8155"/>
    <w:rsid w:val="59A8F9D4"/>
    <w:rsid w:val="5A9F100C"/>
    <w:rsid w:val="5B5B0DE7"/>
    <w:rsid w:val="5B680C6D"/>
    <w:rsid w:val="5E54F73B"/>
    <w:rsid w:val="5EC3A5F9"/>
    <w:rsid w:val="66A8EF47"/>
    <w:rsid w:val="6BB3550F"/>
    <w:rsid w:val="6F028C36"/>
    <w:rsid w:val="705C9AD5"/>
    <w:rsid w:val="71F5CEF8"/>
    <w:rsid w:val="74F6DF40"/>
    <w:rsid w:val="764629A2"/>
    <w:rsid w:val="765664CC"/>
    <w:rsid w:val="76AE1FBF"/>
    <w:rsid w:val="7972A40B"/>
    <w:rsid w:val="7A19EA8D"/>
    <w:rsid w:val="7AC319E2"/>
    <w:rsid w:val="7B58E652"/>
    <w:rsid w:val="7D869118"/>
    <w:rsid w:val="7EDAB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72047D"/>
  <w15:docId w15:val="{6282B754-8754-4DE6-B834-6F266BF2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a-DK"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347"/>
    <w:rPr>
      <w:sz w:val="24"/>
      <w:szCs w:val="24"/>
    </w:rPr>
  </w:style>
  <w:style w:type="paragraph" w:styleId="Heading1">
    <w:name w:val="heading 1"/>
    <w:next w:val="Normal"/>
    <w:link w:val="Heading1Char"/>
    <w:unhideWhenUsed/>
    <w:qFormat/>
    <w:rsid w:val="00CE18F2"/>
    <w:pPr>
      <w:keepNext/>
      <w:keepLines/>
      <w:spacing w:after="90" w:line="259" w:lineRule="auto"/>
      <w:ind w:left="265"/>
      <w:jc w:val="right"/>
      <w:outlineLvl w:val="0"/>
    </w:pPr>
    <w:rPr>
      <w:rFonts w:eastAsia="Times New Roman"/>
      <w:color w:val="000000"/>
      <w:sz w:val="23"/>
      <w:szCs w:val="22"/>
      <w:u w:val="single" w:color="000000"/>
      <w:lang w:eastAsia="en-IE"/>
    </w:rPr>
  </w:style>
  <w:style w:type="paragraph" w:styleId="Heading2">
    <w:name w:val="heading 2"/>
    <w:basedOn w:val="Normal"/>
    <w:next w:val="Normal"/>
    <w:link w:val="Heading2Char"/>
    <w:semiHidden/>
    <w:unhideWhenUsed/>
    <w:qFormat/>
    <w:rsid w:val="00EA60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D5244"/>
    <w:rPr>
      <w:color w:val="0000FF"/>
      <w:shd w:val="clear" w:color="auto" w:fill="auto"/>
    </w:rPr>
  </w:style>
  <w:style w:type="paragraph" w:customStyle="1" w:styleId="Pagedecouverture">
    <w:name w:val="Page de couverture"/>
    <w:basedOn w:val="Normal"/>
    <w:next w:val="Normal"/>
    <w:rsid w:val="003D5244"/>
    <w:pPr>
      <w:jc w:val="both"/>
    </w:pPr>
    <w:rPr>
      <w:szCs w:val="22"/>
    </w:rPr>
  </w:style>
  <w:style w:type="paragraph" w:styleId="Header">
    <w:name w:val="header"/>
    <w:basedOn w:val="Normal"/>
    <w:link w:val="HeaderChar"/>
    <w:unhideWhenUsed/>
    <w:rsid w:val="003D5244"/>
    <w:pPr>
      <w:tabs>
        <w:tab w:val="center" w:pos="4513"/>
        <w:tab w:val="right" w:pos="9026"/>
      </w:tabs>
    </w:pPr>
  </w:style>
  <w:style w:type="character" w:customStyle="1" w:styleId="HeaderChar">
    <w:name w:val="Header Char"/>
    <w:basedOn w:val="DefaultParagraphFont"/>
    <w:link w:val="Header"/>
    <w:rsid w:val="003D5244"/>
    <w:rPr>
      <w:sz w:val="24"/>
      <w:szCs w:val="24"/>
      <w:lang w:val="da-DK"/>
    </w:rPr>
  </w:style>
  <w:style w:type="paragraph" w:styleId="Footer">
    <w:name w:val="footer"/>
    <w:basedOn w:val="Normal"/>
    <w:link w:val="FooterChar"/>
    <w:uiPriority w:val="99"/>
    <w:unhideWhenUsed/>
    <w:rsid w:val="003D5244"/>
    <w:pPr>
      <w:tabs>
        <w:tab w:val="center" w:pos="4513"/>
        <w:tab w:val="right" w:pos="9026"/>
      </w:tabs>
    </w:pPr>
  </w:style>
  <w:style w:type="character" w:customStyle="1" w:styleId="FooterChar">
    <w:name w:val="Footer Char"/>
    <w:basedOn w:val="DefaultParagraphFont"/>
    <w:link w:val="Footer"/>
    <w:uiPriority w:val="99"/>
    <w:rsid w:val="003D5244"/>
    <w:rPr>
      <w:sz w:val="24"/>
      <w:szCs w:val="24"/>
      <w:lang w:val="da-DK"/>
    </w:rPr>
  </w:style>
  <w:style w:type="paragraph" w:customStyle="1" w:styleId="FooterCoverPage">
    <w:name w:val="Footer Cover Page"/>
    <w:basedOn w:val="Normal"/>
    <w:link w:val="FooterCoverPageChar"/>
    <w:rsid w:val="003D5244"/>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3D5244"/>
    <w:rPr>
      <w:sz w:val="24"/>
      <w:szCs w:val="24"/>
    </w:rPr>
  </w:style>
  <w:style w:type="paragraph" w:customStyle="1" w:styleId="FooterSensitivity">
    <w:name w:val="Footer Sensitivity"/>
    <w:basedOn w:val="Normal"/>
    <w:link w:val="FooterSensitivityChar"/>
    <w:rsid w:val="003D5244"/>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3D5244"/>
    <w:rPr>
      <w:b/>
      <w:sz w:val="32"/>
      <w:szCs w:val="24"/>
    </w:rPr>
  </w:style>
  <w:style w:type="paragraph" w:customStyle="1" w:styleId="HeaderCoverPage">
    <w:name w:val="Header Cover Page"/>
    <w:basedOn w:val="Normal"/>
    <w:link w:val="HeaderCoverPageChar"/>
    <w:rsid w:val="003D5244"/>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3D5244"/>
    <w:rPr>
      <w:sz w:val="24"/>
      <w:szCs w:val="24"/>
    </w:rPr>
  </w:style>
  <w:style w:type="paragraph" w:customStyle="1" w:styleId="HeaderSensitivity">
    <w:name w:val="Header Sensitivity"/>
    <w:basedOn w:val="Normal"/>
    <w:link w:val="HeaderSensitivityChar"/>
    <w:rsid w:val="003D5244"/>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3D5244"/>
    <w:rPr>
      <w:b/>
      <w:sz w:val="32"/>
      <w:szCs w:val="24"/>
    </w:rPr>
  </w:style>
  <w:style w:type="paragraph" w:customStyle="1" w:styleId="HeaderSensitivityRight">
    <w:name w:val="Header Sensitivity Right"/>
    <w:basedOn w:val="Normal"/>
    <w:link w:val="HeaderSensitivityRightChar"/>
    <w:rsid w:val="003D5244"/>
    <w:pPr>
      <w:spacing w:after="120"/>
      <w:jc w:val="right"/>
    </w:pPr>
    <w:rPr>
      <w:sz w:val="28"/>
    </w:rPr>
  </w:style>
  <w:style w:type="character" w:customStyle="1" w:styleId="HeaderSensitivityRightChar">
    <w:name w:val="Header Sensitivity Right Char"/>
    <w:basedOn w:val="DefaultParagraphFont"/>
    <w:link w:val="HeaderSensitivityRight"/>
    <w:rsid w:val="003D5244"/>
    <w:rPr>
      <w:sz w:val="28"/>
      <w:szCs w:val="24"/>
    </w:rPr>
  </w:style>
  <w:style w:type="paragraph" w:styleId="FootnoteText">
    <w:name w:val="footnote text"/>
    <w:basedOn w:val="Normal"/>
    <w:link w:val="FootnoteTextChar"/>
    <w:semiHidden/>
    <w:rsid w:val="003D5244"/>
    <w:pPr>
      <w:ind w:left="720" w:hanging="720"/>
      <w:jc w:val="both"/>
    </w:pPr>
    <w:rPr>
      <w:rFonts w:eastAsia="Times New Roman"/>
      <w:sz w:val="20"/>
      <w:szCs w:val="20"/>
    </w:rPr>
  </w:style>
  <w:style w:type="character" w:customStyle="1" w:styleId="FootnoteTextChar">
    <w:name w:val="Footnote Text Char"/>
    <w:basedOn w:val="DefaultParagraphFont"/>
    <w:link w:val="FootnoteText"/>
    <w:semiHidden/>
    <w:rsid w:val="003D5244"/>
    <w:rPr>
      <w:rFonts w:eastAsia="Times New Roman"/>
      <w:lang w:val="da-DK"/>
    </w:rPr>
  </w:style>
  <w:style w:type="character" w:styleId="FootnoteReference">
    <w:name w:val="footnote reference"/>
    <w:semiHidden/>
    <w:rsid w:val="003D5244"/>
    <w:rPr>
      <w:shd w:val="clear" w:color="auto" w:fill="auto"/>
      <w:vertAlign w:val="superscript"/>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List Paragraph11,L"/>
    <w:basedOn w:val="Normal"/>
    <w:link w:val="ListParagraphChar"/>
    <w:uiPriority w:val="34"/>
    <w:qFormat/>
    <w:rsid w:val="003D5244"/>
    <w:pPr>
      <w:ind w:left="720"/>
      <w:contextualSpacing/>
    </w:pPr>
  </w:style>
  <w:style w:type="character" w:styleId="CommentReference">
    <w:name w:val="annotation reference"/>
    <w:basedOn w:val="DefaultParagraphFont"/>
    <w:semiHidden/>
    <w:unhideWhenUsed/>
    <w:rsid w:val="00771D99"/>
    <w:rPr>
      <w:sz w:val="16"/>
      <w:szCs w:val="16"/>
    </w:rPr>
  </w:style>
  <w:style w:type="paragraph" w:styleId="CommentText">
    <w:name w:val="annotation text"/>
    <w:basedOn w:val="Normal"/>
    <w:link w:val="CommentTextChar"/>
    <w:unhideWhenUsed/>
    <w:rsid w:val="00771D99"/>
    <w:rPr>
      <w:sz w:val="20"/>
      <w:szCs w:val="20"/>
    </w:rPr>
  </w:style>
  <w:style w:type="character" w:customStyle="1" w:styleId="CommentTextChar">
    <w:name w:val="Comment Text Char"/>
    <w:basedOn w:val="DefaultParagraphFont"/>
    <w:link w:val="CommentText"/>
    <w:rsid w:val="00771D99"/>
    <w:rPr>
      <w:lang w:val="da-DK"/>
    </w:rPr>
  </w:style>
  <w:style w:type="paragraph" w:styleId="CommentSubject">
    <w:name w:val="annotation subject"/>
    <w:basedOn w:val="CommentText"/>
    <w:next w:val="CommentText"/>
    <w:link w:val="CommentSubjectChar"/>
    <w:semiHidden/>
    <w:unhideWhenUsed/>
    <w:rsid w:val="00771D99"/>
    <w:rPr>
      <w:b/>
      <w:bCs/>
    </w:rPr>
  </w:style>
  <w:style w:type="character" w:customStyle="1" w:styleId="CommentSubjectChar">
    <w:name w:val="Comment Subject Char"/>
    <w:basedOn w:val="CommentTextChar"/>
    <w:link w:val="CommentSubject"/>
    <w:semiHidden/>
    <w:rsid w:val="00771D99"/>
    <w:rPr>
      <w:b/>
      <w:bCs/>
      <w:lang w:val="da-DK"/>
    </w:rPr>
  </w:style>
  <w:style w:type="paragraph" w:styleId="BalloonText">
    <w:name w:val="Balloon Text"/>
    <w:basedOn w:val="Normal"/>
    <w:link w:val="BalloonTextChar"/>
    <w:semiHidden/>
    <w:unhideWhenUsed/>
    <w:rsid w:val="00771D99"/>
    <w:rPr>
      <w:rFonts w:ascii="Segoe UI" w:hAnsi="Segoe UI" w:cs="Segoe UI"/>
      <w:sz w:val="18"/>
      <w:szCs w:val="18"/>
    </w:rPr>
  </w:style>
  <w:style w:type="character" w:customStyle="1" w:styleId="BalloonTextChar">
    <w:name w:val="Balloon Text Char"/>
    <w:basedOn w:val="DefaultParagraphFont"/>
    <w:link w:val="BalloonText"/>
    <w:semiHidden/>
    <w:rsid w:val="00771D99"/>
    <w:rPr>
      <w:rFonts w:ascii="Segoe UI" w:hAnsi="Segoe UI" w:cs="Segoe UI"/>
      <w:sz w:val="18"/>
      <w:szCs w:val="18"/>
      <w:lang w:val="da-DK"/>
    </w:rPr>
  </w:style>
  <w:style w:type="paragraph" w:styleId="Revision">
    <w:name w:val="Revision"/>
    <w:hidden/>
    <w:uiPriority w:val="99"/>
    <w:semiHidden/>
    <w:rsid w:val="00FE7C91"/>
    <w:rPr>
      <w:sz w:val="24"/>
      <w:szCs w:val="24"/>
    </w:rPr>
  </w:style>
  <w:style w:type="paragraph" w:styleId="NormalWeb">
    <w:name w:val="Normal (Web)"/>
    <w:basedOn w:val="Normal"/>
    <w:uiPriority w:val="99"/>
    <w:unhideWhenUsed/>
    <w:rsid w:val="007E070B"/>
    <w:pPr>
      <w:spacing w:before="100" w:beforeAutospacing="1" w:after="100" w:afterAutospacing="1"/>
    </w:pPr>
    <w:rPr>
      <w:rFonts w:eastAsia="Times New Roman"/>
      <w:lang w:eastAsia="en-IE"/>
    </w:rPr>
  </w:style>
  <w:style w:type="paragraph" w:customStyle="1" w:styleId="CharCharChar">
    <w:name w:val="Char Char Char"/>
    <w:basedOn w:val="Normal"/>
    <w:next w:val="Normal"/>
    <w:rsid w:val="009F0543"/>
    <w:pPr>
      <w:spacing w:after="160" w:line="240" w:lineRule="exact"/>
    </w:pPr>
    <w:rPr>
      <w:rFonts w:ascii="Tahoma" w:eastAsia="Times New Roman" w:hAnsi="Tahoma"/>
      <w:szCs w:val="20"/>
    </w:rPr>
  </w:style>
  <w:style w:type="paragraph" w:customStyle="1" w:styleId="Default">
    <w:name w:val="Default"/>
    <w:rsid w:val="00166684"/>
    <w:pPr>
      <w:autoSpaceDE w:val="0"/>
      <w:autoSpaceDN w:val="0"/>
      <w:adjustRightInd w:val="0"/>
    </w:pPr>
    <w:rPr>
      <w:rFonts w:ascii="Arial" w:hAnsi="Arial" w:cs="Arial"/>
      <w:color w:val="000000"/>
      <w:sz w:val="24"/>
      <w:szCs w:val="24"/>
    </w:rPr>
  </w:style>
  <w:style w:type="character" w:styleId="Hyperlink">
    <w:name w:val="Hyperlink"/>
    <w:uiPriority w:val="99"/>
    <w:rsid w:val="00CE18F2"/>
    <w:rPr>
      <w:rFonts w:cs="Times New Roman"/>
      <w:color w:val="0000FF"/>
      <w:u w:val="single"/>
    </w:rPr>
  </w:style>
  <w:style w:type="character" w:customStyle="1" w:styleId="Heading1Char">
    <w:name w:val="Heading 1 Char"/>
    <w:basedOn w:val="DefaultParagraphFont"/>
    <w:link w:val="Heading1"/>
    <w:rsid w:val="00CE18F2"/>
    <w:rPr>
      <w:rFonts w:eastAsia="Times New Roman"/>
      <w:color w:val="000000"/>
      <w:sz w:val="23"/>
      <w:szCs w:val="22"/>
      <w:u w:val="single" w:color="000000"/>
      <w:lang w:val="da-DK" w:eastAsia="en-IE"/>
    </w:rPr>
  </w:style>
  <w:style w:type="table" w:customStyle="1" w:styleId="TableGrid">
    <w:name w:val="TableGrid"/>
    <w:rsid w:val="00CE18F2"/>
    <w:rPr>
      <w:rFonts w:asciiTheme="minorHAnsi" w:eastAsiaTheme="minorEastAsia" w:hAnsiTheme="minorHAnsi" w:cstheme="minorBidi"/>
      <w:sz w:val="22"/>
      <w:szCs w:val="22"/>
      <w:lang w:eastAsia="en-IE"/>
    </w:rPr>
    <w:tblPr>
      <w:tblCellMar>
        <w:top w:w="0" w:type="dxa"/>
        <w:left w:w="0" w:type="dxa"/>
        <w:bottom w:w="0" w:type="dxa"/>
        <w:right w:w="0" w:type="dxa"/>
      </w:tblCellMar>
    </w:tblPr>
  </w:style>
  <w:style w:type="paragraph" w:customStyle="1" w:styleId="NumberedList">
    <w:name w:val="Numbered List"/>
    <w:basedOn w:val="ListParagraph"/>
    <w:uiPriority w:val="5"/>
    <w:qFormat/>
    <w:rsid w:val="00CE18F2"/>
    <w:pPr>
      <w:numPr>
        <w:numId w:val="2"/>
      </w:numPr>
      <w:spacing w:after="120"/>
      <w:ind w:right="680"/>
      <w:contextualSpacing w:val="0"/>
      <w:jc w:val="both"/>
    </w:pPr>
    <w:rPr>
      <w:rFonts w:eastAsia="SimSun"/>
      <w:sz w:val="22"/>
      <w:szCs w:val="20"/>
    </w:rPr>
  </w:style>
  <w:style w:type="character" w:customStyle="1" w:styleId="y2iqfc">
    <w:name w:val="y2iqfc"/>
    <w:basedOn w:val="DefaultParagraphFont"/>
    <w:rsid w:val="00CE18F2"/>
  </w:style>
  <w:style w:type="character" w:styleId="FollowedHyperlink">
    <w:name w:val="FollowedHyperlink"/>
    <w:basedOn w:val="DefaultParagraphFont"/>
    <w:semiHidden/>
    <w:unhideWhenUsed/>
    <w:rsid w:val="001A38B2"/>
    <w:rPr>
      <w:color w:val="800080" w:themeColor="followedHyperlink"/>
      <w:u w:val="single"/>
    </w:rPr>
  </w:style>
  <w:style w:type="character" w:customStyle="1" w:styleId="Heading2Char">
    <w:name w:val="Heading 2 Char"/>
    <w:basedOn w:val="DefaultParagraphFont"/>
    <w:link w:val="Heading2"/>
    <w:semiHidden/>
    <w:rsid w:val="00EA6072"/>
    <w:rPr>
      <w:rFonts w:asciiTheme="majorHAnsi" w:eastAsiaTheme="majorEastAsia" w:hAnsiTheme="majorHAnsi" w:cstheme="majorBidi"/>
      <w:color w:val="365F91" w:themeColor="accent1" w:themeShade="BF"/>
      <w:sz w:val="26"/>
      <w:szCs w:val="26"/>
      <w:lang w:val="da-DK"/>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qFormat/>
    <w:rsid w:val="00B31618"/>
    <w:rPr>
      <w:sz w:val="24"/>
      <w:szCs w:val="24"/>
      <w:lang w:val="da-DK"/>
    </w:rPr>
  </w:style>
  <w:style w:type="table" w:styleId="TableGrid0">
    <w:name w:val="Table Grid"/>
    <w:basedOn w:val="TableNormal"/>
    <w:rsid w:val="00912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7100">
      <w:bodyDiv w:val="1"/>
      <w:marLeft w:val="0"/>
      <w:marRight w:val="0"/>
      <w:marTop w:val="0"/>
      <w:marBottom w:val="0"/>
      <w:divBdr>
        <w:top w:val="none" w:sz="0" w:space="0" w:color="auto"/>
        <w:left w:val="none" w:sz="0" w:space="0" w:color="auto"/>
        <w:bottom w:val="none" w:sz="0" w:space="0" w:color="auto"/>
        <w:right w:val="none" w:sz="0" w:space="0" w:color="auto"/>
      </w:divBdr>
    </w:div>
    <w:div w:id="391739027">
      <w:bodyDiv w:val="1"/>
      <w:marLeft w:val="0"/>
      <w:marRight w:val="0"/>
      <w:marTop w:val="0"/>
      <w:marBottom w:val="0"/>
      <w:divBdr>
        <w:top w:val="none" w:sz="0" w:space="0" w:color="auto"/>
        <w:left w:val="none" w:sz="0" w:space="0" w:color="auto"/>
        <w:bottom w:val="none" w:sz="0" w:space="0" w:color="auto"/>
        <w:right w:val="none" w:sz="0" w:space="0" w:color="auto"/>
      </w:divBdr>
    </w:div>
    <w:div w:id="567494667">
      <w:bodyDiv w:val="1"/>
      <w:marLeft w:val="0"/>
      <w:marRight w:val="0"/>
      <w:marTop w:val="0"/>
      <w:marBottom w:val="0"/>
      <w:divBdr>
        <w:top w:val="none" w:sz="0" w:space="0" w:color="auto"/>
        <w:left w:val="none" w:sz="0" w:space="0" w:color="auto"/>
        <w:bottom w:val="none" w:sz="0" w:space="0" w:color="auto"/>
        <w:right w:val="none" w:sz="0" w:space="0" w:color="auto"/>
      </w:divBdr>
    </w:div>
    <w:div w:id="612635498">
      <w:bodyDiv w:val="1"/>
      <w:marLeft w:val="0"/>
      <w:marRight w:val="0"/>
      <w:marTop w:val="0"/>
      <w:marBottom w:val="0"/>
      <w:divBdr>
        <w:top w:val="none" w:sz="0" w:space="0" w:color="auto"/>
        <w:left w:val="none" w:sz="0" w:space="0" w:color="auto"/>
        <w:bottom w:val="none" w:sz="0" w:space="0" w:color="auto"/>
        <w:right w:val="none" w:sz="0" w:space="0" w:color="auto"/>
      </w:divBdr>
    </w:div>
    <w:div w:id="1057436569">
      <w:bodyDiv w:val="1"/>
      <w:marLeft w:val="0"/>
      <w:marRight w:val="0"/>
      <w:marTop w:val="0"/>
      <w:marBottom w:val="0"/>
      <w:divBdr>
        <w:top w:val="none" w:sz="0" w:space="0" w:color="auto"/>
        <w:left w:val="none" w:sz="0" w:space="0" w:color="auto"/>
        <w:bottom w:val="none" w:sz="0" w:space="0" w:color="auto"/>
        <w:right w:val="none" w:sz="0" w:space="0" w:color="auto"/>
      </w:divBdr>
    </w:div>
    <w:div w:id="1304457827">
      <w:bodyDiv w:val="1"/>
      <w:marLeft w:val="0"/>
      <w:marRight w:val="0"/>
      <w:marTop w:val="0"/>
      <w:marBottom w:val="0"/>
      <w:divBdr>
        <w:top w:val="none" w:sz="0" w:space="0" w:color="auto"/>
        <w:left w:val="none" w:sz="0" w:space="0" w:color="auto"/>
        <w:bottom w:val="none" w:sz="0" w:space="0" w:color="auto"/>
        <w:right w:val="none" w:sz="0" w:space="0" w:color="auto"/>
      </w:divBdr>
    </w:div>
    <w:div w:id="1335493785">
      <w:bodyDiv w:val="1"/>
      <w:marLeft w:val="0"/>
      <w:marRight w:val="0"/>
      <w:marTop w:val="0"/>
      <w:marBottom w:val="0"/>
      <w:divBdr>
        <w:top w:val="none" w:sz="0" w:space="0" w:color="auto"/>
        <w:left w:val="none" w:sz="0" w:space="0" w:color="auto"/>
        <w:bottom w:val="none" w:sz="0" w:space="0" w:color="auto"/>
        <w:right w:val="none" w:sz="0" w:space="0" w:color="auto"/>
      </w:divBdr>
    </w:div>
    <w:div w:id="1428692318">
      <w:bodyDiv w:val="1"/>
      <w:marLeft w:val="0"/>
      <w:marRight w:val="0"/>
      <w:marTop w:val="0"/>
      <w:marBottom w:val="0"/>
      <w:divBdr>
        <w:top w:val="none" w:sz="0" w:space="0" w:color="auto"/>
        <w:left w:val="none" w:sz="0" w:space="0" w:color="auto"/>
        <w:bottom w:val="none" w:sz="0" w:space="0" w:color="auto"/>
        <w:right w:val="none" w:sz="0" w:space="0" w:color="auto"/>
      </w:divBdr>
    </w:div>
    <w:div w:id="1478762665">
      <w:bodyDiv w:val="1"/>
      <w:marLeft w:val="0"/>
      <w:marRight w:val="0"/>
      <w:marTop w:val="0"/>
      <w:marBottom w:val="0"/>
      <w:divBdr>
        <w:top w:val="none" w:sz="0" w:space="0" w:color="auto"/>
        <w:left w:val="none" w:sz="0" w:space="0" w:color="auto"/>
        <w:bottom w:val="none" w:sz="0" w:space="0" w:color="auto"/>
        <w:right w:val="none" w:sz="0" w:space="0" w:color="auto"/>
      </w:divBdr>
    </w:div>
    <w:div w:id="1631519808">
      <w:bodyDiv w:val="1"/>
      <w:marLeft w:val="0"/>
      <w:marRight w:val="0"/>
      <w:marTop w:val="0"/>
      <w:marBottom w:val="0"/>
      <w:divBdr>
        <w:top w:val="none" w:sz="0" w:space="0" w:color="auto"/>
        <w:left w:val="none" w:sz="0" w:space="0" w:color="auto"/>
        <w:bottom w:val="none" w:sz="0" w:space="0" w:color="auto"/>
        <w:right w:val="none" w:sz="0" w:space="0" w:color="auto"/>
      </w:divBdr>
    </w:div>
    <w:div w:id="1978145153">
      <w:bodyDiv w:val="1"/>
      <w:marLeft w:val="0"/>
      <w:marRight w:val="0"/>
      <w:marTop w:val="0"/>
      <w:marBottom w:val="0"/>
      <w:divBdr>
        <w:top w:val="none" w:sz="0" w:space="0" w:color="auto"/>
        <w:left w:val="none" w:sz="0" w:space="0" w:color="auto"/>
        <w:bottom w:val="none" w:sz="0" w:space="0" w:color="auto"/>
        <w:right w:val="none" w:sz="0" w:space="0" w:color="auto"/>
      </w:divBdr>
    </w:div>
    <w:div w:id="2049604888">
      <w:bodyDiv w:val="1"/>
      <w:marLeft w:val="0"/>
      <w:marRight w:val="0"/>
      <w:marTop w:val="0"/>
      <w:marBottom w:val="0"/>
      <w:divBdr>
        <w:top w:val="none" w:sz="0" w:space="0" w:color="auto"/>
        <w:left w:val="none" w:sz="0" w:space="0" w:color="auto"/>
        <w:bottom w:val="none" w:sz="0" w:space="0" w:color="auto"/>
        <w:right w:val="none" w:sz="0" w:space="0" w:color="auto"/>
      </w:divBdr>
      <w:divsChild>
        <w:div w:id="1964917559">
          <w:marLeft w:val="0"/>
          <w:marRight w:val="0"/>
          <w:marTop w:val="0"/>
          <w:marBottom w:val="0"/>
          <w:divBdr>
            <w:top w:val="none" w:sz="0" w:space="0" w:color="auto"/>
            <w:left w:val="none" w:sz="0" w:space="0" w:color="auto"/>
            <w:bottom w:val="none" w:sz="0" w:space="0" w:color="auto"/>
            <w:right w:val="none" w:sz="0" w:space="0" w:color="auto"/>
          </w:divBdr>
          <w:divsChild>
            <w:div w:id="1580288208">
              <w:marLeft w:val="0"/>
              <w:marRight w:val="0"/>
              <w:marTop w:val="0"/>
              <w:marBottom w:val="300"/>
              <w:divBdr>
                <w:top w:val="none" w:sz="0" w:space="0" w:color="auto"/>
                <w:left w:val="none" w:sz="0" w:space="0" w:color="auto"/>
                <w:bottom w:val="none" w:sz="0" w:space="0" w:color="auto"/>
                <w:right w:val="none" w:sz="0" w:space="0" w:color="auto"/>
              </w:divBdr>
              <w:divsChild>
                <w:div w:id="126317528">
                  <w:marLeft w:val="0"/>
                  <w:marRight w:val="0"/>
                  <w:marTop w:val="0"/>
                  <w:marBottom w:val="0"/>
                  <w:divBdr>
                    <w:top w:val="single" w:sz="6" w:space="11" w:color="E5E5E5"/>
                    <w:left w:val="single" w:sz="6" w:space="11" w:color="E5E5E5"/>
                    <w:bottom w:val="single" w:sz="6" w:space="11" w:color="E5E5E5"/>
                    <w:right w:val="single" w:sz="6" w:space="11" w:color="E5E5E5"/>
                  </w:divBdr>
                  <w:divsChild>
                    <w:div w:id="11841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7101-2022-INIT/en/pdf" TargetMode="External"/><Relationship Id="rId2" Type="http://schemas.openxmlformats.org/officeDocument/2006/relationships/hyperlink" Target="https://legalinstruments.oecd.org/en/instruments/OECD-LEGAL-0393" TargetMode="External"/><Relationship Id="rId1" Type="http://schemas.openxmlformats.org/officeDocument/2006/relationships/hyperlink" Target="https://legalinstruments.oecd.org/en/instruments/OECD-LEGAL-5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2B538D-1138-452A-9052-5832C107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25604</CharactersWithSpaces>
  <SharedDoc>false</SharedDoc>
  <HLinks>
    <vt:vector size="18" baseType="variant">
      <vt:variant>
        <vt:i4>6946920</vt:i4>
      </vt:variant>
      <vt:variant>
        <vt:i4>6</vt:i4>
      </vt:variant>
      <vt:variant>
        <vt:i4>0</vt:i4>
      </vt:variant>
      <vt:variant>
        <vt:i4>5</vt:i4>
      </vt:variant>
      <vt:variant>
        <vt:lpwstr>https://data.consilium.europa.eu/doc/document/ST-7101-2022-INIT/en/pdf</vt:lpwstr>
      </vt:variant>
      <vt:variant>
        <vt:lpwstr/>
      </vt:variant>
      <vt:variant>
        <vt:i4>786442</vt:i4>
      </vt:variant>
      <vt:variant>
        <vt:i4>3</vt:i4>
      </vt:variant>
      <vt:variant>
        <vt:i4>0</vt:i4>
      </vt:variant>
      <vt:variant>
        <vt:i4>5</vt:i4>
      </vt:variant>
      <vt:variant>
        <vt:lpwstr>https://legalinstruments.oecd.org/en/instruments/OECD-LEGAL-0393</vt:lpwstr>
      </vt:variant>
      <vt:variant>
        <vt:lpwstr/>
      </vt:variant>
      <vt:variant>
        <vt:i4>589830</vt:i4>
      </vt:variant>
      <vt:variant>
        <vt:i4>0</vt:i4>
      </vt:variant>
      <vt:variant>
        <vt:i4>0</vt:i4>
      </vt:variant>
      <vt:variant>
        <vt:i4>5</vt:i4>
      </vt:variant>
      <vt:variant>
        <vt:lpwstr>https://legalinstruments.oecd.org/en/instruments/OECD-LEGAL-5005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cp:revision>
  <dcterms:created xsi:type="dcterms:W3CDTF">2024-11-13T11:49:00Z</dcterms:created>
  <dcterms:modified xsi:type="dcterms:W3CDTF">2024-11-21T10:59:00Z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9.0, Build 20230317</vt:lpwstr>
  </property>
  <property fmtid="{D5CDD505-2E9C-101B-9397-08002B2CF9AE}" pid="8" name="Created using">
    <vt:lpwstr>LW 7.0, Build 20190717</vt:lpwstr>
  </property>
  <property fmtid="{D5CDD505-2E9C-101B-9397-08002B2CF9AE}" pid="9" name="MSIP_Label_6bd9ddd1-4d20-43f6-abfa-fc3c07406f94_Enabled">
    <vt:lpwstr>true</vt:lpwstr>
  </property>
  <property fmtid="{D5CDD505-2E9C-101B-9397-08002B2CF9AE}" pid="10" name="MSIP_Label_6bd9ddd1-4d20-43f6-abfa-fc3c07406f94_SetDate">
    <vt:lpwstr>2023-08-07T18:18:43Z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e4b391be-d719-46ef-bef6-3892be26f411</vt:lpwstr>
  </property>
  <property fmtid="{D5CDD505-2E9C-101B-9397-08002B2CF9AE}" pid="15" name="MSIP_Label_6bd9ddd1-4d20-43f6-abfa-fc3c07406f94_ContentBits">
    <vt:lpwstr>0</vt:lpwstr>
  </property>
</Properties>
</file>